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564E3E">
      <w:pPr>
        <w:rPr>
          <w:rFonts w:hint="eastAsia" w:eastAsia="仿宋_GB2312"/>
          <w:color w:val="auto"/>
          <w:sz w:val="36"/>
          <w:szCs w:val="36"/>
          <w:lang w:val="en-US" w:eastAsia="zh-CN"/>
        </w:rPr>
      </w:pPr>
      <w:r>
        <w:rPr>
          <w:rFonts w:hint="eastAsia" w:eastAsia="仿宋_GB2312"/>
          <w:color w:val="auto"/>
          <w:sz w:val="36"/>
          <w:szCs w:val="36"/>
          <w:lang w:val="en-US" w:eastAsia="zh-CN"/>
        </w:rPr>
        <w:t xml:space="preserve"> </w:t>
      </w:r>
    </w:p>
    <w:p w14:paraId="368B6E1E">
      <w:pPr>
        <w:rPr>
          <w:rFonts w:eastAsia="仿宋_GB2312"/>
          <w:color w:val="auto"/>
          <w:sz w:val="36"/>
          <w:szCs w:val="36"/>
        </w:rPr>
      </w:pPr>
    </w:p>
    <w:p w14:paraId="545C08D6">
      <w:pPr>
        <w:rPr>
          <w:rFonts w:eastAsia="仿宋_GB2312"/>
          <w:color w:val="auto"/>
          <w:sz w:val="36"/>
          <w:szCs w:val="36"/>
        </w:rPr>
      </w:pPr>
    </w:p>
    <w:p w14:paraId="5A2D758C">
      <w:pPr>
        <w:rPr>
          <w:rFonts w:eastAsia="仿宋_GB2312"/>
          <w:color w:val="auto"/>
          <w:sz w:val="36"/>
          <w:szCs w:val="36"/>
        </w:rPr>
      </w:pPr>
    </w:p>
    <w:p w14:paraId="58A0D0E5">
      <w:pPr>
        <w:rPr>
          <w:rFonts w:eastAsia="仿宋_GB2312"/>
          <w:color w:val="auto"/>
          <w:sz w:val="36"/>
          <w:szCs w:val="36"/>
        </w:rPr>
      </w:pPr>
    </w:p>
    <w:p w14:paraId="579DA212">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393585EB">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2027E936">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0A33220C">
      <w:pPr>
        <w:jc w:val="center"/>
        <w:rPr>
          <w:rFonts w:hint="default" w:ascii="Times New Roman" w:hAnsi="Times New Roman" w:eastAsia="仿宋" w:cs="Times New Roman"/>
          <w:color w:val="auto"/>
          <w:sz w:val="52"/>
          <w:szCs w:val="52"/>
        </w:rPr>
      </w:pPr>
    </w:p>
    <w:p w14:paraId="1123296A">
      <w:pPr>
        <w:ind w:firstLine="1040"/>
        <w:rPr>
          <w:rFonts w:hint="default" w:ascii="Times New Roman" w:hAnsi="Times New Roman" w:eastAsia="仿宋" w:cs="Times New Roman"/>
          <w:color w:val="auto"/>
          <w:sz w:val="44"/>
          <w:szCs w:val="44"/>
        </w:rPr>
      </w:pPr>
    </w:p>
    <w:p w14:paraId="47F7EDE5">
      <w:pPr>
        <w:ind w:firstLine="1040"/>
        <w:rPr>
          <w:rFonts w:hint="default" w:ascii="Times New Roman" w:hAnsi="Times New Roman" w:eastAsia="仿宋" w:cs="Times New Roman"/>
          <w:color w:val="auto"/>
          <w:sz w:val="44"/>
          <w:szCs w:val="44"/>
        </w:rPr>
      </w:pPr>
    </w:p>
    <w:p w14:paraId="0B6C5C3F">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both"/>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eastAsia="zh-CN"/>
        </w:rPr>
        <w:t>生产时装技改项目</w:t>
      </w:r>
      <w:r>
        <w:rPr>
          <w:rFonts w:hint="default" w:ascii="Times New Roman" w:hAnsi="Times New Roman" w:eastAsia="仿宋_GB2312" w:cs="Times New Roman"/>
          <w:color w:val="auto"/>
          <w:sz w:val="36"/>
          <w:szCs w:val="36"/>
          <w:u w:val="single"/>
          <w:lang w:val="en-US" w:eastAsia="zh-CN"/>
        </w:rPr>
        <w:t xml:space="preserve">         </w:t>
      </w:r>
    </w:p>
    <w:p w14:paraId="06101D0F">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both"/>
        <w:textAlignment w:val="auto"/>
        <w:rPr>
          <w:rFonts w:hint="default" w:ascii="Times New Roman" w:hAnsi="Times New Roman" w:eastAsia="仿宋_GB2312" w:cs="Times New Roman"/>
          <w:color w:val="auto"/>
          <w:sz w:val="36"/>
          <w:szCs w:val="36"/>
          <w:lang w:val="en-US" w:eastAsia="zh-CN"/>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eastAsia="zh-CN"/>
        </w:rPr>
        <w:t>南通之</w:t>
      </w:r>
      <w:r>
        <w:rPr>
          <w:rFonts w:hint="eastAsia" w:ascii="Times New Roman" w:hAnsi="Times New Roman" w:eastAsia="仿宋_GB2312" w:cs="Times New Roman"/>
          <w:color w:val="auto"/>
          <w:sz w:val="36"/>
          <w:szCs w:val="36"/>
          <w:u w:val="single"/>
          <w:lang w:val="en-US" w:eastAsia="zh-CN"/>
        </w:rPr>
        <w:t>禾</w:t>
      </w:r>
      <w:r>
        <w:rPr>
          <w:rFonts w:hint="default" w:ascii="Times New Roman" w:hAnsi="Times New Roman" w:eastAsia="仿宋_GB2312" w:cs="Times New Roman"/>
          <w:color w:val="auto"/>
          <w:sz w:val="36"/>
          <w:szCs w:val="36"/>
          <w:u w:val="single"/>
          <w:lang w:eastAsia="zh-CN"/>
        </w:rPr>
        <w:t>时装有限公司</w:t>
      </w:r>
      <w:r>
        <w:rPr>
          <w:rFonts w:hint="default" w:ascii="Times New Roman" w:hAnsi="Times New Roman" w:eastAsia="仿宋_GB2312" w:cs="Times New Roman"/>
          <w:color w:val="auto"/>
          <w:sz w:val="36"/>
          <w:szCs w:val="36"/>
          <w:u w:val="single"/>
          <w:lang w:val="en-US" w:eastAsia="zh-CN"/>
        </w:rPr>
        <w:t xml:space="preserve">   </w:t>
      </w:r>
    </w:p>
    <w:p w14:paraId="420B64C9">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both"/>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202</w:t>
      </w:r>
      <w:r>
        <w:rPr>
          <w:rFonts w:hint="eastAsia" w:ascii="Times New Roman" w:hAnsi="Times New Roman" w:eastAsia="仿宋_GB2312" w:cs="Times New Roman"/>
          <w:color w:val="auto"/>
          <w:sz w:val="36"/>
          <w:szCs w:val="36"/>
          <w:u w:val="single"/>
          <w:lang w:val="en-US" w:eastAsia="zh-CN"/>
        </w:rPr>
        <w:t>5</w:t>
      </w:r>
      <w:r>
        <w:rPr>
          <w:rFonts w:hint="default" w:ascii="Times New Roman" w:hAnsi="Times New Roman" w:eastAsia="仿宋_GB2312" w:cs="Times New Roman"/>
          <w:color w:val="auto"/>
          <w:sz w:val="36"/>
          <w:szCs w:val="36"/>
          <w:u w:val="single"/>
        </w:rPr>
        <w:t>年</w:t>
      </w:r>
      <w:r>
        <w:rPr>
          <w:rFonts w:hint="default" w:ascii="Times New Roman" w:hAnsi="Times New Roman" w:eastAsia="仿宋_GB2312" w:cs="Times New Roman"/>
          <w:color w:val="auto"/>
          <w:sz w:val="36"/>
          <w:szCs w:val="36"/>
          <w:u w:val="single"/>
          <w:lang w:val="en-US" w:eastAsia="zh-CN"/>
        </w:rPr>
        <w:t>0</w:t>
      </w:r>
      <w:r>
        <w:rPr>
          <w:rFonts w:hint="eastAsia" w:ascii="Times New Roman" w:hAnsi="Times New Roman" w:eastAsia="仿宋_GB2312" w:cs="Times New Roman"/>
          <w:color w:val="auto"/>
          <w:sz w:val="36"/>
          <w:szCs w:val="36"/>
          <w:u w:val="single"/>
          <w:lang w:val="en-US" w:eastAsia="zh-CN"/>
        </w:rPr>
        <w:t>4</w:t>
      </w:r>
      <w:r>
        <w:rPr>
          <w:rFonts w:hint="default" w:ascii="Times New Roman" w:hAnsi="Times New Roman" w:eastAsia="仿宋_GB2312" w:cs="Times New Roman"/>
          <w:color w:val="auto"/>
          <w:sz w:val="36"/>
          <w:szCs w:val="36"/>
          <w:u w:val="single"/>
        </w:rPr>
        <w:t>月</w:t>
      </w:r>
      <w:r>
        <w:rPr>
          <w:rFonts w:hint="default" w:ascii="Times New Roman" w:hAnsi="Times New Roman" w:eastAsia="仿宋_GB2312" w:cs="Times New Roman"/>
          <w:color w:val="auto"/>
          <w:sz w:val="36"/>
          <w:szCs w:val="36"/>
          <w:u w:val="single"/>
          <w:lang w:val="en-US" w:eastAsia="zh-CN"/>
        </w:rPr>
        <w:t xml:space="preserve">           </w:t>
      </w:r>
    </w:p>
    <w:p w14:paraId="3766790F">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p w14:paraId="087BCA8A">
      <w:pPr>
        <w:adjustRightInd w:val="0"/>
        <w:snapToGrid w:val="0"/>
        <w:spacing w:line="288" w:lineRule="auto"/>
        <w:ind w:firstLine="1040"/>
        <w:rPr>
          <w:rFonts w:hint="default" w:ascii="Times New Roman" w:hAnsi="Times New Roman" w:eastAsia="仿宋_GB2312" w:cs="Times New Roman"/>
          <w:color w:val="auto"/>
          <w:sz w:val="36"/>
          <w:szCs w:val="36"/>
        </w:rPr>
      </w:pPr>
    </w:p>
    <w:p w14:paraId="24352E1A">
      <w:pPr>
        <w:adjustRightInd w:val="0"/>
        <w:snapToGrid w:val="0"/>
        <w:spacing w:line="288" w:lineRule="auto"/>
        <w:ind w:firstLine="1040"/>
        <w:rPr>
          <w:rFonts w:hint="default" w:ascii="Times New Roman" w:hAnsi="Times New Roman" w:eastAsia="仿宋_GB2312" w:cs="Times New Roman"/>
          <w:color w:val="auto"/>
          <w:sz w:val="36"/>
          <w:szCs w:val="36"/>
        </w:rPr>
      </w:pPr>
    </w:p>
    <w:p w14:paraId="72D36B32">
      <w:pPr>
        <w:adjustRightInd w:val="0"/>
        <w:snapToGrid w:val="0"/>
        <w:spacing w:line="288" w:lineRule="auto"/>
        <w:ind w:firstLine="1040"/>
        <w:rPr>
          <w:rFonts w:hint="default" w:ascii="Times New Roman" w:hAnsi="Times New Roman" w:eastAsia="仿宋_GB2312" w:cs="Times New Roman"/>
          <w:color w:val="auto"/>
          <w:sz w:val="36"/>
          <w:szCs w:val="36"/>
        </w:rPr>
      </w:pPr>
    </w:p>
    <w:p w14:paraId="76BD156B">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14:paraId="0C0EBC1F">
      <w:pPr>
        <w:adjustRightInd w:val="0"/>
        <w:snapToGrid w:val="0"/>
        <w:spacing w:line="288" w:lineRule="auto"/>
        <w:jc w:val="center"/>
        <w:rPr>
          <w:rFonts w:hint="default" w:ascii="Times New Roman" w:hAnsi="Times New Roman" w:eastAsia="楷体_GB2312" w:cs="Times New Roman"/>
          <w:color w:val="auto"/>
          <w:sz w:val="36"/>
          <w:szCs w:val="36"/>
        </w:rPr>
      </w:pPr>
    </w:p>
    <w:p w14:paraId="41C90DF2">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1F68AB2F">
      <w:pPr>
        <w:adjustRightInd w:val="0"/>
        <w:snapToGrid w:val="0"/>
        <w:spacing w:line="288" w:lineRule="auto"/>
        <w:jc w:val="center"/>
        <w:rPr>
          <w:rFonts w:hint="default" w:ascii="Times New Roman" w:hAnsi="Times New Roman" w:eastAsia="楷体_GB2312" w:cs="Times New Roman"/>
          <w:color w:val="auto"/>
          <w:sz w:val="36"/>
          <w:szCs w:val="36"/>
        </w:rPr>
      </w:pPr>
    </w:p>
    <w:p w14:paraId="7FFB401A">
      <w:pPr>
        <w:adjustRightInd w:val="0"/>
        <w:snapToGrid w:val="0"/>
        <w:spacing w:line="288" w:lineRule="auto"/>
        <w:jc w:val="center"/>
        <w:rPr>
          <w:rFonts w:hint="default" w:ascii="Times New Roman" w:hAnsi="Times New Roman" w:eastAsia="楷体_GB2312" w:cs="Times New Roman"/>
          <w:color w:val="auto"/>
          <w:sz w:val="36"/>
          <w:szCs w:val="36"/>
        </w:rPr>
      </w:pPr>
    </w:p>
    <w:p w14:paraId="4D427356">
      <w:pPr>
        <w:adjustRightInd w:val="0"/>
        <w:snapToGrid w:val="0"/>
        <w:spacing w:line="288" w:lineRule="auto"/>
        <w:jc w:val="center"/>
        <w:rPr>
          <w:rFonts w:hint="default" w:ascii="Times New Roman" w:hAnsi="Times New Roman" w:eastAsia="楷体_GB2312" w:cs="Times New Roman"/>
          <w:color w:val="auto"/>
          <w:sz w:val="36"/>
          <w:szCs w:val="36"/>
        </w:rPr>
      </w:pPr>
    </w:p>
    <w:p w14:paraId="1DC9173B">
      <w:pPr>
        <w:adjustRightInd w:val="0"/>
        <w:snapToGrid w:val="0"/>
        <w:spacing w:line="288" w:lineRule="auto"/>
        <w:jc w:val="center"/>
        <w:rPr>
          <w:rFonts w:hint="default" w:ascii="Times New Roman" w:hAnsi="Times New Roman" w:eastAsia="楷体_GB2312" w:cs="Times New Roman"/>
          <w:color w:val="auto"/>
          <w:sz w:val="36"/>
          <w:szCs w:val="36"/>
        </w:rPr>
      </w:pPr>
    </w:p>
    <w:p w14:paraId="1D4AB211">
      <w:pPr>
        <w:adjustRightInd w:val="0"/>
        <w:snapToGrid w:val="0"/>
        <w:spacing w:line="288" w:lineRule="auto"/>
        <w:jc w:val="center"/>
        <w:rPr>
          <w:rFonts w:hint="default" w:ascii="Times New Roman" w:hAnsi="Times New Roman" w:eastAsia="楷体_GB2312" w:cs="Times New Roman"/>
          <w:color w:val="auto"/>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C7265C4">
      <w:pPr>
        <w:pStyle w:val="37"/>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49"/>
        <w:gridCol w:w="1633"/>
        <w:gridCol w:w="1637"/>
        <w:gridCol w:w="2212"/>
        <w:gridCol w:w="2639"/>
      </w:tblGrid>
      <w:tr w14:paraId="25BBB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3027BD0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建设项目名称</w:t>
            </w:r>
          </w:p>
        </w:tc>
        <w:tc>
          <w:tcPr>
            <w:tcW w:w="6488" w:type="dxa"/>
            <w:gridSpan w:val="3"/>
            <w:noWrap w:val="0"/>
            <w:vAlign w:val="center"/>
          </w:tcPr>
          <w:p w14:paraId="40D925AD">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生产时装技改项目</w:t>
            </w:r>
          </w:p>
        </w:tc>
      </w:tr>
      <w:tr w14:paraId="52D2E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546897D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项目代码</w:t>
            </w:r>
          </w:p>
        </w:tc>
        <w:tc>
          <w:tcPr>
            <w:tcW w:w="6488" w:type="dxa"/>
            <w:gridSpan w:val="3"/>
            <w:noWrap w:val="0"/>
            <w:vAlign w:val="center"/>
          </w:tcPr>
          <w:p w14:paraId="756F580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2403-320657-89-02-876221</w:t>
            </w:r>
          </w:p>
        </w:tc>
      </w:tr>
      <w:tr w14:paraId="18D54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186C59F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建设单位联系人</w:t>
            </w:r>
          </w:p>
        </w:tc>
        <w:tc>
          <w:tcPr>
            <w:tcW w:w="1637" w:type="dxa"/>
            <w:noWrap w:val="0"/>
            <w:vAlign w:val="center"/>
          </w:tcPr>
          <w:p w14:paraId="7BF3076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刘斌</w:t>
            </w:r>
          </w:p>
        </w:tc>
        <w:tc>
          <w:tcPr>
            <w:tcW w:w="2212" w:type="dxa"/>
            <w:noWrap w:val="0"/>
            <w:vAlign w:val="center"/>
          </w:tcPr>
          <w:p w14:paraId="24A1597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联系方式</w:t>
            </w:r>
          </w:p>
        </w:tc>
        <w:tc>
          <w:tcPr>
            <w:tcW w:w="2639" w:type="dxa"/>
            <w:noWrap w:val="0"/>
            <w:vAlign w:val="center"/>
          </w:tcPr>
          <w:p w14:paraId="2C0EF62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13962882518</w:t>
            </w:r>
          </w:p>
        </w:tc>
      </w:tr>
      <w:tr w14:paraId="40F60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78394B4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建设地点</w:t>
            </w:r>
          </w:p>
        </w:tc>
        <w:tc>
          <w:tcPr>
            <w:tcW w:w="6488" w:type="dxa"/>
            <w:gridSpan w:val="3"/>
            <w:noWrap w:val="0"/>
            <w:vAlign w:val="center"/>
          </w:tcPr>
          <w:p w14:paraId="069F9B4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江苏省南通市</w:t>
            </w:r>
            <w:r>
              <w:rPr>
                <w:rFonts w:hint="default" w:ascii="Times New Roman" w:hAnsi="Times New Roman" w:cs="Times New Roman"/>
                <w:color w:val="000000" w:themeColor="text1"/>
                <w:szCs w:val="21"/>
                <w:lang w:eastAsia="zh-CN"/>
                <w14:textFill>
                  <w14:solidFill>
                    <w14:schemeClr w14:val="tx1"/>
                  </w14:solidFill>
                </w14:textFill>
              </w:rPr>
              <w:t>海门经济技术开发区</w:t>
            </w:r>
            <w:r>
              <w:rPr>
                <w:rFonts w:hint="default" w:ascii="Times New Roman" w:hAnsi="Times New Roman" w:cs="Times New Roman"/>
                <w:color w:val="000000" w:themeColor="text1"/>
                <w:szCs w:val="21"/>
                <w:lang w:val="en-US" w:eastAsia="zh-CN"/>
                <w14:textFill>
                  <w14:solidFill>
                    <w14:schemeClr w14:val="tx1"/>
                  </w14:solidFill>
                </w14:textFill>
              </w:rPr>
              <w:t>人民东路南、通源路西侧</w:t>
            </w:r>
          </w:p>
        </w:tc>
      </w:tr>
      <w:tr w14:paraId="62DB5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645EA28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地理坐标</w:t>
            </w:r>
          </w:p>
        </w:tc>
        <w:tc>
          <w:tcPr>
            <w:tcW w:w="6488" w:type="dxa"/>
            <w:gridSpan w:val="3"/>
            <w:noWrap w:val="0"/>
            <w:vAlign w:val="center"/>
          </w:tcPr>
          <w:p w14:paraId="5A21842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u w:val="single"/>
                <w14:textFill>
                  <w14:solidFill>
                    <w14:schemeClr w14:val="tx1"/>
                  </w14:solidFill>
                </w14:textFill>
              </w:rPr>
              <w:t xml:space="preserve"> 121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11</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38.94</w:t>
            </w:r>
            <w:r>
              <w:rPr>
                <w:rFonts w:hint="eastAsia" w:ascii="Times New Roman" w:hAnsi="Times New Roman" w:cs="Times New Roman"/>
                <w:color w:val="000000" w:themeColor="text1"/>
                <w:szCs w:val="21"/>
                <w:u w:val="single"/>
                <w:lang w:val="en-US" w:eastAsia="zh-CN"/>
                <w14:textFill>
                  <w14:solidFill>
                    <w14:schemeClr w14:val="tx1"/>
                  </w14:solidFill>
                </w14:textFill>
              </w:rPr>
              <w:t>0</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default" w:ascii="Times New Roman" w:hAnsi="Times New Roman" w:cs="Times New Roman"/>
                <w:color w:val="000000" w:themeColor="text1"/>
                <w:szCs w:val="21"/>
                <w:u w:val="single"/>
                <w14:textFill>
                  <w14:solidFill>
                    <w14:schemeClr w14:val="tx1"/>
                  </w14:solidFill>
                </w14:textFill>
              </w:rPr>
              <w:t xml:space="preserve"> 31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53</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48.113</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p>
        </w:tc>
      </w:tr>
      <w:tr w14:paraId="7A347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gridSpan w:val="2"/>
            <w:noWrap w:val="0"/>
            <w:tcMar>
              <w:top w:w="16" w:type="dxa"/>
              <w:left w:w="16" w:type="dxa"/>
              <w:right w:w="16" w:type="dxa"/>
            </w:tcMar>
            <w:vAlign w:val="center"/>
          </w:tcPr>
          <w:p w14:paraId="752F873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国民经济</w:t>
            </w:r>
          </w:p>
          <w:p w14:paraId="4CF8C35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p>
        </w:tc>
        <w:tc>
          <w:tcPr>
            <w:tcW w:w="1637" w:type="dxa"/>
            <w:noWrap w:val="0"/>
            <w:vAlign w:val="center"/>
          </w:tcPr>
          <w:p w14:paraId="6F77706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D4430 热力生产和供应</w:t>
            </w:r>
          </w:p>
        </w:tc>
        <w:tc>
          <w:tcPr>
            <w:tcW w:w="2212" w:type="dxa"/>
            <w:noWrap w:val="0"/>
            <w:vAlign w:val="center"/>
          </w:tcPr>
          <w:p w14:paraId="36B3E10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bookmarkStart w:id="1" w:name="_Hlk49843745"/>
            <w:r>
              <w:rPr>
                <w:rFonts w:hint="default" w:ascii="Times New Roman" w:hAnsi="Times New Roman" w:cs="Times New Roman"/>
                <w:color w:val="000000" w:themeColor="text1"/>
                <w:szCs w:val="21"/>
                <w14:textFill>
                  <w14:solidFill>
                    <w14:schemeClr w14:val="tx1"/>
                  </w14:solidFill>
                </w14:textFill>
              </w:rPr>
              <w:t>建设项目</w:t>
            </w:r>
          </w:p>
          <w:p w14:paraId="7727EC5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bookmarkEnd w:id="1"/>
          </w:p>
        </w:tc>
        <w:tc>
          <w:tcPr>
            <w:tcW w:w="2639" w:type="dxa"/>
            <w:noWrap w:val="0"/>
            <w:vAlign w:val="center"/>
          </w:tcPr>
          <w:p w14:paraId="7E1DEB57">
            <w:pPr>
              <w:numPr>
                <w:ilvl w:val="0"/>
                <w:numId w:val="0"/>
              </w:numPr>
              <w:adjustRightInd w:val="0"/>
              <w:snapToGrid w:val="0"/>
              <w:jc w:val="both"/>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四十一、电力、热力生产和供应业 热力生产和供应工程（包括建设单位自建自用的供热工程）</w:t>
            </w:r>
          </w:p>
        </w:tc>
      </w:tr>
      <w:tr w14:paraId="449B3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gridSpan w:val="2"/>
            <w:noWrap w:val="0"/>
            <w:tcMar>
              <w:top w:w="16" w:type="dxa"/>
              <w:left w:w="16" w:type="dxa"/>
              <w:right w:w="16" w:type="dxa"/>
            </w:tcMar>
            <w:vAlign w:val="center"/>
          </w:tcPr>
          <w:p w14:paraId="6F14060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建设性质</w:t>
            </w:r>
          </w:p>
        </w:tc>
        <w:tc>
          <w:tcPr>
            <w:tcW w:w="1637" w:type="dxa"/>
            <w:noWrap w:val="0"/>
            <w:vAlign w:val="center"/>
          </w:tcPr>
          <w:p w14:paraId="2960F418">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w:char="00A8"/>
            </w:r>
            <w:r>
              <w:rPr>
                <w:rFonts w:hint="default" w:ascii="Times New Roman" w:hAnsi="Times New Roman" w:cs="Times New Roman"/>
                <w:color w:val="000000" w:themeColor="text1"/>
                <w:szCs w:val="21"/>
                <w14:textFill>
                  <w14:solidFill>
                    <w14:schemeClr w14:val="tx1"/>
                  </w14:solidFill>
                </w14:textFill>
              </w:rPr>
              <w:t>新建（迁建）</w:t>
            </w:r>
          </w:p>
          <w:p w14:paraId="32F70612">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Cs w:val="21"/>
                <w:highlight w:val="none"/>
                <w14:textFill>
                  <w14:solidFill>
                    <w14:schemeClr w14:val="tx1"/>
                  </w14:solidFill>
                </w14:textFill>
              </w:rPr>
              <w:t>改建</w:t>
            </w:r>
          </w:p>
          <w:p w14:paraId="515A2C3C">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扩建</w:t>
            </w:r>
          </w:p>
          <w:p w14:paraId="31079953">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w:char="00A8"/>
            </w:r>
            <w:r>
              <w:rPr>
                <w:rFonts w:hint="default" w:ascii="Times New Roman" w:hAnsi="Times New Roman" w:cs="Times New Roman"/>
                <w:color w:val="000000" w:themeColor="text1"/>
                <w:szCs w:val="21"/>
                <w14:textFill>
                  <w14:solidFill>
                    <w14:schemeClr w14:val="tx1"/>
                  </w14:solidFill>
                </w14:textFill>
              </w:rPr>
              <w:t>技术改造</w:t>
            </w:r>
          </w:p>
        </w:tc>
        <w:tc>
          <w:tcPr>
            <w:tcW w:w="2212" w:type="dxa"/>
            <w:noWrap w:val="0"/>
            <w:vAlign w:val="center"/>
          </w:tcPr>
          <w:p w14:paraId="6AA6B35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w:t>
            </w:r>
          </w:p>
          <w:p w14:paraId="2C08748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申报情形</w:t>
            </w:r>
          </w:p>
        </w:tc>
        <w:tc>
          <w:tcPr>
            <w:tcW w:w="2639" w:type="dxa"/>
            <w:noWrap w:val="0"/>
            <w:vAlign w:val="center"/>
          </w:tcPr>
          <w:p w14:paraId="2D297D52">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w:char="F0FE"/>
            </w:r>
            <w:r>
              <w:rPr>
                <w:rFonts w:hint="default" w:ascii="Times New Roman" w:hAnsi="Times New Roman" w:cs="Times New Roman"/>
                <w:color w:val="000000" w:themeColor="text1"/>
                <w:szCs w:val="21"/>
                <w14:textFill>
                  <w14:solidFill>
                    <w14:schemeClr w14:val="tx1"/>
                  </w14:solidFill>
                </w14:textFill>
              </w:rPr>
              <w:t xml:space="preserve">首次申报项目             </w:t>
            </w:r>
          </w:p>
          <w:p w14:paraId="7F9172F0">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□不予批准后再次申报项目</w:t>
            </w:r>
          </w:p>
          <w:p w14:paraId="628EED8E">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 xml:space="preserve">超五年重新审核项目     </w:t>
            </w:r>
          </w:p>
          <w:p w14:paraId="19AAA3DA">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□重大变动重新报批项目</w:t>
            </w:r>
          </w:p>
        </w:tc>
      </w:tr>
      <w:tr w14:paraId="15451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gridSpan w:val="2"/>
            <w:noWrap w:val="0"/>
            <w:tcMar>
              <w:top w:w="16" w:type="dxa"/>
              <w:left w:w="16" w:type="dxa"/>
              <w:right w:w="16" w:type="dxa"/>
            </w:tcMar>
            <w:vAlign w:val="center"/>
          </w:tcPr>
          <w:p w14:paraId="436F911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项目审批（核准/</w:t>
            </w:r>
          </w:p>
          <w:p w14:paraId="11E0160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备案）部门（选填）</w:t>
            </w:r>
          </w:p>
        </w:tc>
        <w:tc>
          <w:tcPr>
            <w:tcW w:w="1637" w:type="dxa"/>
            <w:noWrap w:val="0"/>
            <w:vAlign w:val="center"/>
          </w:tcPr>
          <w:p w14:paraId="10330F7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 海门经济技术开发区行政审批局</w:t>
            </w:r>
          </w:p>
        </w:tc>
        <w:tc>
          <w:tcPr>
            <w:tcW w:w="2212" w:type="dxa"/>
            <w:noWrap w:val="0"/>
            <w:vAlign w:val="center"/>
          </w:tcPr>
          <w:p w14:paraId="13C48BF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项目审批（核准/</w:t>
            </w:r>
          </w:p>
          <w:p w14:paraId="400DE40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备案）文号（选填）</w:t>
            </w:r>
          </w:p>
        </w:tc>
        <w:tc>
          <w:tcPr>
            <w:tcW w:w="2639" w:type="dxa"/>
            <w:noWrap w:val="0"/>
            <w:vAlign w:val="center"/>
          </w:tcPr>
          <w:p w14:paraId="6C0D2ED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海开审备</w:t>
            </w:r>
            <w:r>
              <w:rPr>
                <w:rFonts w:hint="eastAsia" w:ascii="Times New Roman" w:hAnsi="Times New Roman" w:cs="Times New Roman"/>
                <w:color w:val="000000" w:themeColor="text1"/>
                <w:szCs w:val="21"/>
                <w:lang w:val="en-US" w:eastAsia="zh-CN"/>
                <w14:textFill>
                  <w14:solidFill>
                    <w14:schemeClr w14:val="tx1"/>
                  </w14:solidFill>
                </w14:textFill>
              </w:rPr>
              <w:t>〔2025〕166号</w:t>
            </w:r>
          </w:p>
        </w:tc>
      </w:tr>
      <w:tr w14:paraId="70186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6BCC859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总投资（万元）</w:t>
            </w:r>
          </w:p>
        </w:tc>
        <w:tc>
          <w:tcPr>
            <w:tcW w:w="1637" w:type="dxa"/>
            <w:noWrap w:val="0"/>
            <w:vAlign w:val="center"/>
          </w:tcPr>
          <w:p w14:paraId="58420CE8">
            <w:pPr>
              <w:adjustRightInd w:val="0"/>
              <w:snapToGrid w:val="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1000.00</w:t>
            </w:r>
          </w:p>
        </w:tc>
        <w:tc>
          <w:tcPr>
            <w:tcW w:w="2212" w:type="dxa"/>
            <w:noWrap w:val="0"/>
            <w:tcMar>
              <w:top w:w="16" w:type="dxa"/>
              <w:left w:w="16" w:type="dxa"/>
              <w:right w:w="16" w:type="dxa"/>
            </w:tcMar>
            <w:vAlign w:val="center"/>
          </w:tcPr>
          <w:p w14:paraId="412BD50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环保投资（万元）</w:t>
            </w:r>
          </w:p>
        </w:tc>
        <w:tc>
          <w:tcPr>
            <w:tcW w:w="2639" w:type="dxa"/>
            <w:noWrap w:val="0"/>
            <w:vAlign w:val="center"/>
          </w:tcPr>
          <w:p w14:paraId="0510FD7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r>
      <w:tr w14:paraId="4DBE7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68F0FC7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环保投资占比（%）</w:t>
            </w:r>
          </w:p>
        </w:tc>
        <w:tc>
          <w:tcPr>
            <w:tcW w:w="1637" w:type="dxa"/>
            <w:noWrap w:val="0"/>
            <w:vAlign w:val="center"/>
          </w:tcPr>
          <w:p w14:paraId="47676D0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p>
        </w:tc>
        <w:tc>
          <w:tcPr>
            <w:tcW w:w="2212" w:type="dxa"/>
            <w:noWrap w:val="0"/>
            <w:tcMar>
              <w:top w:w="16" w:type="dxa"/>
              <w:left w:w="16" w:type="dxa"/>
              <w:right w:w="16" w:type="dxa"/>
            </w:tcMar>
            <w:vAlign w:val="center"/>
          </w:tcPr>
          <w:p w14:paraId="5FFBA21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施工工期</w:t>
            </w:r>
          </w:p>
        </w:tc>
        <w:tc>
          <w:tcPr>
            <w:tcW w:w="2639" w:type="dxa"/>
            <w:noWrap w:val="0"/>
            <w:vAlign w:val="center"/>
          </w:tcPr>
          <w:p w14:paraId="1FF4471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个月</w:t>
            </w:r>
          </w:p>
        </w:tc>
      </w:tr>
      <w:tr w14:paraId="52CC0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3E2AD4E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是否开工建设</w:t>
            </w:r>
          </w:p>
        </w:tc>
        <w:tc>
          <w:tcPr>
            <w:tcW w:w="1637" w:type="dxa"/>
            <w:noWrap w:val="0"/>
            <w:vAlign w:val="center"/>
          </w:tcPr>
          <w:p w14:paraId="4A392410">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w:char="F0FE"/>
            </w:r>
            <w:r>
              <w:rPr>
                <w:rFonts w:hint="default" w:ascii="Times New Roman" w:hAnsi="Times New Roman" w:cs="Times New Roman"/>
                <w:color w:val="000000" w:themeColor="text1"/>
                <w:szCs w:val="21"/>
                <w14:textFill>
                  <w14:solidFill>
                    <w14:schemeClr w14:val="tx1"/>
                  </w14:solidFill>
                </w14:textFill>
              </w:rPr>
              <w:t>否</w:t>
            </w:r>
          </w:p>
          <w:p w14:paraId="36CE2E6E">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sym w:font="Wingdings 2" w:char="00A3"/>
            </w:r>
            <w:r>
              <w:rPr>
                <w:rFonts w:hint="default" w:ascii="Times New Roman" w:hAnsi="Times New Roman" w:cs="Times New Roman"/>
                <w:color w:val="000000" w:themeColor="text1"/>
                <w:szCs w:val="21"/>
                <w14:textFill>
                  <w14:solidFill>
                    <w14:schemeClr w14:val="tx1"/>
                  </w14:solidFill>
                </w14:textFill>
              </w:rPr>
              <w:t>是：</w:t>
            </w:r>
            <w:r>
              <w:rPr>
                <w:rFonts w:hint="default" w:ascii="Times New Roman" w:hAnsi="Times New Roman" w:cs="Times New Roman"/>
                <w:color w:val="000000" w:themeColor="text1"/>
                <w:szCs w:val="21"/>
                <w:u w:val="single"/>
                <w14:textFill>
                  <w14:solidFill>
                    <w14:schemeClr w14:val="tx1"/>
                  </w14:solidFill>
                </w14:textFill>
              </w:rPr>
              <w:t xml:space="preserve">             </w:t>
            </w:r>
          </w:p>
        </w:tc>
        <w:tc>
          <w:tcPr>
            <w:tcW w:w="2212" w:type="dxa"/>
            <w:noWrap w:val="0"/>
            <w:tcMar>
              <w:top w:w="16" w:type="dxa"/>
              <w:left w:w="16" w:type="dxa"/>
              <w:right w:w="16" w:type="dxa"/>
            </w:tcMar>
            <w:vAlign w:val="center"/>
          </w:tcPr>
          <w:p w14:paraId="2093657D">
            <w:pPr>
              <w:adjustRightInd w:val="0"/>
              <w:snapToGrid w:val="0"/>
              <w:jc w:val="center"/>
              <w:rPr>
                <w:rFonts w:hint="default" w:ascii="Times New Roman" w:hAnsi="Times New Roman" w:cs="Times New Roman"/>
                <w:color w:val="000000" w:themeColor="text1"/>
                <w:spacing w:val="-6"/>
                <w:szCs w:val="21"/>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用地（用海）</w:t>
            </w:r>
          </w:p>
          <w:p w14:paraId="785C8CF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面积（m</w:t>
            </w:r>
            <w:r>
              <w:rPr>
                <w:rFonts w:hint="default" w:ascii="Times New Roman" w:hAnsi="Times New Roman" w:cs="Times New Roman"/>
                <w:color w:val="000000" w:themeColor="text1"/>
                <w:spacing w:val="-6"/>
                <w:szCs w:val="21"/>
                <w:vertAlign w:val="superscript"/>
                <w14:textFill>
                  <w14:solidFill>
                    <w14:schemeClr w14:val="tx1"/>
                  </w14:solidFill>
                </w14:textFill>
              </w:rPr>
              <w:t>2</w:t>
            </w:r>
            <w:r>
              <w:rPr>
                <w:rFonts w:hint="default" w:ascii="Times New Roman" w:hAnsi="Times New Roman" w:cs="Times New Roman"/>
                <w:color w:val="000000" w:themeColor="text1"/>
                <w:spacing w:val="-6"/>
                <w:szCs w:val="21"/>
                <w14:textFill>
                  <w14:solidFill>
                    <w14:schemeClr w14:val="tx1"/>
                  </w14:solidFill>
                </w14:textFill>
              </w:rPr>
              <w:t>）</w:t>
            </w:r>
          </w:p>
        </w:tc>
        <w:tc>
          <w:tcPr>
            <w:tcW w:w="2639" w:type="dxa"/>
            <w:noWrap w:val="0"/>
            <w:vAlign w:val="center"/>
          </w:tcPr>
          <w:p w14:paraId="7BFC5EA5">
            <w:pPr>
              <w:adjustRightInd w:val="0"/>
              <w:snapToGrid w:val="0"/>
              <w:jc w:val="center"/>
              <w:rPr>
                <w:rFonts w:hint="eastAsia" w:eastAsia="宋体"/>
                <w:color w:val="000000" w:themeColor="text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全厂占地15243</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p>
          <w:p w14:paraId="0490B4C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技改项目不新增用地</w:t>
            </w:r>
          </w:p>
        </w:tc>
      </w:tr>
      <w:tr w14:paraId="18F96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2"/>
            <w:noWrap w:val="0"/>
            <w:vAlign w:val="center"/>
          </w:tcPr>
          <w:p w14:paraId="4CC80E15">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专项评价设置情况</w:t>
            </w:r>
          </w:p>
        </w:tc>
        <w:tc>
          <w:tcPr>
            <w:tcW w:w="6488" w:type="dxa"/>
            <w:gridSpan w:val="3"/>
            <w:noWrap w:val="0"/>
            <w:vAlign w:val="center"/>
          </w:tcPr>
          <w:p w14:paraId="7E947DC7">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无</w:t>
            </w:r>
          </w:p>
        </w:tc>
      </w:tr>
      <w:tr w14:paraId="428DF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2"/>
            <w:noWrap w:val="0"/>
            <w:vAlign w:val="center"/>
          </w:tcPr>
          <w:p w14:paraId="6FB33B06">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规划情况</w:t>
            </w:r>
          </w:p>
        </w:tc>
        <w:tc>
          <w:tcPr>
            <w:tcW w:w="6488" w:type="dxa"/>
            <w:gridSpan w:val="3"/>
            <w:noWrap w:val="0"/>
            <w:vAlign w:val="center"/>
          </w:tcPr>
          <w:p w14:paraId="34BF2FD7">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规划名称：</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lang w:val="en-US" w:eastAsia="zh-CN"/>
                <w14:textFill>
                  <w14:solidFill>
                    <w14:schemeClr w14:val="tx1"/>
                  </w14:solidFill>
                </w14:textFill>
              </w:rPr>
              <w:t>海门经济技术开发区总体规划（2015-2030）</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w:t>
            </w:r>
          </w:p>
          <w:p w14:paraId="61871D78">
            <w:pPr>
              <w:autoSpaceDE w:val="0"/>
              <w:autoSpaceDN w:val="0"/>
              <w:adjustRightInd w:val="0"/>
              <w:spacing w:line="36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审批部门：</w:t>
            </w:r>
            <w:r>
              <w:rPr>
                <w:rFonts w:hint="eastAsia" w:ascii="Times New Roman" w:hAnsi="Times New Roman" w:cs="Times New Roman"/>
                <w:color w:val="000000" w:themeColor="text1"/>
                <w:kern w:val="0"/>
                <w:szCs w:val="21"/>
                <w:lang w:val="en-US" w:eastAsia="zh-CN"/>
                <w14:textFill>
                  <w14:solidFill>
                    <w14:schemeClr w14:val="tx1"/>
                  </w14:solidFill>
                </w14:textFill>
              </w:rPr>
              <w:t>江苏省人民政府</w:t>
            </w:r>
          </w:p>
        </w:tc>
      </w:tr>
      <w:tr w14:paraId="21CF4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2"/>
            <w:noWrap w:val="0"/>
            <w:vAlign w:val="center"/>
          </w:tcPr>
          <w:p w14:paraId="3A166B8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规划环境影响</w:t>
            </w:r>
          </w:p>
          <w:p w14:paraId="3827C609">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评价情况</w:t>
            </w:r>
          </w:p>
        </w:tc>
        <w:tc>
          <w:tcPr>
            <w:tcW w:w="6488" w:type="dxa"/>
            <w:gridSpan w:val="3"/>
            <w:noWrap w:val="0"/>
            <w:vAlign w:val="center"/>
          </w:tcPr>
          <w:p w14:paraId="18CC4A33">
            <w:pPr>
              <w:autoSpaceDE w:val="0"/>
              <w:autoSpaceDN w:val="0"/>
              <w:adjustRightInd w:val="0"/>
              <w:spacing w:line="360" w:lineRule="auto"/>
              <w:jc w:val="left"/>
              <w:rPr>
                <w:rFonts w:hint="default" w:ascii="Times New Roman" w:hAnsi="Times New Roman" w:eastAsia="新宋体" w:cs="Times New Roman"/>
                <w:color w:val="000000" w:themeColor="text1"/>
                <w:szCs w:val="21"/>
                <w14:textFill>
                  <w14:solidFill>
                    <w14:schemeClr w14:val="tx1"/>
                  </w14:solidFill>
                </w14:textFill>
              </w:rPr>
            </w:pPr>
            <w:r>
              <w:rPr>
                <w:rFonts w:hint="default" w:ascii="Times New Roman" w:hAnsi="Times New Roman" w:eastAsia="新宋体" w:cs="Times New Roman"/>
                <w:color w:val="000000" w:themeColor="text1"/>
                <w:szCs w:val="21"/>
                <w14:textFill>
                  <w14:solidFill>
                    <w14:schemeClr w14:val="tx1"/>
                  </w14:solidFill>
                </w14:textFill>
              </w:rPr>
              <w:t>规划：</w:t>
            </w:r>
            <w:r>
              <w:rPr>
                <w:rFonts w:hint="default" w:ascii="Times New Roman" w:hAnsi="Times New Roman" w:cs="Times New Roman"/>
                <w:color w:val="000000" w:themeColor="text1"/>
                <w:szCs w:val="21"/>
                <w14:textFill>
                  <w14:solidFill>
                    <w14:schemeClr w14:val="tx1"/>
                  </w14:solidFill>
                </w14:textFill>
              </w:rPr>
              <w:t>《海门经济技术开发区</w:t>
            </w:r>
            <w:r>
              <w:rPr>
                <w:rFonts w:hint="default" w:ascii="Times New Roman" w:hAnsi="Times New Roman" w:cs="Times New Roman"/>
                <w:color w:val="000000" w:themeColor="text1"/>
                <w:szCs w:val="21"/>
                <w:lang w:val="en-US" w:eastAsia="zh-CN"/>
                <w14:textFill>
                  <w14:solidFill>
                    <w14:schemeClr w14:val="tx1"/>
                  </w14:solidFill>
                </w14:textFill>
              </w:rPr>
              <w:t>开发建设</w:t>
            </w:r>
            <w:r>
              <w:rPr>
                <w:rFonts w:hint="default" w:ascii="Times New Roman" w:hAnsi="Times New Roman" w:cs="Times New Roman"/>
                <w:color w:val="000000" w:themeColor="text1"/>
                <w:szCs w:val="21"/>
                <w14:textFill>
                  <w14:solidFill>
                    <w14:schemeClr w14:val="tx1"/>
                  </w14:solidFill>
                </w14:textFill>
              </w:rPr>
              <w:t>规划（20</w:t>
            </w:r>
            <w:r>
              <w:rPr>
                <w:rFonts w:hint="default" w:ascii="Times New Roman" w:hAnsi="Times New Roman" w:cs="Times New Roman"/>
                <w:color w:val="000000" w:themeColor="text1"/>
                <w:szCs w:val="21"/>
                <w:lang w:val="en-US" w:eastAsia="zh-CN"/>
                <w14:textFill>
                  <w14:solidFill>
                    <w14:schemeClr w14:val="tx1"/>
                  </w14:solidFill>
                </w14:textFill>
              </w:rPr>
              <w:t>22</w:t>
            </w:r>
            <w:r>
              <w:rPr>
                <w:rFonts w:hint="default" w:ascii="Times New Roman" w:hAnsi="Times New Roman" w:cs="Times New Roman"/>
                <w:color w:val="000000" w:themeColor="text1"/>
                <w:szCs w:val="21"/>
                <w14:textFill>
                  <w14:solidFill>
                    <w14:schemeClr w14:val="tx1"/>
                  </w14:solidFill>
                </w14:textFill>
              </w:rPr>
              <w:t>-203</w:t>
            </w: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）环境影响报告书》</w:t>
            </w:r>
          </w:p>
          <w:p w14:paraId="7CF9F59F">
            <w:pPr>
              <w:autoSpaceDE w:val="0"/>
              <w:autoSpaceDN w:val="0"/>
              <w:adjustRightInd w:val="0"/>
              <w:spacing w:line="360" w:lineRule="auto"/>
              <w:jc w:val="left"/>
              <w:rPr>
                <w:rFonts w:hint="default" w:ascii="Times New Roman" w:hAnsi="Times New Roman" w:eastAsia="新宋体" w:cs="Times New Roman"/>
                <w:color w:val="000000" w:themeColor="text1"/>
                <w:szCs w:val="21"/>
                <w:lang w:val="en-US" w:eastAsia="zh-CN"/>
                <w14:textFill>
                  <w14:solidFill>
                    <w14:schemeClr w14:val="tx1"/>
                  </w14:solidFill>
                </w14:textFill>
              </w:rPr>
            </w:pPr>
            <w:r>
              <w:rPr>
                <w:rFonts w:hint="default" w:ascii="Times New Roman" w:hAnsi="Times New Roman" w:eastAsia="新宋体" w:cs="Times New Roman"/>
                <w:color w:val="000000" w:themeColor="text1"/>
                <w:szCs w:val="21"/>
                <w14:textFill>
                  <w14:solidFill>
                    <w14:schemeClr w14:val="tx1"/>
                  </w14:solidFill>
                </w14:textFill>
              </w:rPr>
              <w:t>审批机关：</w:t>
            </w:r>
            <w:r>
              <w:rPr>
                <w:rFonts w:hint="default" w:ascii="Times New Roman" w:hAnsi="Times New Roman" w:eastAsia="新宋体" w:cs="Times New Roman"/>
                <w:color w:val="000000" w:themeColor="text1"/>
                <w:szCs w:val="21"/>
                <w:lang w:val="en-US" w:eastAsia="zh-CN"/>
                <w14:textFill>
                  <w14:solidFill>
                    <w14:schemeClr w14:val="tx1"/>
                  </w14:solidFill>
                </w14:textFill>
              </w:rPr>
              <w:t>江苏省生态环境厅</w:t>
            </w:r>
          </w:p>
          <w:p w14:paraId="6FBFE2E2">
            <w:pPr>
              <w:autoSpaceDE w:val="0"/>
              <w:autoSpaceDN w:val="0"/>
              <w:adjustRightInd w:val="0"/>
              <w:snapToGrid w:val="0"/>
              <w:spacing w:line="360" w:lineRule="auto"/>
              <w:jc w:val="both"/>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新宋体" w:cs="Times New Roman"/>
                <w:color w:val="000000" w:themeColor="text1"/>
                <w:szCs w:val="21"/>
                <w14:textFill>
                  <w14:solidFill>
                    <w14:schemeClr w14:val="tx1"/>
                  </w14:solidFill>
                </w14:textFill>
              </w:rPr>
              <w:t>审批文件名称及文号：《</w:t>
            </w:r>
            <w:r>
              <w:rPr>
                <w:rFonts w:hint="default" w:ascii="Times New Roman" w:hAnsi="Times New Roman" w:eastAsia="新宋体" w:cs="Times New Roman"/>
                <w:color w:val="000000" w:themeColor="text1"/>
                <w:szCs w:val="21"/>
                <w:lang w:val="en-US" w:eastAsia="zh-CN"/>
                <w14:textFill>
                  <w14:solidFill>
                    <w14:schemeClr w14:val="tx1"/>
                  </w14:solidFill>
                </w14:textFill>
              </w:rPr>
              <w:t>省生态环境厅关于海门经济技术开发区建设规划（2022</w:t>
            </w:r>
            <w:r>
              <w:rPr>
                <w:rFonts w:hint="eastAsia" w:ascii="Times New Roman" w:hAnsi="Times New Roman" w:eastAsia="新宋体" w:cs="Times New Roman"/>
                <w:color w:val="000000" w:themeColor="text1"/>
                <w:szCs w:val="21"/>
                <w:lang w:val="en-US" w:eastAsia="zh-CN"/>
                <w14:textFill>
                  <w14:solidFill>
                    <w14:schemeClr w14:val="tx1"/>
                  </w14:solidFill>
                </w14:textFill>
              </w:rPr>
              <w:t>—</w:t>
            </w:r>
            <w:r>
              <w:rPr>
                <w:rFonts w:hint="default" w:ascii="Times New Roman" w:hAnsi="Times New Roman" w:eastAsia="新宋体" w:cs="Times New Roman"/>
                <w:color w:val="000000" w:themeColor="text1"/>
                <w:szCs w:val="21"/>
                <w:lang w:val="en-US" w:eastAsia="zh-CN"/>
                <w14:textFill>
                  <w14:solidFill>
                    <w14:schemeClr w14:val="tx1"/>
                  </w14:solidFill>
                </w14:textFill>
              </w:rPr>
              <w:t>2035年）环境影响报告书的审查意见</w:t>
            </w:r>
            <w:r>
              <w:rPr>
                <w:rFonts w:hint="default" w:ascii="Times New Roman" w:hAnsi="Times New Roman" w:eastAsia="新宋体" w:cs="Times New Roman"/>
                <w:color w:val="000000" w:themeColor="text1"/>
                <w:szCs w:val="21"/>
                <w14:textFill>
                  <w14:solidFill>
                    <w14:schemeClr w14:val="tx1"/>
                  </w14:solidFill>
                </w14:textFill>
              </w:rPr>
              <w:t>》</w:t>
            </w:r>
            <w:r>
              <w:rPr>
                <w:rFonts w:hint="default" w:ascii="Times New Roman" w:hAnsi="Times New Roman" w:eastAsia="新宋体" w:cs="Times New Roman"/>
                <w:color w:val="000000" w:themeColor="text1"/>
                <w:szCs w:val="21"/>
                <w:lang w:eastAsia="zh-CN"/>
                <w14:textFill>
                  <w14:solidFill>
                    <w14:schemeClr w14:val="tx1"/>
                  </w14:solidFill>
                </w14:textFill>
              </w:rPr>
              <w:t>（</w:t>
            </w:r>
            <w:r>
              <w:rPr>
                <w:rFonts w:hint="default" w:ascii="Times New Roman" w:hAnsi="Times New Roman" w:eastAsia="新宋体" w:cs="Times New Roman"/>
                <w:color w:val="000000" w:themeColor="text1"/>
                <w:szCs w:val="21"/>
                <w:lang w:val="en-US" w:eastAsia="zh-CN"/>
                <w14:textFill>
                  <w14:solidFill>
                    <w14:schemeClr w14:val="tx1"/>
                  </w14:solidFill>
                </w14:textFill>
              </w:rPr>
              <w:t>苏</w:t>
            </w:r>
            <w:r>
              <w:rPr>
                <w:rFonts w:hint="default" w:ascii="Times New Roman" w:hAnsi="Times New Roman" w:cs="Times New Roman"/>
                <w:color w:val="000000" w:themeColor="text1"/>
                <w:szCs w:val="21"/>
                <w14:textFill>
                  <w14:solidFill>
                    <w14:schemeClr w14:val="tx1"/>
                  </w14:solidFill>
                </w14:textFill>
              </w:rPr>
              <w:t>环审</w:t>
            </w:r>
            <w:r>
              <w:rPr>
                <w:rFonts w:hint="eastAsia" w:ascii="Times New Roman" w:hAnsi="Times New Roman" w:cs="Times New Roman"/>
                <w:color w:val="000000" w:themeColor="text1"/>
                <w:szCs w:val="21"/>
                <w:lang w:eastAsia="zh-CN"/>
                <w14:textFill>
                  <w14:solidFill>
                    <w14:schemeClr w14:val="tx1"/>
                  </w14:solidFill>
                </w14:textFill>
              </w:rPr>
              <w:t>〔2024〕7号</w:t>
            </w:r>
            <w:r>
              <w:rPr>
                <w:rFonts w:hint="default" w:ascii="Times New Roman" w:hAnsi="Times New Roman" w:cs="Times New Roman"/>
                <w:color w:val="000000" w:themeColor="text1"/>
                <w:szCs w:val="21"/>
                <w:lang w:eastAsia="zh-CN"/>
                <w14:textFill>
                  <w14:solidFill>
                    <w14:schemeClr w14:val="tx1"/>
                  </w14:solidFill>
                </w14:textFill>
              </w:rPr>
              <w:t>）</w:t>
            </w:r>
          </w:p>
        </w:tc>
      </w:tr>
      <w:tr w14:paraId="642CBE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9" w:type="dxa"/>
            <w:noWrap w:val="0"/>
            <w:vAlign w:val="center"/>
          </w:tcPr>
          <w:p w14:paraId="3E302856">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规划及规划环境影响评价符合性分析</w:t>
            </w:r>
          </w:p>
        </w:tc>
        <w:tc>
          <w:tcPr>
            <w:tcW w:w="8121" w:type="dxa"/>
            <w:gridSpan w:val="4"/>
            <w:noWrap w:val="0"/>
            <w:vAlign w:val="center"/>
          </w:tcPr>
          <w:p w14:paraId="5AA43DD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1、与《海门经济技术开发区开发建设规划（2022</w:t>
            </w:r>
            <w:r>
              <w:rPr>
                <w:rFonts w:hint="eastAsia"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w:t>
            </w:r>
            <w:r>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2035年）环境影响报告书》规划相符性</w:t>
            </w:r>
          </w:p>
          <w:p w14:paraId="13318C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根据《海门经济技术开发区开发建设规划（2022-2035 年）环境影响报告书》，规划如下：</w:t>
            </w:r>
          </w:p>
          <w:p w14:paraId="323A2A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规划范围：规划范围除现状老城区成熟居住组团以外，包括了海门经济技术开发区大部分行政辖区，总面积 111.17 平方公里。</w:t>
            </w:r>
          </w:p>
          <w:p w14:paraId="6A24C6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规划期限：近期：2021－2025 年；远期：2026－2035 年。</w:t>
            </w:r>
          </w:p>
          <w:p w14:paraId="5CBDF1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产业定位：聚焦新旧动能转换，提升产业竞争力，坚持主导产业提质增效与战略性新兴产业培育并举，海门经济技术开发区重点打造以海工装备、新一代信息技术、智能制造为主导的现代化产业体系，为高质量发展夯实产业基础。</w:t>
            </w:r>
          </w:p>
          <w:p w14:paraId="21FC1C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①主导产业：海工装备、新一代信息技术、智能制造；</w:t>
            </w:r>
          </w:p>
          <w:p w14:paraId="31EED6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②生产性服务业：电子商务、金融服务、现代物流、信息网络、融资租赁、工业设计、软件与服务外包等；</w:t>
            </w:r>
          </w:p>
          <w:p w14:paraId="336F9EE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③高端生活性服务业：商贸服务、文化、体育、旅游、休闲健康、养老医疗、房地产业等。</w:t>
            </w:r>
          </w:p>
          <w:p w14:paraId="6F2FD6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开发区现有一座热电厂——南通市海门鑫源热电有限公司，位于秀山路以北、民生河以东，现有总装机容量为2×15MW，配备2×75t/h循环流化床锅炉，最大供热能力为280t/h，年发电能力1.6亿kWh</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。2025年规划迁建至开发区青岛路北侧、湘江路东侧，工艺、规模维持不变，以燃煤作为主要燃料，为开发区提供用热服务。根据《南通市区热电联产规划（2022—2025年）》及其批复（苏发改能源发</w:t>
            </w:r>
            <w:r>
              <w:rPr>
                <w:rFonts w:hint="eastAsia" w:ascii="Times New Roman" w:hAnsi="Times New Roman" w:cs="Times New Roman"/>
                <w:b w:val="0"/>
                <w:bCs w:val="0"/>
                <w:color w:val="000000" w:themeColor="text1"/>
                <w:spacing w:val="0"/>
                <w:kern w:val="11"/>
                <w:sz w:val="21"/>
                <w:szCs w:val="21"/>
                <w:highlight w:val="none"/>
                <w:lang w:eastAsia="zh-CN"/>
                <w14:textFill>
                  <w14:solidFill>
                    <w14:schemeClr w14:val="tx1"/>
                  </w14:solidFill>
                </w14:textFill>
              </w:rPr>
              <w:t>〔202</w:t>
            </w:r>
            <w:r>
              <w:rPr>
                <w:rFonts w:hint="eastAsia" w:ascii="Times New Roman" w:hAnsi="Times New Roman" w:cs="Times New Roman"/>
                <w:b w:val="0"/>
                <w:bCs w:val="0"/>
                <w:color w:val="000000" w:themeColor="text1"/>
                <w:spacing w:val="0"/>
                <w:kern w:val="11"/>
                <w:sz w:val="21"/>
                <w:szCs w:val="21"/>
                <w:highlight w:val="none"/>
                <w:lang w:val="en-US" w:eastAsia="zh-CN"/>
                <w14:textFill>
                  <w14:solidFill>
                    <w14:schemeClr w14:val="tx1"/>
                  </w14:solidFill>
                </w14:textFill>
              </w:rPr>
              <w:t>2</w:t>
            </w:r>
            <w:r>
              <w:rPr>
                <w:rFonts w:hint="eastAsia" w:ascii="Times New Roman" w:hAnsi="Times New Roman" w:cs="Times New Roman"/>
                <w:b w:val="0"/>
                <w:bCs w:val="0"/>
                <w:color w:val="000000" w:themeColor="text1"/>
                <w:spacing w:val="0"/>
                <w:kern w:val="11"/>
                <w:sz w:val="21"/>
                <w:szCs w:val="21"/>
                <w:highlight w:val="none"/>
                <w:lang w:eastAsia="zh-CN"/>
                <w14:textFill>
                  <w14:solidFill>
                    <w14:schemeClr w14:val="tx1"/>
                  </w14:solidFill>
                </w14:textFill>
              </w:rPr>
              <w:t>〕</w:t>
            </w:r>
            <w:r>
              <w:rPr>
                <w:rFonts w:hint="eastAsia" w:ascii="Times New Roman" w:hAnsi="Times New Roman" w:cs="Times New Roman"/>
                <w:b w:val="0"/>
                <w:bCs w:val="0"/>
                <w:color w:val="000000" w:themeColor="text1"/>
                <w:spacing w:val="0"/>
                <w:kern w:val="11"/>
                <w:sz w:val="21"/>
                <w:szCs w:val="21"/>
                <w:highlight w:val="none"/>
                <w:lang w:val="en-US" w:eastAsia="zh-CN"/>
                <w14:textFill>
                  <w14:solidFill>
                    <w14:schemeClr w14:val="tx1"/>
                  </w14:solidFill>
                </w14:textFill>
              </w:rPr>
              <w:t>708号</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开发区供热规划由两部分组成，南区（张謇大道以西，上海路以南，主要为謇公湖创智区及滨江工业片区）由迁建后的鑫源热电集中供热，规划供热能力为180t/h；北区（张謇大道以东，上海路以北，主要为老城更新赋能片区）由区外南通深泰热电有限公司（原大千热电）供热，规划提供的供热负荷为60t/h。</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本项目处于南通市海门鑫源热电有限公司的</w:t>
            </w:r>
            <w:r>
              <w:rPr>
                <w:rFonts w:hint="eastAsia" w:ascii="Times New Roman" w:hAnsi="Times New Roman" w:cs="Times New Roman"/>
                <w:color w:val="000000" w:themeColor="text1"/>
                <w:sz w:val="21"/>
                <w:szCs w:val="21"/>
                <w:lang w:val="en-US" w:eastAsia="zh-CN"/>
                <w14:textFill>
                  <w14:solidFill>
                    <w14:schemeClr w14:val="tx1"/>
                  </w14:solidFill>
                </w14:textFill>
              </w:rPr>
              <w:t>供汽</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末端，蒸汽供给十分不稳定，含水量太大，所提供的蒸汽质量达不到产品质量要求，</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且在开始生产前必须对蒸汽管道进行放水放汽处理，造成了资源浪费，</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故企业向开发区各部门申请自建蒸汽锅炉。本项目</w:t>
            </w:r>
            <w:r>
              <w:rPr>
                <w:rFonts w:hint="default" w:ascii="Times New Roman" w:hAnsi="Times New Roman" w:cs="Times New Roman"/>
                <w:color w:val="000000" w:themeColor="text1"/>
                <w:sz w:val="21"/>
                <w:szCs w:val="21"/>
                <w14:textFill>
                  <w14:solidFill>
                    <w14:schemeClr w14:val="tx1"/>
                  </w14:solidFill>
                </w14:textFill>
              </w:rPr>
              <w:t>为</w:t>
            </w:r>
            <w:r>
              <w:rPr>
                <w:rFonts w:hint="default"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，对照产业准入清单可知，本项目不属于禁止引入、限制引入</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类项目</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，符合总体发展规划。</w:t>
            </w:r>
          </w:p>
          <w:p w14:paraId="1A5FA84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spacing w:val="0"/>
                <w:kern w:val="1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2、与</w:t>
            </w:r>
            <w:r>
              <w:rPr>
                <w:rFonts w:hint="default" w:ascii="Times New Roman" w:hAnsi="Times New Roman" w:eastAsia="新宋体" w:cs="Times New Roman"/>
                <w:b/>
                <w:bCs/>
                <w:color w:val="000000" w:themeColor="text1"/>
                <w:szCs w:val="21"/>
                <w14:textFill>
                  <w14:solidFill>
                    <w14:schemeClr w14:val="tx1"/>
                  </w14:solidFill>
                </w14:textFill>
              </w:rPr>
              <w:t>《</w:t>
            </w:r>
            <w:r>
              <w:rPr>
                <w:rFonts w:hint="default" w:ascii="Times New Roman" w:hAnsi="Times New Roman" w:eastAsia="新宋体" w:cs="Times New Roman"/>
                <w:b/>
                <w:bCs/>
                <w:color w:val="000000" w:themeColor="text1"/>
                <w:szCs w:val="21"/>
                <w:lang w:val="en-US" w:eastAsia="zh-CN"/>
                <w14:textFill>
                  <w14:solidFill>
                    <w14:schemeClr w14:val="tx1"/>
                  </w14:solidFill>
                </w14:textFill>
              </w:rPr>
              <w:t>省生态环境厅关于海门经济技术开发区建设规划（2022</w:t>
            </w:r>
            <w:r>
              <w:rPr>
                <w:rFonts w:hint="eastAsia" w:ascii="Times New Roman" w:hAnsi="Times New Roman" w:eastAsia="新宋体" w:cs="Times New Roman"/>
                <w:b/>
                <w:bCs/>
                <w:color w:val="000000" w:themeColor="text1"/>
                <w:szCs w:val="21"/>
                <w:lang w:val="en-US" w:eastAsia="zh-CN"/>
                <w14:textFill>
                  <w14:solidFill>
                    <w14:schemeClr w14:val="tx1"/>
                  </w14:solidFill>
                </w14:textFill>
              </w:rPr>
              <w:t>—</w:t>
            </w:r>
            <w:r>
              <w:rPr>
                <w:rFonts w:hint="default" w:ascii="Times New Roman" w:hAnsi="Times New Roman" w:eastAsia="新宋体" w:cs="Times New Roman"/>
                <w:b/>
                <w:bCs/>
                <w:color w:val="000000" w:themeColor="text1"/>
                <w:szCs w:val="21"/>
                <w:lang w:val="en-US" w:eastAsia="zh-CN"/>
                <w14:textFill>
                  <w14:solidFill>
                    <w14:schemeClr w14:val="tx1"/>
                  </w14:solidFill>
                </w14:textFill>
              </w:rPr>
              <w:t>2035年）环境影响报告书的审查意见</w:t>
            </w:r>
            <w:r>
              <w:rPr>
                <w:rFonts w:hint="default" w:ascii="Times New Roman" w:hAnsi="Times New Roman" w:eastAsia="新宋体" w:cs="Times New Roman"/>
                <w:b/>
                <w:bCs/>
                <w:color w:val="000000" w:themeColor="text1"/>
                <w:szCs w:val="21"/>
                <w14:textFill>
                  <w14:solidFill>
                    <w14:schemeClr w14:val="tx1"/>
                  </w14:solidFill>
                </w14:textFill>
              </w:rPr>
              <w:t>》</w:t>
            </w:r>
            <w:r>
              <w:rPr>
                <w:rFonts w:hint="default" w:ascii="Times New Roman" w:hAnsi="Times New Roman" w:eastAsia="新宋体" w:cs="Times New Roman"/>
                <w:b/>
                <w:bCs/>
                <w:color w:val="000000" w:themeColor="text1"/>
                <w:szCs w:val="21"/>
                <w:lang w:eastAsia="zh-CN"/>
                <w14:textFill>
                  <w14:solidFill>
                    <w14:schemeClr w14:val="tx1"/>
                  </w14:solidFill>
                </w14:textFill>
              </w:rPr>
              <w:t>（</w:t>
            </w:r>
            <w:r>
              <w:rPr>
                <w:rFonts w:hint="default" w:ascii="Times New Roman" w:hAnsi="Times New Roman" w:eastAsia="新宋体" w:cs="Times New Roman"/>
                <w:b/>
                <w:bCs/>
                <w:color w:val="000000" w:themeColor="text1"/>
                <w:szCs w:val="21"/>
                <w:lang w:val="en-US" w:eastAsia="zh-CN"/>
                <w14:textFill>
                  <w14:solidFill>
                    <w14:schemeClr w14:val="tx1"/>
                  </w14:solidFill>
                </w14:textFill>
              </w:rPr>
              <w:t>苏</w:t>
            </w:r>
            <w:r>
              <w:rPr>
                <w:rFonts w:hint="default" w:ascii="Times New Roman" w:hAnsi="Times New Roman" w:cs="Times New Roman"/>
                <w:b/>
                <w:bCs/>
                <w:color w:val="000000" w:themeColor="text1"/>
                <w:szCs w:val="21"/>
                <w14:textFill>
                  <w14:solidFill>
                    <w14:schemeClr w14:val="tx1"/>
                  </w14:solidFill>
                </w14:textFill>
              </w:rPr>
              <w:t>环审</w:t>
            </w:r>
            <w:r>
              <w:rPr>
                <w:rFonts w:hint="eastAsia" w:ascii="Times New Roman" w:hAnsi="Times New Roman" w:cs="Times New Roman"/>
                <w:b/>
                <w:bCs/>
                <w:color w:val="000000" w:themeColor="text1"/>
                <w:szCs w:val="21"/>
                <w:lang w:eastAsia="zh-CN"/>
                <w14:textFill>
                  <w14:solidFill>
                    <w14:schemeClr w14:val="tx1"/>
                  </w14:solidFill>
                </w14:textFill>
              </w:rPr>
              <w:t>〔2024〕7号</w:t>
            </w:r>
            <w:r>
              <w:rPr>
                <w:rFonts w:hint="default" w:ascii="Times New Roman" w:hAnsi="Times New Roman" w:cs="Times New Roman"/>
                <w:b/>
                <w:bCs/>
                <w:color w:val="000000" w:themeColor="text1"/>
                <w:szCs w:val="21"/>
                <w:lang w:eastAsia="zh-CN"/>
                <w14:textFill>
                  <w14:solidFill>
                    <w14:schemeClr w14:val="tx1"/>
                  </w14:solidFill>
                </w14:textFill>
              </w:rPr>
              <w:t>）</w:t>
            </w:r>
            <w:r>
              <w:rPr>
                <w:rFonts w:hint="default" w:ascii="Times New Roman" w:hAnsi="Times New Roman" w:cs="Times New Roman"/>
                <w:b/>
                <w:bCs/>
                <w:color w:val="000000" w:themeColor="text1"/>
                <w:spacing w:val="0"/>
                <w:kern w:val="11"/>
                <w:sz w:val="21"/>
                <w:szCs w:val="21"/>
                <w:highlight w:val="none"/>
                <w:lang w:eastAsia="zh-CN"/>
                <w14:textFill>
                  <w14:solidFill>
                    <w14:schemeClr w14:val="tx1"/>
                  </w14:solidFill>
                </w14:textFill>
              </w:rPr>
              <w:t>符合性分析</w:t>
            </w:r>
          </w:p>
          <w:p w14:paraId="6FED10F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表1-</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与</w:t>
            </w:r>
            <w:r>
              <w:rPr>
                <w:rFonts w:hint="default" w:ascii="Times New Roman" w:hAnsi="Times New Roman" w:cs="Times New Roman"/>
                <w:b/>
                <w:bCs/>
                <w:color w:val="000000" w:themeColor="text1"/>
                <w:spacing w:val="0"/>
                <w:kern w:val="1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省生态环境厅关于海门经济技术开发区建设规划（2022</w:t>
            </w:r>
            <w:r>
              <w:rPr>
                <w:rFonts w:hint="eastAsia"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w:t>
            </w:r>
            <w:r>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2035年）环境影响报告书的审查意见</w:t>
            </w:r>
            <w:r>
              <w:rPr>
                <w:rFonts w:hint="default" w:ascii="Times New Roman" w:hAnsi="Times New Roman" w:cs="Times New Roman"/>
                <w:b/>
                <w:bCs/>
                <w:color w:val="000000" w:themeColor="text1"/>
                <w:spacing w:val="0"/>
                <w:kern w:val="1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苏</w:t>
            </w:r>
            <w:r>
              <w:rPr>
                <w:rFonts w:hint="default" w:ascii="Times New Roman" w:hAnsi="Times New Roman" w:cs="Times New Roman"/>
                <w:b/>
                <w:bCs/>
                <w:color w:val="000000" w:themeColor="text1"/>
                <w:spacing w:val="0"/>
                <w:kern w:val="11"/>
                <w:sz w:val="21"/>
                <w:szCs w:val="21"/>
                <w:highlight w:val="none"/>
                <w:lang w:eastAsia="zh-CN"/>
                <w14:textFill>
                  <w14:solidFill>
                    <w14:schemeClr w14:val="tx1"/>
                  </w14:solidFill>
                </w14:textFill>
              </w:rPr>
              <w:t>环审</w:t>
            </w:r>
            <w:r>
              <w:rPr>
                <w:rFonts w:hint="eastAsia" w:ascii="Times New Roman" w:hAnsi="Times New Roman" w:cs="Times New Roman"/>
                <w:b/>
                <w:bCs/>
                <w:color w:val="000000" w:themeColor="text1"/>
                <w:spacing w:val="0"/>
                <w:kern w:val="11"/>
                <w:sz w:val="21"/>
                <w:szCs w:val="21"/>
                <w:highlight w:val="none"/>
                <w:lang w:eastAsia="zh-CN"/>
                <w14:textFill>
                  <w14:solidFill>
                    <w14:schemeClr w14:val="tx1"/>
                  </w14:solidFill>
                </w14:textFill>
              </w:rPr>
              <w:t>〔2024〕7号</w:t>
            </w:r>
            <w:r>
              <w:rPr>
                <w:rFonts w:hint="default" w:ascii="Times New Roman" w:hAnsi="Times New Roman" w:cs="Times New Roman"/>
                <w:b/>
                <w:bCs/>
                <w:color w:val="000000" w:themeColor="text1"/>
                <w:spacing w:val="0"/>
                <w:kern w:val="11"/>
                <w:sz w:val="21"/>
                <w:szCs w:val="21"/>
                <w:highlight w:val="none"/>
                <w:lang w:eastAsia="zh-CN"/>
                <w14:textFill>
                  <w14:solidFill>
                    <w14:schemeClr w14:val="tx1"/>
                  </w14:solidFill>
                </w14:textFill>
              </w:rPr>
              <w:t>）相符性分析</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4289"/>
              <w:gridCol w:w="2159"/>
              <w:gridCol w:w="980"/>
            </w:tblGrid>
            <w:tr w14:paraId="04FE7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0" w:type="pct"/>
                  <w:tcBorders>
                    <w:tl2br w:val="nil"/>
                    <w:tr2bl w:val="nil"/>
                  </w:tcBorders>
                  <w:noWrap w:val="0"/>
                  <w:vAlign w:val="center"/>
                </w:tcPr>
                <w:p w14:paraId="0F73BD24">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序号</w:t>
                  </w:r>
                </w:p>
              </w:tc>
              <w:tc>
                <w:tcPr>
                  <w:tcW w:w="2713" w:type="pct"/>
                  <w:tcBorders>
                    <w:tl2br w:val="nil"/>
                    <w:tr2bl w:val="nil"/>
                  </w:tcBorders>
                  <w:noWrap w:val="0"/>
                  <w:vAlign w:val="center"/>
                </w:tcPr>
                <w:p w14:paraId="49E81C84">
                  <w:pPr>
                    <w:adjustRightInd w:val="0"/>
                    <w:snapToGrid w:val="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规划环评批复具体内容</w:t>
                  </w:r>
                </w:p>
              </w:tc>
              <w:tc>
                <w:tcPr>
                  <w:tcW w:w="1366" w:type="pct"/>
                  <w:tcBorders>
                    <w:tl2br w:val="nil"/>
                    <w:tr2bl w:val="nil"/>
                  </w:tcBorders>
                  <w:noWrap w:val="0"/>
                  <w:vAlign w:val="center"/>
                </w:tcPr>
                <w:p w14:paraId="30A30EA8">
                  <w:pPr>
                    <w:adjustRightInd w:val="0"/>
                    <w:snapToGrid w:val="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本项目情况</w:t>
                  </w:r>
                </w:p>
              </w:tc>
              <w:tc>
                <w:tcPr>
                  <w:tcW w:w="620" w:type="pct"/>
                  <w:tcBorders>
                    <w:tl2br w:val="nil"/>
                    <w:tr2bl w:val="nil"/>
                  </w:tcBorders>
                  <w:noWrap w:val="0"/>
                  <w:vAlign w:val="center"/>
                </w:tcPr>
                <w:p w14:paraId="65D3A9DD">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相符性</w:t>
                  </w:r>
                </w:p>
              </w:tc>
            </w:tr>
            <w:tr w14:paraId="0BA10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0" w:type="pct"/>
                  <w:tcBorders>
                    <w:tl2br w:val="nil"/>
                    <w:tr2bl w:val="nil"/>
                  </w:tcBorders>
                  <w:noWrap w:val="0"/>
                  <w:vAlign w:val="center"/>
                </w:tcPr>
                <w:p w14:paraId="307E93C3">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2713" w:type="pct"/>
                  <w:tcBorders>
                    <w:tl2br w:val="nil"/>
                    <w:tr2bl w:val="nil"/>
                  </w:tcBorders>
                  <w:noWrap w:val="0"/>
                  <w:vAlign w:val="center"/>
                </w:tcPr>
                <w:p w14:paraId="74F98D46">
                  <w:pPr>
                    <w:widowControl/>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一</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规划》应深入贯彻落实习近平生态文明思想，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推进生态环境高水平保护与经济高质量发展。</w:t>
                  </w:r>
                </w:p>
              </w:tc>
              <w:tc>
                <w:tcPr>
                  <w:tcW w:w="1366" w:type="pct"/>
                  <w:tcBorders>
                    <w:tl2br w:val="nil"/>
                    <w:tr2bl w:val="nil"/>
                  </w:tcBorders>
                  <w:noWrap w:val="0"/>
                  <w:vAlign w:val="center"/>
                </w:tcPr>
                <w:p w14:paraId="0FC88DF4">
                  <w:pPr>
                    <w:widowControl/>
                    <w:jc w:val="both"/>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11"/>
                      <w:sz w:val="21"/>
                      <w:szCs w:val="21"/>
                      <w:highlight w:val="none"/>
                      <w:lang w:val="en-US" w:eastAsia="zh-CN"/>
                      <w14:textFill>
                        <w14:solidFill>
                          <w14:schemeClr w14:val="tx1"/>
                        </w14:solidFill>
                      </w14:textFill>
                    </w:rPr>
                    <w:t>本项目位于江</w:t>
                  </w:r>
                  <w:r>
                    <w:rPr>
                      <w:rFonts w:hint="default" w:ascii="Times New Roman" w:hAnsi="Times New Roman" w:cs="Times New Roman"/>
                      <w:color w:val="000000" w:themeColor="text1"/>
                      <w:szCs w:val="21"/>
                      <w14:textFill>
                        <w14:solidFill>
                          <w14:schemeClr w14:val="tx1"/>
                        </w14:solidFill>
                      </w14:textFill>
                    </w:rPr>
                    <w:t>苏省南通市</w:t>
                  </w:r>
                  <w:r>
                    <w:rPr>
                      <w:rFonts w:hint="default" w:ascii="Times New Roman" w:hAnsi="Times New Roman" w:cs="Times New Roman"/>
                      <w:color w:val="000000" w:themeColor="text1"/>
                      <w:szCs w:val="21"/>
                      <w:lang w:eastAsia="zh-CN"/>
                      <w14:textFill>
                        <w14:solidFill>
                          <w14:schemeClr w14:val="tx1"/>
                        </w14:solidFill>
                      </w14:textFill>
                    </w:rPr>
                    <w:t>海门经济技术开发区</w:t>
                  </w:r>
                  <w:r>
                    <w:rPr>
                      <w:rFonts w:hint="default" w:ascii="Times New Roman" w:hAnsi="Times New Roman" w:cs="Times New Roman"/>
                      <w:color w:val="000000" w:themeColor="text1"/>
                      <w:szCs w:val="21"/>
                      <w:lang w:val="en-US" w:eastAsia="zh-CN"/>
                      <w14:textFill>
                        <w14:solidFill>
                          <w14:schemeClr w14:val="tx1"/>
                        </w14:solidFill>
                      </w14:textFill>
                    </w:rPr>
                    <w:t>人民东路南、通源路西侧</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，符合总体发展规划。</w:t>
                  </w:r>
                </w:p>
              </w:tc>
              <w:tc>
                <w:tcPr>
                  <w:tcW w:w="620" w:type="pct"/>
                  <w:tcBorders>
                    <w:tl2br w:val="nil"/>
                    <w:tr2bl w:val="nil"/>
                  </w:tcBorders>
                  <w:noWrap w:val="0"/>
                  <w:vAlign w:val="center"/>
                </w:tcPr>
                <w:p w14:paraId="70D64195">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相符</w:t>
                  </w:r>
                </w:p>
              </w:tc>
            </w:tr>
            <w:tr w14:paraId="1A836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0" w:type="pct"/>
                  <w:tcBorders>
                    <w:tl2br w:val="nil"/>
                    <w:tr2bl w:val="nil"/>
                  </w:tcBorders>
                  <w:noWrap w:val="0"/>
                  <w:vAlign w:val="center"/>
                </w:tcPr>
                <w:p w14:paraId="4AA5081B">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2713" w:type="pct"/>
                  <w:tcBorders>
                    <w:tl2br w:val="nil"/>
                    <w:tr2bl w:val="nil"/>
                  </w:tcBorders>
                  <w:noWrap w:val="0"/>
                  <w:vAlign w:val="center"/>
                </w:tcPr>
                <w:p w14:paraId="0AE2D9F3">
                  <w:pPr>
                    <w:widowControl/>
                    <w:jc w:val="both"/>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二</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严格空间管控，优化空间布局。严格落实生态空间管控要求，海门河清水通道维护区、海门区沿江堤防生态公益林和謇公湖重要湿地等 3 处生态空间管控区原则上不得开展有损主导生态功能的开发建设活动，不得随意占用和调整。开发区内绿地及水域在规划期内原则上不得开发利用。加快推进老城片区工居混杂用地综合整治，南通市先锋印刷有限公司、南通东莲纺织品有限公司、乾钟鞋业</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海门</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有限公司、海门市星苑绣衣有限责任公司、南通铭家纺织品有限公司等 5家企业于 2025 年前退出。强化工业企业退出和产业升级过程中的污染防治、生态修复。严格落实企业卫生防护距离要求，企业卫生防护距离内不得规划布局敏感目标。加强滨江片区浒通河两侧居住用地与工业用地之间100 米绿化防护带建设，排放 VOCs、氨气等废气污染物的企业远离居住用地布置，确保开发区产业布局与生态环境保护、人居环境安全相协调。</w:t>
                  </w:r>
                </w:p>
              </w:tc>
              <w:tc>
                <w:tcPr>
                  <w:tcW w:w="1366" w:type="pct"/>
                  <w:tcBorders>
                    <w:tl2br w:val="nil"/>
                    <w:tr2bl w:val="nil"/>
                  </w:tcBorders>
                  <w:noWrap w:val="0"/>
                  <w:vAlign w:val="center"/>
                </w:tcPr>
                <w:p w14:paraId="6781E135">
                  <w:pPr>
                    <w:widowControl/>
                    <w:jc w:val="both"/>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本项目不涉及生态管控空间。建设项目</w:t>
                  </w:r>
                  <w:r>
                    <w:rPr>
                      <w:rFonts w:hint="default" w:ascii="Times New Roman" w:hAnsi="Times New Roman" w:cs="Times New Roman"/>
                      <w:color w:val="000000" w:themeColor="text1"/>
                      <w:spacing w:val="0"/>
                      <w:kern w:val="11"/>
                      <w:sz w:val="21"/>
                      <w:szCs w:val="21"/>
                      <w:highlight w:val="none"/>
                      <w:lang w:val="en-US" w:eastAsia="zh-CN"/>
                      <w14:textFill>
                        <w14:solidFill>
                          <w14:schemeClr w14:val="tx1"/>
                        </w14:solidFill>
                      </w14:textFill>
                    </w:rPr>
                    <w:t>位于江</w:t>
                  </w:r>
                  <w:r>
                    <w:rPr>
                      <w:rFonts w:hint="default" w:ascii="Times New Roman" w:hAnsi="Times New Roman" w:cs="Times New Roman"/>
                      <w:color w:val="000000" w:themeColor="text1"/>
                      <w:szCs w:val="21"/>
                      <w14:textFill>
                        <w14:solidFill>
                          <w14:schemeClr w14:val="tx1"/>
                        </w14:solidFill>
                      </w14:textFill>
                    </w:rPr>
                    <w:t>苏省南通市</w:t>
                  </w:r>
                  <w:r>
                    <w:rPr>
                      <w:rFonts w:hint="default" w:ascii="Times New Roman" w:hAnsi="Times New Roman" w:cs="Times New Roman"/>
                      <w:color w:val="000000" w:themeColor="text1"/>
                      <w:szCs w:val="21"/>
                      <w:lang w:eastAsia="zh-CN"/>
                      <w14:textFill>
                        <w14:solidFill>
                          <w14:schemeClr w14:val="tx1"/>
                        </w14:solidFill>
                      </w14:textFill>
                    </w:rPr>
                    <w:t>海门经济技术开发区</w:t>
                  </w:r>
                  <w:r>
                    <w:rPr>
                      <w:rFonts w:hint="default" w:ascii="Times New Roman" w:hAnsi="Times New Roman" w:cs="Times New Roman"/>
                      <w:color w:val="000000" w:themeColor="text1"/>
                      <w:szCs w:val="21"/>
                      <w:lang w:val="en-US" w:eastAsia="zh-CN"/>
                      <w14:textFill>
                        <w14:solidFill>
                          <w14:schemeClr w14:val="tx1"/>
                        </w14:solidFill>
                      </w14:textFill>
                    </w:rPr>
                    <w:t>人民东路南、通源路西侧</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，不属于海门区沿江堤防生态公益林内；不属于海门长江饮用水水源保护区范围内；</w:t>
                  </w:r>
                  <w:r>
                    <w:rPr>
                      <w:rFonts w:hint="default" w:ascii="Times New Roman" w:hAnsi="Times New Roman" w:cs="Times New Roman"/>
                      <w:color w:val="000000" w:themeColor="text1"/>
                      <w:sz w:val="21"/>
                      <w:szCs w:val="21"/>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，属于允许类，符合总体发展规划。</w:t>
                  </w:r>
                </w:p>
              </w:tc>
              <w:tc>
                <w:tcPr>
                  <w:tcW w:w="620" w:type="pct"/>
                  <w:tcBorders>
                    <w:tl2br w:val="nil"/>
                    <w:tr2bl w:val="nil"/>
                  </w:tcBorders>
                  <w:noWrap w:val="0"/>
                  <w:vAlign w:val="center"/>
                </w:tcPr>
                <w:p w14:paraId="669EB45D">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相符</w:t>
                  </w:r>
                </w:p>
              </w:tc>
            </w:tr>
            <w:tr w14:paraId="7742D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0" w:type="pct"/>
                  <w:tcBorders>
                    <w:tl2br w:val="nil"/>
                    <w:tr2bl w:val="nil"/>
                  </w:tcBorders>
                  <w:noWrap w:val="0"/>
                  <w:vAlign w:val="center"/>
                </w:tcPr>
                <w:p w14:paraId="679750C3">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2713" w:type="pct"/>
                  <w:tcBorders>
                    <w:tl2br w:val="nil"/>
                    <w:tr2bl w:val="nil"/>
                  </w:tcBorders>
                  <w:noWrap w:val="0"/>
                  <w:vAlign w:val="center"/>
                </w:tcPr>
                <w:p w14:paraId="19B4E43B">
                  <w:pPr>
                    <w:widowControl/>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严守环境质量底线，实施污染物排放限值限量管理。落实国家和江苏省关于大气、水、土壤、噪声污染防治、区域生态环境分区管控、工业园区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集中区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污染物排放限值限量管理相关要求，建立以环境质量为核心的污染物总量控制管理体系，实施主要污染物排放浓度和总量“双管控”。2025 年，开发区环境空气细颗粒物</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PM2.5</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年均浓度应达到 25 微克/立方米；大港河、新江海河、立新河稳定达到 II 类水质标准。</w:t>
                  </w:r>
                </w:p>
              </w:tc>
              <w:tc>
                <w:tcPr>
                  <w:tcW w:w="1366" w:type="pct"/>
                  <w:tcBorders>
                    <w:tl2br w:val="nil"/>
                    <w:tr2bl w:val="nil"/>
                  </w:tcBorders>
                  <w:noWrap w:val="0"/>
                  <w:vAlign w:val="center"/>
                </w:tcPr>
                <w:p w14:paraId="3D0902FD">
                  <w:pPr>
                    <w:widowControl/>
                    <w:jc w:val="both"/>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本项目采取有效污染防治措施，废水、废气及噪声均可达标排放，排放总量在海门区内平衡</w:t>
                  </w:r>
                </w:p>
              </w:tc>
              <w:tc>
                <w:tcPr>
                  <w:tcW w:w="620" w:type="pct"/>
                  <w:tcBorders>
                    <w:tl2br w:val="nil"/>
                    <w:tr2bl w:val="nil"/>
                  </w:tcBorders>
                  <w:noWrap w:val="0"/>
                  <w:vAlign w:val="center"/>
                </w:tcPr>
                <w:p w14:paraId="62F34C1B">
                  <w:pPr>
                    <w:widowControl/>
                    <w:jc w:val="cente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相符</w:t>
                  </w:r>
                </w:p>
              </w:tc>
            </w:tr>
            <w:tr w14:paraId="4E3CF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0" w:type="pct"/>
                  <w:tcBorders>
                    <w:tl2br w:val="nil"/>
                    <w:tr2bl w:val="nil"/>
                  </w:tcBorders>
                  <w:noWrap w:val="0"/>
                  <w:vAlign w:val="center"/>
                </w:tcPr>
                <w:p w14:paraId="57220E1A">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2713" w:type="pct"/>
                  <w:tcBorders>
                    <w:tl2br w:val="nil"/>
                    <w:tr2bl w:val="nil"/>
                  </w:tcBorders>
                  <w:noWrap w:val="0"/>
                  <w:vAlign w:val="center"/>
                </w:tcPr>
                <w:p w14:paraId="694CE20E">
                  <w:pPr>
                    <w:widowControl/>
                    <w:jc w:val="both"/>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四</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加强源头治理，协同推进减污降碳。严格落实生态环境准入清单，落实《报告书》提出的生态环境准入要求，严格限制与主导产业不相关且排污负荷大的项目入区，执行最严格的废水、废气排放控制要求。强化企业特征污染物排放控制、高效治理设施建设，落实精细化管控要求。引进项目的生产工艺、设备，以及单位产品水耗、能耗、污染物排放和资源利用效率等应达到同行业国际先进水平。全面开展清洁生产审核，推动重点行业依法实施强制性审核，引导其他行业自觉自愿开展审核，不断提高现有企业清洁生产和污染治理水平。根据国家和地方碳减排、碳达峰行动方案和路径要求，推进开发区绿色低碳转型发展，优化产业结构、能源结构、交通运输等规划</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p>
              </w:tc>
              <w:tc>
                <w:tcPr>
                  <w:tcW w:w="1366" w:type="pct"/>
                  <w:tcBorders>
                    <w:tl2br w:val="nil"/>
                    <w:tr2bl w:val="nil"/>
                  </w:tcBorders>
                  <w:noWrap w:val="0"/>
                  <w:vAlign w:val="center"/>
                </w:tcPr>
                <w:p w14:paraId="4D5F4621">
                  <w:pPr>
                    <w:widowControl/>
                    <w:jc w:val="both"/>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本项目所使用的能源主要为水、电、天然气，物耗及能耗水平均较低。</w:t>
                  </w:r>
                </w:p>
              </w:tc>
              <w:tc>
                <w:tcPr>
                  <w:tcW w:w="620" w:type="pct"/>
                  <w:tcBorders>
                    <w:tl2br w:val="nil"/>
                    <w:tr2bl w:val="nil"/>
                  </w:tcBorders>
                  <w:noWrap w:val="0"/>
                  <w:vAlign w:val="center"/>
                </w:tcPr>
                <w:p w14:paraId="743B5760">
                  <w:pPr>
                    <w:widowControl/>
                    <w:jc w:val="cente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相符</w:t>
                  </w:r>
                </w:p>
              </w:tc>
            </w:tr>
            <w:tr w14:paraId="7340D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0" w:type="pct"/>
                  <w:tcBorders>
                    <w:tl2br w:val="nil"/>
                    <w:tr2bl w:val="nil"/>
                  </w:tcBorders>
                  <w:noWrap w:val="0"/>
                  <w:vAlign w:val="center"/>
                </w:tcPr>
                <w:p w14:paraId="5068705F">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2713" w:type="pct"/>
                  <w:tcBorders>
                    <w:tl2br w:val="nil"/>
                    <w:tr2bl w:val="nil"/>
                  </w:tcBorders>
                  <w:noWrap w:val="0"/>
                  <w:vAlign w:val="center"/>
                </w:tcPr>
                <w:p w14:paraId="7053BEC4">
                  <w:pPr>
                    <w:widowControl/>
                    <w:jc w:val="both"/>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五</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完善环境基础设施建设，提高基础设施运行效能。完善区域污水管网建设，加快推进东洲污水处理厂、开发区污水处理厂扩建工程，确保工业废水与生活污水分类收集、分质处理；根据新一代信息技术产业项目引进情况推进工业绿岛建设，确保重金属废水“零排放”。推进中水回用设施及配套管网建设，确保开发区中水回用率不低于 30%。定期开展开发区污水管网渗漏排查工作，建立健全地下水污染监督、检查、管理及修复机制。积极推进供热管网建设，依托海门鑫源热电厂实施集中供热。加强开发区固体废物资源化、减量化、无害化处理，一般工业固废、危险废物应依法依规收集、处理处置，做到“就地分类收集、就近转移处置”。推进开发区固体废物储运中心建设，提升园区危废监管水平。</w:t>
                  </w:r>
                </w:p>
              </w:tc>
              <w:tc>
                <w:tcPr>
                  <w:tcW w:w="1366" w:type="pct"/>
                  <w:tcBorders>
                    <w:tl2br w:val="nil"/>
                    <w:tr2bl w:val="nil"/>
                  </w:tcBorders>
                  <w:noWrap w:val="0"/>
                  <w:vAlign w:val="center"/>
                </w:tcPr>
                <w:p w14:paraId="0FCBA3F0">
                  <w:pPr>
                    <w:widowControl/>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本项目处于南通市海门鑫源热电有限公司的</w:t>
                  </w:r>
                  <w:r>
                    <w:rPr>
                      <w:rFonts w:hint="eastAsia" w:ascii="Times New Roman" w:hAnsi="Times New Roman" w:cs="Times New Roman"/>
                      <w:color w:val="000000" w:themeColor="text1"/>
                      <w:sz w:val="21"/>
                      <w:szCs w:val="21"/>
                      <w:lang w:val="en-US" w:eastAsia="zh-CN"/>
                      <w14:textFill>
                        <w14:solidFill>
                          <w14:schemeClr w14:val="tx1"/>
                        </w14:solidFill>
                      </w14:textFill>
                    </w:rPr>
                    <w:t>供汽</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末端，蒸汽供给十分不稳定，含水量太大，所提供的蒸汽质量达不到产品质量要求，</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且在开始生产前必须对蒸汽管道进行放水放汽处理，造成了资源浪费，故企业向开发区各部门申请自建蒸汽锅炉并取得同意。</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废气经污染治理措施治理后达标排放；</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污水经处理后接管达标排放</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；固废妥善处置零排放</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620" w:type="pct"/>
                  <w:tcBorders>
                    <w:tl2br w:val="nil"/>
                    <w:tr2bl w:val="nil"/>
                  </w:tcBorders>
                  <w:noWrap w:val="0"/>
                  <w:vAlign w:val="center"/>
                </w:tcPr>
                <w:p w14:paraId="69FE6358">
                  <w:pPr>
                    <w:widowControl/>
                    <w:jc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相符</w:t>
                  </w:r>
                </w:p>
              </w:tc>
            </w:tr>
            <w:tr w14:paraId="4B2C0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0" w:type="pct"/>
                  <w:tcBorders>
                    <w:tl2br w:val="nil"/>
                    <w:tr2bl w:val="nil"/>
                  </w:tcBorders>
                  <w:noWrap w:val="0"/>
                  <w:vAlign w:val="center"/>
                </w:tcPr>
                <w:p w14:paraId="611DF685">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w:t>
                  </w:r>
                </w:p>
              </w:tc>
              <w:tc>
                <w:tcPr>
                  <w:tcW w:w="2713" w:type="pct"/>
                  <w:tcBorders>
                    <w:tl2br w:val="nil"/>
                    <w:tr2bl w:val="nil"/>
                  </w:tcBorders>
                  <w:noWrap w:val="0"/>
                  <w:vAlign w:val="center"/>
                </w:tcPr>
                <w:p w14:paraId="294CD9EF">
                  <w:pPr>
                    <w:widowControl/>
                    <w:jc w:val="both"/>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六</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建立健全环境监测监控体系。开展包括环境空气、地表水、地下水、土壤、底泥等环境要素的长期跟踪监测与管理。结合区域跟踪监测情况，动态调整开发区开发建设规模和时序进度，优化生态环境保护措施，确保区域环境质量不恶化。对于企业关闭、搬迁遗留的污染地块应依法开展土壤污染状况调查、治理与修复工作。严格落实环境质量监测要求，建立开发区土壤和地下水隐患排查制度并纳入监控预警体系。探索开展新污染物环境本底调查监测，依法公开新污染物信息。指导区内企业规范安装在线监测设备并联网，推进区内排污许可重点管理单位自动监测全覆盖</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暂不具备安装在线监测设备条件的企业，应做好委托监测工作。积极推进氟化物污染物排放及水环境质量的监测监控，区内重点涉氟企业雨水、污水排放口应安装氟化物自动监控系统并联网。</w:t>
                  </w:r>
                </w:p>
              </w:tc>
              <w:tc>
                <w:tcPr>
                  <w:tcW w:w="1366" w:type="pct"/>
                  <w:tcBorders>
                    <w:tl2br w:val="nil"/>
                    <w:tr2bl w:val="nil"/>
                  </w:tcBorders>
                  <w:noWrap w:val="0"/>
                  <w:vAlign w:val="center"/>
                </w:tcPr>
                <w:p w14:paraId="64395B3E">
                  <w:pPr>
                    <w:widowControl/>
                    <w:jc w:val="both"/>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本项目建成后要求企业定期开展自行监测。</w:t>
                  </w:r>
                </w:p>
              </w:tc>
              <w:tc>
                <w:tcPr>
                  <w:tcW w:w="620" w:type="pct"/>
                  <w:tcBorders>
                    <w:tl2br w:val="nil"/>
                    <w:tr2bl w:val="nil"/>
                  </w:tcBorders>
                  <w:noWrap w:val="0"/>
                  <w:vAlign w:val="center"/>
                </w:tcPr>
                <w:p w14:paraId="637A2B9F">
                  <w:pPr>
                    <w:widowControl/>
                    <w:jc w:val="cente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相符</w:t>
                  </w:r>
                </w:p>
              </w:tc>
            </w:tr>
            <w:tr w14:paraId="3C045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0" w:type="pct"/>
                  <w:tcBorders>
                    <w:tl2br w:val="nil"/>
                    <w:tr2bl w:val="nil"/>
                  </w:tcBorders>
                  <w:noWrap w:val="0"/>
                  <w:vAlign w:val="center"/>
                </w:tcPr>
                <w:p w14:paraId="684C8BFC">
                  <w:pPr>
                    <w:widowControl/>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w:t>
                  </w:r>
                </w:p>
              </w:tc>
              <w:tc>
                <w:tcPr>
                  <w:tcW w:w="2713" w:type="pct"/>
                  <w:tcBorders>
                    <w:tl2br w:val="nil"/>
                    <w:tr2bl w:val="nil"/>
                  </w:tcBorders>
                  <w:noWrap w:val="0"/>
                  <w:vAlign w:val="center"/>
                </w:tcPr>
                <w:p w14:paraId="328910F8">
                  <w:pPr>
                    <w:widowControl/>
                    <w:jc w:val="both"/>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七</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健全环境风险防控体系，提升环境应急能力。强化入河排污口监督管理，有效管控入河污染物排放，加强通江河流环境风险管理，确保海门长江饮用水源保护区用水安全。进一步完善开发区特别是以涉重片区为重点的突发水污染事件风险防控体系建设，确保“小事故不出厂区、大事故不出园区”。加强环境应急基础设施建设，配备充足的应急装备物资</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提高环境应急救援能力。建立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涉重金属企业构筑“风险单元</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管网、应急池</w:t>
                  </w:r>
                  <w:r>
                    <w:rPr>
                      <w:rFonts w:hint="eastAsia"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厂界”环境风险防控体系，严防涉重金属突发水污染事件。</w:t>
                  </w:r>
                </w:p>
              </w:tc>
              <w:tc>
                <w:tcPr>
                  <w:tcW w:w="1366" w:type="pct"/>
                  <w:tcBorders>
                    <w:tl2br w:val="nil"/>
                    <w:tr2bl w:val="nil"/>
                  </w:tcBorders>
                  <w:noWrap w:val="0"/>
                  <w:vAlign w:val="center"/>
                </w:tcPr>
                <w:p w14:paraId="5BB97551">
                  <w:pPr>
                    <w:widowControl/>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本项目建成后将制定环境风险应急预案，同时企业内储备有足够的环境应急物资，实现环境风险联防联控，故能满足环境风险防控的相关要求。</w:t>
                  </w:r>
                </w:p>
              </w:tc>
              <w:tc>
                <w:tcPr>
                  <w:tcW w:w="620" w:type="pct"/>
                  <w:tcBorders>
                    <w:tl2br w:val="nil"/>
                    <w:tr2bl w:val="nil"/>
                  </w:tcBorders>
                  <w:noWrap w:val="0"/>
                  <w:vAlign w:val="center"/>
                </w:tcPr>
                <w:p w14:paraId="3A88EFB4">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相符</w:t>
                  </w:r>
                </w:p>
              </w:tc>
            </w:tr>
          </w:tbl>
          <w:p w14:paraId="45E3EF67">
            <w:pPr>
              <w:snapToGrid w:val="0"/>
              <w:spacing w:line="360" w:lineRule="auto"/>
              <w:ind w:firstLine="420" w:firstLineChars="200"/>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由上表可知，本项目建设符合</w:t>
            </w:r>
            <w:r>
              <w:rPr>
                <w:rFonts w:hint="default" w:ascii="Times New Roman" w:hAnsi="Times New Roman" w:eastAsia="新宋体" w:cs="Times New Roman"/>
                <w:color w:val="000000" w:themeColor="text1"/>
                <w:szCs w:val="21"/>
                <w14:textFill>
                  <w14:solidFill>
                    <w14:schemeClr w14:val="tx1"/>
                  </w14:solidFill>
                </w14:textFill>
              </w:rPr>
              <w:t>《</w:t>
            </w:r>
            <w:r>
              <w:rPr>
                <w:rFonts w:hint="default" w:ascii="Times New Roman" w:hAnsi="Times New Roman" w:eastAsia="新宋体" w:cs="Times New Roman"/>
                <w:color w:val="000000" w:themeColor="text1"/>
                <w:szCs w:val="21"/>
                <w:lang w:val="en-US" w:eastAsia="zh-CN"/>
                <w14:textFill>
                  <w14:solidFill>
                    <w14:schemeClr w14:val="tx1"/>
                  </w14:solidFill>
                </w14:textFill>
              </w:rPr>
              <w:t>省生态环境厅关于海门经济技术开发区建设规划（2022</w:t>
            </w:r>
            <w:r>
              <w:rPr>
                <w:rFonts w:hint="eastAsia" w:ascii="Times New Roman" w:hAnsi="Times New Roman" w:eastAsia="新宋体" w:cs="Times New Roman"/>
                <w:color w:val="000000" w:themeColor="text1"/>
                <w:szCs w:val="21"/>
                <w:lang w:val="en-US" w:eastAsia="zh-CN"/>
                <w14:textFill>
                  <w14:solidFill>
                    <w14:schemeClr w14:val="tx1"/>
                  </w14:solidFill>
                </w14:textFill>
              </w:rPr>
              <w:t>—</w:t>
            </w:r>
            <w:r>
              <w:rPr>
                <w:rFonts w:hint="default" w:ascii="Times New Roman" w:hAnsi="Times New Roman" w:eastAsia="新宋体" w:cs="Times New Roman"/>
                <w:color w:val="000000" w:themeColor="text1"/>
                <w:szCs w:val="21"/>
                <w:lang w:val="en-US" w:eastAsia="zh-CN"/>
                <w14:textFill>
                  <w14:solidFill>
                    <w14:schemeClr w14:val="tx1"/>
                  </w14:solidFill>
                </w14:textFill>
              </w:rPr>
              <w:t>2035年）环境影响报告书的审查意见</w:t>
            </w:r>
            <w:r>
              <w:rPr>
                <w:rFonts w:hint="default" w:ascii="Times New Roman" w:hAnsi="Times New Roman" w:eastAsia="新宋体" w:cs="Times New Roman"/>
                <w:color w:val="000000" w:themeColor="text1"/>
                <w:szCs w:val="21"/>
                <w14:textFill>
                  <w14:solidFill>
                    <w14:schemeClr w14:val="tx1"/>
                  </w14:solidFill>
                </w14:textFill>
              </w:rPr>
              <w:t>》</w:t>
            </w:r>
            <w:r>
              <w:rPr>
                <w:rFonts w:hint="default" w:ascii="Times New Roman" w:hAnsi="Times New Roman" w:eastAsia="新宋体" w:cs="Times New Roman"/>
                <w:color w:val="000000" w:themeColor="text1"/>
                <w:szCs w:val="21"/>
                <w:lang w:eastAsia="zh-CN"/>
                <w14:textFill>
                  <w14:solidFill>
                    <w14:schemeClr w14:val="tx1"/>
                  </w14:solidFill>
                </w14:textFill>
              </w:rPr>
              <w:t>（</w:t>
            </w:r>
            <w:r>
              <w:rPr>
                <w:rFonts w:hint="default" w:ascii="Times New Roman" w:hAnsi="Times New Roman" w:eastAsia="新宋体" w:cs="Times New Roman"/>
                <w:color w:val="000000" w:themeColor="text1"/>
                <w:szCs w:val="21"/>
                <w:lang w:val="en-US" w:eastAsia="zh-CN"/>
                <w14:textFill>
                  <w14:solidFill>
                    <w14:schemeClr w14:val="tx1"/>
                  </w14:solidFill>
                </w14:textFill>
              </w:rPr>
              <w:t>苏</w:t>
            </w:r>
            <w:r>
              <w:rPr>
                <w:rFonts w:hint="default" w:ascii="Times New Roman" w:hAnsi="Times New Roman" w:cs="Times New Roman"/>
                <w:color w:val="000000" w:themeColor="text1"/>
                <w:szCs w:val="21"/>
                <w14:textFill>
                  <w14:solidFill>
                    <w14:schemeClr w14:val="tx1"/>
                  </w14:solidFill>
                </w14:textFill>
              </w:rPr>
              <w:t>环审</w:t>
            </w:r>
            <w:r>
              <w:rPr>
                <w:rFonts w:hint="eastAsia" w:ascii="Times New Roman" w:hAnsi="Times New Roman" w:cs="Times New Roman"/>
                <w:color w:val="000000" w:themeColor="text1"/>
                <w:szCs w:val="21"/>
                <w:lang w:eastAsia="zh-CN"/>
                <w14:textFill>
                  <w14:solidFill>
                    <w14:schemeClr w14:val="tx1"/>
                  </w14:solidFill>
                </w14:textFill>
              </w:rPr>
              <w:t>〔2024〕7号</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的相关要求。</w:t>
            </w:r>
          </w:p>
          <w:p w14:paraId="24C51C90">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与</w:t>
            </w:r>
            <w:r>
              <w:rPr>
                <w:rFonts w:hint="default" w:ascii="Times New Roman" w:hAnsi="Times New Roman" w:eastAsia="新宋体" w:cs="Times New Roman"/>
                <w:b/>
                <w:bCs/>
                <w:color w:val="000000" w:themeColor="text1"/>
                <w:szCs w:val="21"/>
                <w14:textFill>
                  <w14:solidFill>
                    <w14:schemeClr w14:val="tx1"/>
                  </w14:solidFill>
                </w14:textFill>
              </w:rPr>
              <w:t>《</w:t>
            </w:r>
            <w:r>
              <w:rPr>
                <w:rFonts w:hint="default" w:ascii="Times New Roman" w:hAnsi="Times New Roman" w:eastAsia="新宋体" w:cs="Times New Roman"/>
                <w:b/>
                <w:bCs/>
                <w:color w:val="000000" w:themeColor="text1"/>
                <w:szCs w:val="21"/>
                <w:lang w:val="en-US" w:eastAsia="zh-CN"/>
                <w14:textFill>
                  <w14:solidFill>
                    <w14:schemeClr w14:val="tx1"/>
                  </w14:solidFill>
                </w14:textFill>
              </w:rPr>
              <w:t>省生态环境厅关于海门经济技术开发区建设规划（2022</w:t>
            </w:r>
            <w:r>
              <w:rPr>
                <w:rFonts w:hint="eastAsia" w:ascii="Times New Roman" w:hAnsi="Times New Roman" w:eastAsia="新宋体" w:cs="Times New Roman"/>
                <w:b/>
                <w:bCs/>
                <w:color w:val="000000" w:themeColor="text1"/>
                <w:szCs w:val="21"/>
                <w:lang w:val="en-US" w:eastAsia="zh-CN"/>
                <w14:textFill>
                  <w14:solidFill>
                    <w14:schemeClr w14:val="tx1"/>
                  </w14:solidFill>
                </w14:textFill>
              </w:rPr>
              <w:t>—</w:t>
            </w:r>
            <w:r>
              <w:rPr>
                <w:rFonts w:hint="default" w:ascii="Times New Roman" w:hAnsi="Times New Roman" w:eastAsia="新宋体" w:cs="Times New Roman"/>
                <w:b/>
                <w:bCs/>
                <w:color w:val="000000" w:themeColor="text1"/>
                <w:szCs w:val="21"/>
                <w:lang w:val="en-US" w:eastAsia="zh-CN"/>
                <w14:textFill>
                  <w14:solidFill>
                    <w14:schemeClr w14:val="tx1"/>
                  </w14:solidFill>
                </w14:textFill>
              </w:rPr>
              <w:t>2035年）环境影响报告书的审查意见</w:t>
            </w:r>
            <w:r>
              <w:rPr>
                <w:rFonts w:hint="default" w:ascii="Times New Roman" w:hAnsi="Times New Roman" w:eastAsia="新宋体" w:cs="Times New Roman"/>
                <w:b/>
                <w:bCs/>
                <w:color w:val="000000" w:themeColor="text1"/>
                <w:szCs w:val="21"/>
                <w14:textFill>
                  <w14:solidFill>
                    <w14:schemeClr w14:val="tx1"/>
                  </w14:solidFill>
                </w14:textFill>
              </w:rPr>
              <w:t>》</w:t>
            </w:r>
            <w:r>
              <w:rPr>
                <w:rFonts w:hint="default" w:ascii="Times New Roman" w:hAnsi="Times New Roman" w:eastAsia="新宋体" w:cs="Times New Roman"/>
                <w:b/>
                <w:bCs/>
                <w:color w:val="000000" w:themeColor="text1"/>
                <w:szCs w:val="21"/>
                <w:lang w:eastAsia="zh-CN"/>
                <w14:textFill>
                  <w14:solidFill>
                    <w14:schemeClr w14:val="tx1"/>
                  </w14:solidFill>
                </w14:textFill>
              </w:rPr>
              <w:t>（</w:t>
            </w:r>
            <w:r>
              <w:rPr>
                <w:rFonts w:hint="default" w:ascii="Times New Roman" w:hAnsi="Times New Roman" w:eastAsia="新宋体" w:cs="Times New Roman"/>
                <w:b/>
                <w:bCs/>
                <w:color w:val="000000" w:themeColor="text1"/>
                <w:szCs w:val="21"/>
                <w:lang w:val="en-US" w:eastAsia="zh-CN"/>
                <w14:textFill>
                  <w14:solidFill>
                    <w14:schemeClr w14:val="tx1"/>
                  </w14:solidFill>
                </w14:textFill>
              </w:rPr>
              <w:t>苏</w:t>
            </w:r>
            <w:r>
              <w:rPr>
                <w:rFonts w:hint="default" w:ascii="Times New Roman" w:hAnsi="Times New Roman" w:cs="Times New Roman"/>
                <w:b/>
                <w:bCs/>
                <w:color w:val="000000" w:themeColor="text1"/>
                <w:szCs w:val="21"/>
                <w14:textFill>
                  <w14:solidFill>
                    <w14:schemeClr w14:val="tx1"/>
                  </w14:solidFill>
                </w14:textFill>
              </w:rPr>
              <w:t>环审</w:t>
            </w:r>
            <w:r>
              <w:rPr>
                <w:rFonts w:hint="eastAsia" w:ascii="Times New Roman" w:hAnsi="Times New Roman" w:cs="Times New Roman"/>
                <w:b/>
                <w:bCs/>
                <w:color w:val="000000" w:themeColor="text1"/>
                <w:szCs w:val="21"/>
                <w:lang w:eastAsia="zh-CN"/>
                <w14:textFill>
                  <w14:solidFill>
                    <w14:schemeClr w14:val="tx1"/>
                  </w14:solidFill>
                </w14:textFill>
              </w:rPr>
              <w:t>〔2024〕7号</w:t>
            </w:r>
            <w:r>
              <w:rPr>
                <w:rFonts w:hint="default" w:ascii="Times New Roman" w:hAnsi="Times New Roman" w:cs="Times New Roman"/>
                <w:b/>
                <w:bCs/>
                <w:color w:val="000000" w:themeColor="text1"/>
                <w:szCs w:val="21"/>
                <w:lang w:eastAsia="zh-CN"/>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附件2 海门经济技术开发区生态环境准入清单</w:t>
            </w:r>
            <w:r>
              <w:rPr>
                <w:rFonts w:hint="default" w:ascii="Times New Roman" w:hAnsi="Times New Roman" w:cs="Times New Roman"/>
                <w:b/>
                <w:bCs/>
                <w:color w:val="000000" w:themeColor="text1"/>
                <w:spacing w:val="0"/>
                <w:kern w:val="11"/>
                <w:sz w:val="21"/>
                <w:szCs w:val="21"/>
                <w:highlight w:val="none"/>
                <w:lang w:eastAsia="zh-CN"/>
                <w14:textFill>
                  <w14:solidFill>
                    <w14:schemeClr w14:val="tx1"/>
                  </w14:solidFill>
                </w14:textFill>
              </w:rPr>
              <w:t>符合性分析</w:t>
            </w:r>
            <w:r>
              <w:rPr>
                <w:rFonts w:hint="eastAsia"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 xml:space="preserve">  </w:t>
            </w:r>
          </w:p>
          <w:p w14:paraId="052C58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0"/>
                <w:kern w:val="11"/>
                <w:sz w:val="21"/>
                <w:szCs w:val="21"/>
                <w:highlight w:val="none"/>
                <w:lang w:val="en-US" w:eastAsia="zh-CN"/>
                <w14:textFill>
                  <w14:solidFill>
                    <w14:schemeClr w14:val="tx1"/>
                  </w14:solidFill>
                </w14:textFill>
              </w:rPr>
              <w:t>表1-2 海门经济技术开发区生态环境准入清单相符性分析</w:t>
            </w:r>
          </w:p>
          <w:tbl>
            <w:tblPr>
              <w:tblStyle w:val="4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660"/>
              <w:gridCol w:w="4563"/>
              <w:gridCol w:w="1976"/>
            </w:tblGrid>
            <w:tr w14:paraId="6E332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gridSpan w:val="2"/>
                  <w:tcBorders>
                    <w:tl2br w:val="nil"/>
                    <w:tr2bl w:val="nil"/>
                  </w:tcBorders>
                  <w:vAlign w:val="center"/>
                </w:tcPr>
                <w:p w14:paraId="40844B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0"/>
                      <w:kern w:val="11"/>
                      <w:sz w:val="21"/>
                      <w:szCs w:val="21"/>
                      <w:highlight w:val="none"/>
                      <w:vertAlign w:val="baseline"/>
                      <w:lang w:val="en-US" w:eastAsia="zh-CN"/>
                      <w14:textFill>
                        <w14:solidFill>
                          <w14:schemeClr w14:val="tx1"/>
                        </w14:solidFill>
                      </w14:textFill>
                    </w:rPr>
                    <w:t>清单类别</w:t>
                  </w:r>
                </w:p>
              </w:tc>
              <w:tc>
                <w:tcPr>
                  <w:tcW w:w="4563" w:type="dxa"/>
                  <w:tcBorders>
                    <w:tl2br w:val="nil"/>
                    <w:tr2bl w:val="nil"/>
                  </w:tcBorders>
                  <w:vAlign w:val="center"/>
                </w:tcPr>
                <w:p w14:paraId="17EC1C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0"/>
                      <w:kern w:val="11"/>
                      <w:sz w:val="21"/>
                      <w:szCs w:val="21"/>
                      <w:highlight w:val="none"/>
                      <w:vertAlign w:val="baseline"/>
                      <w:lang w:val="en-US" w:eastAsia="zh-CN"/>
                      <w14:textFill>
                        <w14:solidFill>
                          <w14:schemeClr w14:val="tx1"/>
                        </w14:solidFill>
                      </w14:textFill>
                    </w:rPr>
                    <w:t>生态环境准入条件</w:t>
                  </w:r>
                </w:p>
              </w:tc>
              <w:tc>
                <w:tcPr>
                  <w:tcW w:w="1976" w:type="dxa"/>
                  <w:tcBorders>
                    <w:tl2br w:val="nil"/>
                    <w:tr2bl w:val="nil"/>
                  </w:tcBorders>
                  <w:vAlign w:val="center"/>
                </w:tcPr>
                <w:p w14:paraId="1060F4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0"/>
                      <w:kern w:val="11"/>
                      <w:sz w:val="21"/>
                      <w:szCs w:val="21"/>
                      <w:highlight w:val="none"/>
                      <w:vertAlign w:val="baseline"/>
                      <w:lang w:val="en-US" w:eastAsia="zh-CN"/>
                      <w14:textFill>
                        <w14:solidFill>
                          <w14:schemeClr w14:val="tx1"/>
                        </w14:solidFill>
                      </w14:textFill>
                    </w:rPr>
                    <w:t>相符性分析</w:t>
                  </w:r>
                </w:p>
              </w:tc>
            </w:tr>
            <w:tr w14:paraId="00787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1" w:type="dxa"/>
                  <w:vMerge w:val="restart"/>
                  <w:tcBorders>
                    <w:tl2br w:val="nil"/>
                    <w:tr2bl w:val="nil"/>
                  </w:tcBorders>
                  <w:vAlign w:val="center"/>
                </w:tcPr>
                <w:p w14:paraId="415619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产业准入</w:t>
                  </w:r>
                </w:p>
              </w:tc>
              <w:tc>
                <w:tcPr>
                  <w:tcW w:w="660" w:type="dxa"/>
                  <w:tcBorders>
                    <w:tl2br w:val="nil"/>
                    <w:tr2bl w:val="nil"/>
                  </w:tcBorders>
                  <w:vAlign w:val="center"/>
                </w:tcPr>
                <w:p w14:paraId="21FEBA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主导产业</w:t>
                  </w:r>
                </w:p>
              </w:tc>
              <w:tc>
                <w:tcPr>
                  <w:tcW w:w="4563" w:type="dxa"/>
                  <w:tcBorders>
                    <w:tl2br w:val="nil"/>
                    <w:tr2bl w:val="nil"/>
                  </w:tcBorders>
                  <w:vAlign w:val="center"/>
                </w:tcPr>
                <w:p w14:paraId="2DA8DB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海工装备、智能制造、新一代信息技术等产业</w:t>
                  </w:r>
                </w:p>
              </w:tc>
              <w:tc>
                <w:tcPr>
                  <w:tcW w:w="1976" w:type="dxa"/>
                  <w:vMerge w:val="restart"/>
                  <w:tcBorders>
                    <w:tl2br w:val="nil"/>
                    <w:tr2bl w:val="nil"/>
                  </w:tcBorders>
                  <w:vAlign w:val="center"/>
                </w:tcPr>
                <w:p w14:paraId="399979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为</w:t>
                  </w:r>
                  <w:r>
                    <w:rPr>
                      <w:rFonts w:hint="default"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，不属于禁止引入、限制引入</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类项目</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，符合</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w:t>
                  </w:r>
                </w:p>
              </w:tc>
            </w:tr>
            <w:tr w14:paraId="35258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62255A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p>
              </w:tc>
              <w:tc>
                <w:tcPr>
                  <w:tcW w:w="660" w:type="dxa"/>
                  <w:tcBorders>
                    <w:tl2br w:val="nil"/>
                    <w:tr2bl w:val="nil"/>
                  </w:tcBorders>
                  <w:vAlign w:val="center"/>
                </w:tcPr>
                <w:p w14:paraId="31F0F5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优先引入</w:t>
                  </w:r>
                </w:p>
              </w:tc>
              <w:tc>
                <w:tcPr>
                  <w:tcW w:w="4563" w:type="dxa"/>
                  <w:tcBorders>
                    <w:tl2br w:val="nil"/>
                    <w:tr2bl w:val="nil"/>
                  </w:tcBorders>
                  <w:vAlign w:val="center"/>
                </w:tcPr>
                <w:p w14:paraId="36DB8516">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优先引入符合产业定位且属于相关产业政策文件中的鼓励类和重点发展行业中的产品、工艺和技术；</w:t>
                  </w:r>
                </w:p>
                <w:p w14:paraId="215D1B06">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优先引入符合产业定位的国家战略需要和尖端科技事业相关的项目，高性能、技术含量高的关键性、基础性、资源优势性的项目；</w:t>
                  </w:r>
                </w:p>
                <w:p w14:paraId="4F124A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（3）鼓励依托龙头企业发展上下游关联度强、技术水平高、绿色安全环保的企业和项目，进一步补链、延链、强链。</w:t>
                  </w:r>
                </w:p>
              </w:tc>
              <w:tc>
                <w:tcPr>
                  <w:tcW w:w="1976" w:type="dxa"/>
                  <w:vMerge w:val="continue"/>
                  <w:tcBorders>
                    <w:tl2br w:val="nil"/>
                    <w:tr2bl w:val="nil"/>
                  </w:tcBorders>
                  <w:vAlign w:val="center"/>
                </w:tcPr>
                <w:p w14:paraId="742A65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p>
              </w:tc>
            </w:tr>
            <w:tr w14:paraId="76522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69BF51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p>
              </w:tc>
              <w:tc>
                <w:tcPr>
                  <w:tcW w:w="660" w:type="dxa"/>
                  <w:tcBorders>
                    <w:tl2br w:val="nil"/>
                    <w:tr2bl w:val="nil"/>
                  </w:tcBorders>
                  <w:vAlign w:val="center"/>
                </w:tcPr>
                <w:p w14:paraId="77CCE8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禁止引入</w:t>
                  </w:r>
                </w:p>
              </w:tc>
              <w:tc>
                <w:tcPr>
                  <w:tcW w:w="4563" w:type="dxa"/>
                  <w:tcBorders>
                    <w:tl2br w:val="nil"/>
                    <w:tr2bl w:val="nil"/>
                  </w:tcBorders>
                  <w:vAlign w:val="center"/>
                </w:tcPr>
                <w:p w14:paraId="0CA173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color w:val="000000" w:themeColor="text1"/>
                      <w:lang w:val="en-US" w:eastAsia="zh-CN"/>
                      <w14:textFill>
                        <w14:solidFill>
                          <w14:schemeClr w14:val="tx1"/>
                        </w14:solidFill>
                      </w14:textFill>
                    </w:rPr>
                  </w:pPr>
                  <w:r>
                    <w:rPr>
                      <w:rFonts w:hint="default" w:ascii="Calibri" w:hAnsi="Calibri" w:eastAsia="宋体" w:cs="Calibri"/>
                      <w:color w:val="000000" w:themeColor="text1"/>
                      <w:kern w:val="2"/>
                      <w:sz w:val="21"/>
                      <w:szCs w:val="21"/>
                      <w:lang w:val="en-US" w:eastAsia="zh-CN" w:bidi="ar-SA"/>
                      <w14:textFill>
                        <w14:solidFill>
                          <w14:schemeClr w14:val="tx1"/>
                        </w14:solidFill>
                      </w14:textFill>
                    </w:rPr>
                    <w:t>（1）</w:t>
                  </w: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禁止引入与国家、地方现行产业政策相冲突的项目；</w:t>
                  </w:r>
                </w:p>
                <w:p w14:paraId="6B7DFE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（2）禁止新建纯电镀项目（为本地产业配套的“绿岛”类项目除外）、新引进含印染的项目，禁止现有印染企业新建、扩建印染项目；</w:t>
                  </w:r>
                </w:p>
                <w:p w14:paraId="1AB5FA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（3）禁止引入金属或废金属表面处理外加工产业（不包括新一代信息、海工装备、智能制造等产业生产工艺流程中必备的磷化、喷涂、电泳等工序）；</w:t>
                  </w:r>
                </w:p>
                <w:p w14:paraId="036047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（4）禁止引入使用高VOCs含量的溶剂型涂料、油墨、胶粘剂等项目；</w:t>
                  </w:r>
                </w:p>
                <w:p w14:paraId="72832A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（5）禁止引入生产工艺及设备落后、风险防范措施疏漏、抗风险能力差的项目。</w:t>
                  </w:r>
                </w:p>
              </w:tc>
              <w:tc>
                <w:tcPr>
                  <w:tcW w:w="1976" w:type="dxa"/>
                  <w:vMerge w:val="continue"/>
                  <w:tcBorders>
                    <w:tl2br w:val="nil"/>
                    <w:tr2bl w:val="nil"/>
                  </w:tcBorders>
                  <w:vAlign w:val="center"/>
                </w:tcPr>
                <w:p w14:paraId="5F0193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p>
              </w:tc>
            </w:tr>
            <w:tr w14:paraId="64731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4CCF4E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p>
              </w:tc>
              <w:tc>
                <w:tcPr>
                  <w:tcW w:w="660" w:type="dxa"/>
                  <w:tcBorders>
                    <w:tl2br w:val="nil"/>
                    <w:tr2bl w:val="nil"/>
                  </w:tcBorders>
                  <w:vAlign w:val="center"/>
                </w:tcPr>
                <w:p w14:paraId="4E51CE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限制引入</w:t>
                  </w:r>
                </w:p>
              </w:tc>
              <w:tc>
                <w:tcPr>
                  <w:tcW w:w="4563" w:type="dxa"/>
                  <w:tcBorders>
                    <w:tl2br w:val="nil"/>
                    <w:tr2bl w:val="nil"/>
                  </w:tcBorders>
                  <w:vAlign w:val="center"/>
                </w:tcPr>
                <w:p w14:paraId="42E05E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国家和地方产业政策限制类的建设项目和工艺。</w:t>
                  </w:r>
                </w:p>
              </w:tc>
              <w:tc>
                <w:tcPr>
                  <w:tcW w:w="1976" w:type="dxa"/>
                  <w:vMerge w:val="continue"/>
                  <w:tcBorders>
                    <w:tl2br w:val="nil"/>
                    <w:tr2bl w:val="nil"/>
                  </w:tcBorders>
                  <w:vAlign w:val="center"/>
                </w:tcPr>
                <w:p w14:paraId="5371921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p>
              </w:tc>
            </w:tr>
            <w:tr w14:paraId="09409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gridSpan w:val="2"/>
                  <w:tcBorders>
                    <w:tl2br w:val="nil"/>
                    <w:tr2bl w:val="nil"/>
                  </w:tcBorders>
                  <w:vAlign w:val="center"/>
                </w:tcPr>
                <w:p w14:paraId="0F5CDB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空间布局约束</w:t>
                  </w:r>
                </w:p>
              </w:tc>
              <w:tc>
                <w:tcPr>
                  <w:tcW w:w="4563" w:type="dxa"/>
                  <w:tcBorders>
                    <w:tl2br w:val="nil"/>
                    <w:tr2bl w:val="nil"/>
                  </w:tcBorders>
                  <w:vAlign w:val="center"/>
                </w:tcPr>
                <w:p w14:paraId="5EE507F6">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依据《基本农田保护条例》，对基本农田实行严格保护，确保基本农田面积不减、质量提升、布局稳定；</w:t>
                  </w:r>
                </w:p>
                <w:p w14:paraId="4BF840DF">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区内水域和防护绿地作为生态空间重点保护，原则上不得开发和占用；</w:t>
                  </w:r>
                </w:p>
                <w:p w14:paraId="1D567ACD">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各类开发建设活动应符合相关规划要求，落实生态红线管控要求；</w:t>
                  </w:r>
                </w:p>
                <w:p w14:paraId="11EDDB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（4）工业用地与人口集中居住区之间，应设置以道路（河道）+防护林为主要形式的空间防护带，防护带的宽度原则上不小于 50 米，非生产型企业空间防护距离可以适当缩小，但不应小于 30 米；居住用地周边 100 米范围内工业用地禁止引入含喷涂、酸洗、危化品仓库的项目，排放 VOCs、氨气等废气污染物的企业远离居住用地布置。</w:t>
                  </w:r>
                </w:p>
              </w:tc>
              <w:tc>
                <w:tcPr>
                  <w:tcW w:w="1976" w:type="dxa"/>
                  <w:tcBorders>
                    <w:tl2br w:val="nil"/>
                    <w:tr2bl w:val="nil"/>
                  </w:tcBorders>
                  <w:vAlign w:val="center"/>
                </w:tcPr>
                <w:p w14:paraId="034ECF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本项目不涉及生态管控区间内，位于工业用地，</w:t>
                  </w:r>
                  <w:r>
                    <w:rPr>
                      <w:rFonts w:hint="eastAsia" w:ascii="Times New Roman" w:hAnsi="Times New Roman" w:cs="Times New Roman"/>
                      <w:color w:val="000000" w:themeColor="text1"/>
                      <w:szCs w:val="21"/>
                      <w:lang w:val="en-US" w:eastAsia="zh-CN"/>
                      <w14:textFill>
                        <w14:solidFill>
                          <w14:schemeClr w14:val="tx1"/>
                        </w14:solidFill>
                      </w14:textFill>
                    </w:rPr>
                    <w:t>与</w:t>
                  </w:r>
                  <w:r>
                    <w:rPr>
                      <w:rFonts w:hint="default" w:ascii="Times New Roman" w:hAnsi="Times New Roman" w:cs="Times New Roman"/>
                      <w:color w:val="000000" w:themeColor="text1"/>
                      <w:szCs w:val="21"/>
                      <w:lang w:val="en-US" w:eastAsia="zh-CN"/>
                      <w14:textFill>
                        <w14:solidFill>
                          <w14:schemeClr w14:val="tx1"/>
                        </w14:solidFill>
                      </w14:textFill>
                    </w:rPr>
                    <w:t>居住用地</w:t>
                  </w:r>
                  <w:r>
                    <w:rPr>
                      <w:rFonts w:hint="eastAsia" w:ascii="Times New Roman" w:hAnsi="Times New Roman" w:cs="Times New Roman"/>
                      <w:color w:val="000000" w:themeColor="text1"/>
                      <w:szCs w:val="21"/>
                      <w:lang w:val="en-US" w:eastAsia="zh-CN"/>
                      <w14:textFill>
                        <w14:solidFill>
                          <w14:schemeClr w14:val="tx1"/>
                        </w14:solidFill>
                      </w14:textFill>
                    </w:rPr>
                    <w:t>距离超过50米</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符合</w:t>
                  </w:r>
                </w:p>
              </w:tc>
            </w:tr>
            <w:tr w14:paraId="3AB49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1" w:type="dxa"/>
                  <w:vMerge w:val="restart"/>
                  <w:tcBorders>
                    <w:tl2br w:val="nil"/>
                    <w:tr2bl w:val="nil"/>
                  </w:tcBorders>
                  <w:vAlign w:val="center"/>
                </w:tcPr>
                <w:p w14:paraId="5DADFF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污染物排放管控</w:t>
                  </w:r>
                </w:p>
              </w:tc>
              <w:tc>
                <w:tcPr>
                  <w:tcW w:w="660" w:type="dxa"/>
                  <w:tcBorders>
                    <w:tl2br w:val="nil"/>
                    <w:tr2bl w:val="nil"/>
                  </w:tcBorders>
                  <w:vAlign w:val="center"/>
                </w:tcPr>
                <w:p w14:paraId="7FA4FC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环境质量</w:t>
                  </w:r>
                </w:p>
              </w:tc>
              <w:tc>
                <w:tcPr>
                  <w:tcW w:w="4563" w:type="dxa"/>
                  <w:tcBorders>
                    <w:tl2br w:val="nil"/>
                    <w:tr2bl w:val="nil"/>
                  </w:tcBorders>
                  <w:vAlign w:val="center"/>
                </w:tcPr>
                <w:p w14:paraId="1BDCDE54">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大气环境质量达到《环境空气质量标准》二级标准、《环境影响评价技术导则大气环境》（HJ2.2-2018）附录 D其他污染物空气质量浓度参考限值等；2025 年，环境空气细颗粒物（PM2.5）、臭氧、二氧化氮浓度分别达到 25、160、17 微克/立方米；2035年，环境空气细颗粒物（PM2.5）达到 23 微克/立方米，环境质量持续改善；（2）大港河、新江海河、立新河、浒通河、海门河稳定达到 III 类水质标准；</w:t>
                  </w:r>
                </w:p>
                <w:p w14:paraId="0062FC3A">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土壤达到《土壤环境质量建设用地土壤污染风险管控标准（试行）》（GB36600-2018）筛选值中的第一类、第二类用地标准；</w:t>
                  </w:r>
                </w:p>
                <w:p w14:paraId="20A765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（4）工业区声环境满足《声环境质量标准》（GB3096-2008）中 3 类标准要求；居住区、商业区满足 2 类标准要求；交通干线两侧满足4a 类标准要求。</w:t>
                  </w:r>
                </w:p>
              </w:tc>
              <w:tc>
                <w:tcPr>
                  <w:tcW w:w="1976" w:type="dxa"/>
                  <w:tcBorders>
                    <w:tl2br w:val="nil"/>
                    <w:tr2bl w:val="nil"/>
                  </w:tcBorders>
                  <w:shd w:val="clear" w:color="auto" w:fill="auto"/>
                  <w:vAlign w:val="center"/>
                </w:tcPr>
                <w:p w14:paraId="073D67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pacing w:val="0"/>
                      <w:kern w:val="11"/>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本项目建成后，废气、废水、噪声及固废均有效处置，对周边环境影响较小，不会降低所在地的环境功能质量，符合环境质量底线标准</w:t>
                  </w:r>
                  <w:r>
                    <w:rPr>
                      <w:rFonts w:hint="default"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符合</w:t>
                  </w:r>
                </w:p>
              </w:tc>
            </w:tr>
            <w:tr w14:paraId="0795F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21E66B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p>
              </w:tc>
              <w:tc>
                <w:tcPr>
                  <w:tcW w:w="660" w:type="dxa"/>
                  <w:tcBorders>
                    <w:tl2br w:val="nil"/>
                    <w:tr2bl w:val="nil"/>
                  </w:tcBorders>
                  <w:vAlign w:val="center"/>
                </w:tcPr>
                <w:p w14:paraId="06E2A1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污染物排放总量</w:t>
                  </w:r>
                </w:p>
              </w:tc>
              <w:tc>
                <w:tcPr>
                  <w:tcW w:w="4563" w:type="dxa"/>
                  <w:tcBorders>
                    <w:tl2br w:val="nil"/>
                    <w:tr2bl w:val="nil"/>
                  </w:tcBorders>
                  <w:vAlign w:val="center"/>
                </w:tcPr>
                <w:p w14:paraId="23D869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11"/>
                      <w:sz w:val="21"/>
                      <w:szCs w:val="21"/>
                      <w:vertAlign w:val="baseline"/>
                      <w:lang w:val="en-US" w:eastAsia="zh-CN" w:bidi="ar-SA"/>
                      <w14:textFill>
                        <w14:solidFill>
                          <w14:schemeClr w14:val="tx1"/>
                        </w14:solidFill>
                      </w14:textFill>
                    </w:rPr>
                    <w:t>（1）</w:t>
                  </w: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废水污染物（外排量）：2025 年排放量，化学需氧量小于 592.46 吨/年，氨氮小于46.44 吨/年、总磷小于 5.92吨/年、总氮小于 228.98 吨/年；2035 年排放量，化学需氧量小于 859.80 吨/年，氨氮小于 54.07 吨/年、总磷小于8.60 吨/年、总氮小于 356.05吨/年；</w:t>
                  </w:r>
                </w:p>
                <w:p w14:paraId="3016FC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11"/>
                      <w:sz w:val="21"/>
                      <w:szCs w:val="21"/>
                      <w:vertAlign w:val="baseline"/>
                      <w:lang w:val="en-US" w:eastAsia="zh-CN" w:bidi="ar-SA"/>
                      <w14:textFill>
                        <w14:solidFill>
                          <w14:schemeClr w14:val="tx1"/>
                        </w14:solidFill>
                      </w14:textFill>
                    </w:rPr>
                    <w:t>（2）</w:t>
                  </w: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大气污染物：2025 年排放量，二氧化硫小于 524.14 吨/年，氮氧化物小于 446.93 吨/年，颗粒物小于 724.79 吨/年，VOCs 小于 113.61 吨/年；2035 年排放量，二氧化硫小于 535.07 吨/年，氮氧化物小于 454.81 吨/年，颗粒物小于750.19 吨/年，VOCs 小于128.33 吨/年；</w:t>
                  </w:r>
                </w:p>
                <w:p w14:paraId="63F67F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（3）2025 年一般工业固废 8.16万吨/年，危险废物 0.65 万吨/年；2035 年一般工业固废9.11 万吨/年，危险废物 1.20万吨/年，全部综合利用或者委外合法安全处置。</w:t>
                  </w:r>
                </w:p>
              </w:tc>
              <w:tc>
                <w:tcPr>
                  <w:tcW w:w="1976" w:type="dxa"/>
                  <w:tcBorders>
                    <w:tl2br w:val="nil"/>
                    <w:tr2bl w:val="nil"/>
                  </w:tcBorders>
                  <w:shd w:val="clear" w:color="auto" w:fill="auto"/>
                  <w:vAlign w:val="center"/>
                </w:tcPr>
                <w:p w14:paraId="17CD5F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pacing w:val="0"/>
                      <w:kern w:val="1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本项目采取有效污染防治措施，废水、废气及噪声均可达标排放，排放总量在海门区内平衡</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符合</w:t>
                  </w:r>
                </w:p>
              </w:tc>
            </w:tr>
            <w:tr w14:paraId="22C52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gridSpan w:val="2"/>
                  <w:tcBorders>
                    <w:tl2br w:val="nil"/>
                    <w:tr2bl w:val="nil"/>
                  </w:tcBorders>
                  <w:vAlign w:val="center"/>
                </w:tcPr>
                <w:p w14:paraId="2BD541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环境风险管控</w:t>
                  </w:r>
                </w:p>
              </w:tc>
              <w:tc>
                <w:tcPr>
                  <w:tcW w:w="4563" w:type="dxa"/>
                  <w:tcBorders>
                    <w:tl2br w:val="nil"/>
                    <w:tr2bl w:val="nil"/>
                  </w:tcBorders>
                  <w:vAlign w:val="center"/>
                </w:tcPr>
                <w:p w14:paraId="6245BD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11"/>
                      <w:sz w:val="21"/>
                      <w:szCs w:val="21"/>
                      <w:vertAlign w:val="baseline"/>
                      <w:lang w:val="en-US" w:eastAsia="zh-CN" w:bidi="ar-SA"/>
                      <w14:textFill>
                        <w14:solidFill>
                          <w14:schemeClr w14:val="tx1"/>
                        </w14:solidFill>
                      </w14:textFill>
                    </w:rPr>
                    <w:t>（1）</w:t>
                  </w: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建立区内环境风险物质和环境风险防控措施两个清单；及时完成环境应急预案更新、备案；定期开展环境应急演练，完善环境应急响应联动机制，提升应急实战水平；建立突发环境事件隐患排查长效机制，定期排查整治突发环境事件隐患，督促区内企业开展突发环境事件应急预案“一图两单两卡”管理，指导区内较大及以上重点环境风险企业按要求实施“三落实三必须”；应急物资库配备必要的污染物吸附、拦截、消减及现场快速检测设备等应急物资，提高环境应急救援能力；</w:t>
                  </w:r>
                </w:p>
                <w:p w14:paraId="447A22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11"/>
                      <w:sz w:val="21"/>
                      <w:szCs w:val="21"/>
                      <w:vertAlign w:val="baseline"/>
                      <w:lang w:val="en-US" w:eastAsia="zh-CN" w:bidi="ar-SA"/>
                      <w14:textFill>
                        <w14:solidFill>
                          <w14:schemeClr w14:val="tx1"/>
                        </w14:solidFill>
                      </w14:textFill>
                    </w:rPr>
                    <w:t>（2）</w:t>
                  </w: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根据新一代信息技术产业片区引进产业，建立突发水污染事件等环境应急防范体系，完善“企业－公共管网－ 区内水体”水污染三级防控基础设施建设；建立有毒有害气体监控预警体系，完善重点监控区域预警和应急机制，涉及有毒有害气体的企业全部安装毒害气体监控预警装置并与当地生态环境主管部门或开发区管理平台联网，加强监控；</w:t>
                  </w:r>
                </w:p>
                <w:p w14:paraId="759EB0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（3）按照相关管理要求申报、处置废弃危险化学品。强化对危险废物的收集、贮存和处置的监督管理，实现危险废物监管无盲区、无死角。</w:t>
                  </w:r>
                </w:p>
              </w:tc>
              <w:tc>
                <w:tcPr>
                  <w:tcW w:w="1976" w:type="dxa"/>
                  <w:tcBorders>
                    <w:tl2br w:val="nil"/>
                    <w:tr2bl w:val="nil"/>
                  </w:tcBorders>
                  <w:vAlign w:val="center"/>
                </w:tcPr>
                <w:p w14:paraId="01F346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本项目建设后按要求进行应急预案编制，并按照相关要求例行监测。项目</w:t>
                  </w:r>
                  <w:r>
                    <w:rPr>
                      <w:rFonts w:hint="eastAsia" w:ascii="Times New Roman" w:hAnsi="Times New Roman" w:eastAsia="宋体" w:cs="Times New Roman"/>
                      <w:color w:val="000000" w:themeColor="text1"/>
                      <w:szCs w:val="21"/>
                      <w:lang w:val="en-US" w:eastAsia="zh-CN"/>
                      <w14:textFill>
                        <w14:solidFill>
                          <w14:schemeClr w14:val="tx1"/>
                        </w14:solidFill>
                      </w14:textFill>
                    </w:rPr>
                    <w:t>无危险废物产生</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71465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gridSpan w:val="2"/>
                  <w:tcBorders>
                    <w:tl2br w:val="nil"/>
                    <w:tr2bl w:val="nil"/>
                  </w:tcBorders>
                  <w:shd w:val="clear" w:color="auto" w:fill="auto"/>
                  <w:vAlign w:val="center"/>
                </w:tcPr>
                <w:p w14:paraId="13BFE1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kern w:val="11"/>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资源开发利用要求</w:t>
                  </w:r>
                </w:p>
              </w:tc>
              <w:tc>
                <w:tcPr>
                  <w:tcW w:w="4563" w:type="dxa"/>
                  <w:tcBorders>
                    <w:tl2br w:val="nil"/>
                    <w:tr2bl w:val="nil"/>
                  </w:tcBorders>
                  <w:shd w:val="clear" w:color="auto" w:fill="auto"/>
                  <w:vAlign w:val="center"/>
                </w:tcPr>
                <w:p w14:paraId="0622BB22">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单位工业增加值新鲜水耗不高于 6.5 吨/万元；</w:t>
                  </w:r>
                </w:p>
                <w:p w14:paraId="5D6C2B42">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建设用地总量上限不高于50.99 平方公里，工业用地及仓储用地总量不高于 18.83平方公里；</w:t>
                  </w:r>
                </w:p>
                <w:p w14:paraId="7A890CAA">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单位工业增加值综合能耗不高于 0.41 吨标煤/万元；</w:t>
                  </w:r>
                </w:p>
                <w:p w14:paraId="4CDAF400">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引进项目的生产工艺、设备，以及单位产品水耗、能耗、污染物排放和资源利用效率等应达到同行业国际先进水平；</w:t>
                  </w:r>
                </w:p>
                <w:p w14:paraId="468F58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pacing w:val="0"/>
                      <w:kern w:val="11"/>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11"/>
                      <w:sz w:val="21"/>
                      <w:szCs w:val="21"/>
                      <w:highlight w:val="none"/>
                      <w:vertAlign w:val="baseline"/>
                      <w:lang w:val="en-US" w:eastAsia="zh-CN"/>
                      <w14:textFill>
                        <w14:solidFill>
                          <w14:schemeClr w14:val="tx1"/>
                        </w14:solidFill>
                      </w14:textFill>
                    </w:rPr>
                    <w:t>（5）企业应加强水的循环利用，提高水的重复利用率，推进节水型企业、节水型园区建设，提高区域中水回用率，2035 年开发区工业污水处理厂中水回用率不低于30%。</w:t>
                  </w:r>
                </w:p>
              </w:tc>
              <w:tc>
                <w:tcPr>
                  <w:tcW w:w="1976" w:type="dxa"/>
                  <w:tcBorders>
                    <w:tl2br w:val="nil"/>
                    <w:tr2bl w:val="nil"/>
                  </w:tcBorders>
                  <w:shd w:val="clear" w:color="auto" w:fill="auto"/>
                  <w:vAlign w:val="center"/>
                </w:tcPr>
                <w:p w14:paraId="41DD53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pacing w:val="0"/>
                      <w:kern w:val="11"/>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本项目预计年销售额</w:t>
                  </w:r>
                  <w:r>
                    <w:rPr>
                      <w:rFonts w:hint="eastAsia" w:ascii="Times New Roman" w:hAnsi="Times New Roman" w:cs="Times New Roman"/>
                      <w:color w:val="000000" w:themeColor="text1"/>
                      <w:szCs w:val="21"/>
                      <w:lang w:val="en-US" w:eastAsia="zh-CN"/>
                      <w14:textFill>
                        <w14:solidFill>
                          <w14:schemeClr w14:val="tx1"/>
                        </w14:solidFill>
                      </w14:textFill>
                    </w:rPr>
                    <w:t>20000</w:t>
                  </w:r>
                  <w:r>
                    <w:rPr>
                      <w:rFonts w:hint="default" w:ascii="Times New Roman" w:hAnsi="Times New Roman" w:cs="Times New Roman"/>
                      <w:color w:val="000000" w:themeColor="text1"/>
                      <w:szCs w:val="21"/>
                      <w14:textFill>
                        <w14:solidFill>
                          <w14:schemeClr w14:val="tx1"/>
                        </w14:solidFill>
                      </w14:textFill>
                    </w:rPr>
                    <w:t>万元，单位工业增加值新鲜水耗</w:t>
                  </w:r>
                  <w:r>
                    <w:rPr>
                      <w:rFonts w:hint="eastAsia" w:ascii="Times New Roman" w:hAnsi="Times New Roman" w:cs="Times New Roman"/>
                      <w:color w:val="000000" w:themeColor="text1"/>
                      <w:szCs w:val="21"/>
                      <w:lang w:val="en-US" w:eastAsia="zh-CN"/>
                      <w14:textFill>
                        <w14:solidFill>
                          <w14:schemeClr w14:val="tx1"/>
                        </w14:solidFill>
                      </w14:textFill>
                    </w:rPr>
                    <w:t>1.32</w:t>
                  </w:r>
                  <w:r>
                    <w:rPr>
                      <w:rFonts w:hint="default" w:ascii="Times New Roman" w:hAnsi="Times New Roman" w:cs="Times New Roman"/>
                      <w:color w:val="000000" w:themeColor="text1"/>
                      <w:szCs w:val="21"/>
                      <w14:textFill>
                        <w14:solidFill>
                          <w14:schemeClr w14:val="tx1"/>
                        </w14:solidFill>
                      </w14:textFill>
                    </w:rPr>
                    <w:t>吨/万元，符合不高于6.5吨/万元要求；本项目年用电量</w:t>
                  </w:r>
                  <w:r>
                    <w:rPr>
                      <w:rFonts w:hint="eastAsia"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14:textFill>
                        <w14:solidFill>
                          <w14:schemeClr w14:val="tx1"/>
                        </w14:solidFill>
                      </w14:textFill>
                    </w:rPr>
                    <w:t>万 kWh/a，</w:t>
                  </w:r>
                  <w:r>
                    <w:rPr>
                      <w:rFonts w:hint="eastAsia" w:ascii="Times New Roman" w:hAnsi="Times New Roman" w:cs="Times New Roman"/>
                      <w:color w:val="000000" w:themeColor="text1"/>
                      <w:szCs w:val="21"/>
                      <w:lang w:val="en-US" w:eastAsia="zh-CN"/>
                      <w14:textFill>
                        <w14:solidFill>
                          <w14:schemeClr w14:val="tx1"/>
                        </w14:solidFill>
                      </w14:textFill>
                    </w:rPr>
                    <w:t>全厂</w:t>
                  </w:r>
                  <w:r>
                    <w:rPr>
                      <w:rFonts w:hint="default" w:ascii="Times New Roman" w:hAnsi="Times New Roman" w:cs="Times New Roman"/>
                      <w:color w:val="000000" w:themeColor="text1"/>
                      <w:szCs w:val="21"/>
                      <w14:textFill>
                        <w14:solidFill>
                          <w14:schemeClr w14:val="tx1"/>
                        </w14:solidFill>
                      </w14:textFill>
                    </w:rPr>
                    <w:t>年水用量</w:t>
                  </w:r>
                  <w:r>
                    <w:rPr>
                      <w:rFonts w:hint="eastAsia" w:ascii="Times New Roman" w:hAnsi="Times New Roman" w:cs="Times New Roman"/>
                      <w:color w:val="000000" w:themeColor="text1"/>
                      <w:szCs w:val="21"/>
                      <w:lang w:val="en-US" w:eastAsia="zh-CN"/>
                      <w14:textFill>
                        <w14:solidFill>
                          <w14:schemeClr w14:val="tx1"/>
                        </w14:solidFill>
                      </w14:textFill>
                    </w:rPr>
                    <w:t>26400</w:t>
                  </w:r>
                  <w:r>
                    <w:rPr>
                      <w:rFonts w:hint="default" w:ascii="Times New Roman" w:hAnsi="Times New Roman" w:cs="Times New Roman"/>
                      <w:color w:val="000000" w:themeColor="text1"/>
                      <w:szCs w:val="21"/>
                      <w14:textFill>
                        <w14:solidFill>
                          <w14:schemeClr w14:val="tx1"/>
                        </w14:solidFill>
                      </w14:textFill>
                    </w:rPr>
                    <w:t>吨，</w:t>
                  </w:r>
                  <w:r>
                    <w:rPr>
                      <w:rFonts w:hint="eastAsia" w:ascii="Times New Roman" w:hAnsi="Times New Roman" w:cs="Times New Roman"/>
                      <w:color w:val="000000" w:themeColor="text1"/>
                      <w:szCs w:val="21"/>
                      <w:lang w:val="en-US" w:eastAsia="zh-CN"/>
                      <w14:textFill>
                        <w14:solidFill>
                          <w14:schemeClr w14:val="tx1"/>
                        </w14:solidFill>
                      </w14:textFill>
                    </w:rPr>
                    <w:t>年天然气用量50万m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折标准煤量约</w:t>
                  </w:r>
                  <w:r>
                    <w:rPr>
                      <w:rFonts w:hint="eastAsia" w:ascii="Times New Roman" w:hAnsi="Times New Roman" w:cs="Times New Roman"/>
                      <w:color w:val="000000" w:themeColor="text1"/>
                      <w:szCs w:val="21"/>
                      <w:lang w:val="en-US" w:eastAsia="zh-CN"/>
                      <w14:textFill>
                        <w14:solidFill>
                          <w14:schemeClr w14:val="tx1"/>
                        </w14:solidFill>
                      </w14:textFill>
                    </w:rPr>
                    <w:t>630.59</w:t>
                  </w:r>
                  <w:r>
                    <w:rPr>
                      <w:rFonts w:hint="default" w:ascii="Times New Roman" w:hAnsi="Times New Roman" w:cs="Times New Roman"/>
                      <w:color w:val="000000" w:themeColor="text1"/>
                      <w:szCs w:val="21"/>
                      <w14:textFill>
                        <w14:solidFill>
                          <w14:schemeClr w14:val="tx1"/>
                        </w14:solidFill>
                      </w14:textFill>
                    </w:rPr>
                    <w:t>吨标准煤，本项目预计年销售额</w:t>
                  </w:r>
                  <w:r>
                    <w:rPr>
                      <w:rFonts w:hint="eastAsia"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cs="Times New Roman"/>
                      <w:color w:val="000000" w:themeColor="text1"/>
                      <w:szCs w:val="21"/>
                      <w14:textFill>
                        <w14:solidFill>
                          <w14:schemeClr w14:val="tx1"/>
                        </w14:solidFill>
                      </w14:textFill>
                    </w:rPr>
                    <w:t>000万元，单位工业增加值综合能耗约</w:t>
                  </w:r>
                  <w:r>
                    <w:rPr>
                      <w:rFonts w:hint="eastAsia" w:ascii="Times New Roman" w:hAnsi="Times New Roman" w:cs="Times New Roman"/>
                      <w:color w:val="000000" w:themeColor="text1"/>
                      <w:szCs w:val="21"/>
                      <w:lang w:val="en-US" w:eastAsia="zh-CN"/>
                      <w14:textFill>
                        <w14:solidFill>
                          <w14:schemeClr w14:val="tx1"/>
                        </w14:solidFill>
                      </w14:textFill>
                    </w:rPr>
                    <w:t>0.032</w:t>
                  </w:r>
                  <w:r>
                    <w:rPr>
                      <w:rFonts w:hint="default" w:ascii="Times New Roman" w:hAnsi="Times New Roman" w:cs="Times New Roman"/>
                      <w:color w:val="000000" w:themeColor="text1"/>
                      <w:szCs w:val="21"/>
                      <w14:textFill>
                        <w14:solidFill>
                          <w14:schemeClr w14:val="tx1"/>
                        </w14:solidFill>
                      </w14:textFill>
                    </w:rPr>
                    <w:t>吨标煤/万元，低于0.41 吨标煤/万元，符合要求；通过对比同行业</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本项目的生产工艺、设备，以及单位产品水耗、能耗、污染物排放和资源利用效率等应达到同行业国际先进水平，因此符合园区规划要求。</w:t>
                  </w:r>
                </w:p>
              </w:tc>
            </w:tr>
          </w:tbl>
          <w:p w14:paraId="01E529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val="0"/>
                <w:bCs w:val="0"/>
                <w:color w:val="000000" w:themeColor="text1"/>
                <w:spacing w:val="0"/>
                <w:kern w:val="11"/>
                <w:sz w:val="21"/>
                <w:szCs w:val="21"/>
                <w:highlight w:val="none"/>
                <w:lang w:val="en-US" w:eastAsia="zh-CN"/>
                <w14:textFill>
                  <w14:solidFill>
                    <w14:schemeClr w14:val="tx1"/>
                  </w14:solidFill>
                </w14:textFill>
              </w:rPr>
            </w:pPr>
          </w:p>
          <w:p w14:paraId="25C124FC">
            <w:pPr>
              <w:autoSpaceDE w:val="0"/>
              <w:autoSpaceDN w:val="0"/>
              <w:adjustRightInd w:val="0"/>
              <w:snapToGrid w:val="0"/>
              <w:jc w:val="left"/>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14:paraId="3B4B2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6" w:hRule="atLeast"/>
          <w:jc w:val="center"/>
        </w:trPr>
        <w:tc>
          <w:tcPr>
            <w:tcW w:w="749" w:type="dxa"/>
            <w:noWrap w:val="0"/>
            <w:vAlign w:val="center"/>
          </w:tcPr>
          <w:p w14:paraId="628E8353">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其他符合性分析</w:t>
            </w:r>
          </w:p>
        </w:tc>
        <w:tc>
          <w:tcPr>
            <w:tcW w:w="8121" w:type="dxa"/>
            <w:gridSpan w:val="4"/>
            <w:noWrap w:val="0"/>
            <w:vAlign w:val="center"/>
          </w:tcPr>
          <w:p w14:paraId="7D71B5B2">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1、产业政策相</w:t>
            </w:r>
            <w:r>
              <w:rPr>
                <w:rFonts w:hint="default" w:ascii="Times New Roman" w:hAnsi="Times New Roman" w:eastAsia="宋体" w:cs="Times New Roman"/>
                <w:b/>
                <w:color w:val="000000" w:themeColor="text1"/>
                <w:kern w:val="0"/>
                <w:szCs w:val="21"/>
                <w:lang w:val="en-US" w:eastAsia="zh-CN"/>
                <w14:textFill>
                  <w14:solidFill>
                    <w14:schemeClr w14:val="tx1"/>
                  </w14:solidFill>
                </w14:textFill>
              </w:rPr>
              <w:t>符</w:t>
            </w:r>
            <w:r>
              <w:rPr>
                <w:rFonts w:hint="default" w:ascii="Times New Roman" w:hAnsi="Times New Roman" w:eastAsia="宋体" w:cs="Times New Roman"/>
                <w:b/>
                <w:color w:val="000000" w:themeColor="text1"/>
                <w:kern w:val="0"/>
                <w:szCs w:val="21"/>
                <w14:textFill>
                  <w14:solidFill>
                    <w14:schemeClr w14:val="tx1"/>
                  </w14:solidFill>
                </w14:textFill>
              </w:rPr>
              <w:t>性分析</w:t>
            </w:r>
          </w:p>
          <w:p w14:paraId="336B8295">
            <w:pPr>
              <w:pStyle w:val="37"/>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s="Times New Roman"/>
                <w:small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18"/>
                <w14:textFill>
                  <w14:solidFill>
                    <w14:schemeClr w14:val="tx1"/>
                  </w14:solidFill>
                </w14:textFill>
              </w:rPr>
              <w:t>项目行业类别属于</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eastAsia="宋体" w:cs="Times New Roman"/>
                <w:color w:val="000000" w:themeColor="text1"/>
                <w:kern w:val="0"/>
                <w:sz w:val="21"/>
                <w:szCs w:val="18"/>
                <w14:textFill>
                  <w14:solidFill>
                    <w14:schemeClr w14:val="tx1"/>
                  </w14:solidFill>
                </w14:textFill>
              </w:rPr>
              <w:t>。</w:t>
            </w:r>
            <w:r>
              <w:rPr>
                <w:rFonts w:hint="eastAsia" w:ascii="Times New Roman" w:hAnsi="Times New Roman" w:eastAsia="宋体" w:cs="Times New Roman"/>
                <w:smallCaps w:val="0"/>
                <w:color w:val="000000" w:themeColor="text1"/>
                <w:sz w:val="21"/>
                <w:szCs w:val="21"/>
                <w:highlight w:val="none"/>
                <w14:textFill>
                  <w14:solidFill>
                    <w14:schemeClr w14:val="tx1"/>
                  </w14:solidFill>
                </w14:textFill>
              </w:rPr>
              <w:t>根据《产业结构调整指导目录（20</w:t>
            </w:r>
            <w:r>
              <w:rPr>
                <w:rFonts w:hint="eastAsia" w:ascii="Times New Roman" w:hAnsi="Times New Roman" w:eastAsia="宋体" w:cs="Times New Roman"/>
                <w:smallCaps w:val="0"/>
                <w:color w:val="000000" w:themeColor="text1"/>
                <w:sz w:val="21"/>
                <w:szCs w:val="21"/>
                <w:highlight w:val="none"/>
                <w:lang w:val="en-US" w:eastAsia="zh-CN"/>
                <w14:textFill>
                  <w14:solidFill>
                    <w14:schemeClr w14:val="tx1"/>
                  </w14:solidFill>
                </w14:textFill>
              </w:rPr>
              <w:t>24</w:t>
            </w:r>
            <w:r>
              <w:rPr>
                <w:rFonts w:hint="eastAsia" w:ascii="Times New Roman" w:hAnsi="Times New Roman" w:eastAsia="宋体" w:cs="Times New Roman"/>
                <w:smallCaps w:val="0"/>
                <w:color w:val="000000" w:themeColor="text1"/>
                <w:sz w:val="21"/>
                <w:szCs w:val="21"/>
                <w:highlight w:val="none"/>
                <w14:textFill>
                  <w14:solidFill>
                    <w14:schemeClr w14:val="tx1"/>
                  </w14:solidFill>
                </w14:textFill>
              </w:rPr>
              <w:t>年本）》</w:t>
            </w:r>
            <w:r>
              <w:rPr>
                <w:rFonts w:hint="eastAsia" w:ascii="Times New Roman" w:hAnsi="Times New Roman" w:eastAsia="宋体" w:cs="Times New Roman"/>
                <w:smallCap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smallCaps w:val="0"/>
                <w:color w:val="000000" w:themeColor="text1"/>
                <w:sz w:val="21"/>
                <w:szCs w:val="21"/>
                <w:highlight w:val="none"/>
                <w:lang w:val="en-US" w:eastAsia="zh-CN"/>
                <w14:textFill>
                  <w14:solidFill>
                    <w14:schemeClr w14:val="tx1"/>
                  </w14:solidFill>
                </w14:textFill>
              </w:rPr>
              <w:t>不属于限制和禁止项目。对照《南通市工业结构调整指导目录》，不属于限制类和淘汰类项目，符合《南通市工业结构调整指导目录》的要求。</w:t>
            </w:r>
          </w:p>
          <w:p w14:paraId="2D9176D8">
            <w:pPr>
              <w:pStyle w:val="37"/>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s="Times New Roman"/>
                <w:small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smallCaps w:val="0"/>
                <w:color w:val="000000" w:themeColor="text1"/>
                <w:sz w:val="21"/>
                <w:szCs w:val="21"/>
                <w:highlight w:val="none"/>
                <w:lang w:val="en-US" w:eastAsia="zh-CN"/>
                <w14:textFill>
                  <w14:solidFill>
                    <w14:schemeClr w14:val="tx1"/>
                  </w14:solidFill>
                </w14:textFill>
              </w:rPr>
              <w:t>本项目不属于</w:t>
            </w:r>
            <w:r>
              <w:rPr>
                <w:rFonts w:hint="eastAsia" w:ascii="Times New Roman" w:hAnsi="Times New Roman" w:cs="Times New Roman"/>
                <w:smallCap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i w:val="0"/>
                <w:iCs w:val="0"/>
                <w:smallCaps w:val="0"/>
                <w:color w:val="000000" w:themeColor="text1"/>
                <w:sz w:val="21"/>
                <w:szCs w:val="21"/>
                <w:highlight w:val="none"/>
                <w:lang w:val="en-US" w:eastAsia="zh-CN"/>
                <w14:textFill>
                  <w14:solidFill>
                    <w14:schemeClr w14:val="tx1"/>
                  </w14:solidFill>
                </w14:textFill>
              </w:rPr>
              <w:t>自然资源要素支撑产业高质量发展指导目</w:t>
            </w:r>
            <w:r>
              <w:rPr>
                <w:rFonts w:hint="eastAsia" w:ascii="Times New Roman" w:hAnsi="Times New Roman" w:cs="Times New Roman"/>
                <w:i w:val="0"/>
                <w:iCs w:val="0"/>
                <w:smallCaps w:val="0"/>
                <w:color w:val="000000" w:themeColor="text1"/>
                <w:sz w:val="21"/>
                <w:szCs w:val="21"/>
                <w:highlight w:val="none"/>
                <w:lang w:val="en-US" w:eastAsia="zh-CN"/>
                <w14:textFill>
                  <w14:solidFill>
                    <w14:schemeClr w14:val="tx1"/>
                  </w14:solidFill>
                </w14:textFill>
              </w:rPr>
              <w:t>录</w:t>
            </w:r>
            <w:r>
              <w:rPr>
                <w:rFonts w:hint="eastAsia" w:ascii="Times New Roman" w:hAnsi="Times New Roman" w:eastAsia="宋体" w:cs="Times New Roman"/>
                <w:i w:val="0"/>
                <w:iCs w:val="0"/>
                <w:smallCaps w:val="0"/>
                <w:color w:val="000000" w:themeColor="text1"/>
                <w:sz w:val="21"/>
                <w:szCs w:val="21"/>
                <w:highlight w:val="none"/>
                <w:lang w:val="en-US" w:eastAsia="zh-CN"/>
                <w14:textFill>
                  <w14:solidFill>
                    <w14:schemeClr w14:val="tx1"/>
                  </w14:solidFill>
                </w14:textFill>
              </w:rPr>
              <w:t>（2024年本）</w:t>
            </w:r>
            <w:r>
              <w:rPr>
                <w:rFonts w:hint="eastAsia" w:ascii="Times New Roman" w:hAnsi="Times New Roman" w:cs="Times New Roman"/>
                <w:i w:val="0"/>
                <w:iCs w:val="0"/>
                <w:smallCap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smallCaps w:val="0"/>
                <w:color w:val="000000" w:themeColor="text1"/>
                <w:sz w:val="21"/>
                <w:szCs w:val="21"/>
                <w:highlight w:val="none"/>
                <w:lang w:val="en-US" w:eastAsia="zh-CN"/>
                <w14:textFill>
                  <w14:solidFill>
                    <w14:schemeClr w14:val="tx1"/>
                  </w14:solidFill>
                </w14:textFill>
              </w:rPr>
              <w:t>中的限制用地、禁止用地项目；亦不属于</w:t>
            </w:r>
            <w:r>
              <w:rPr>
                <w:rFonts w:hint="eastAsia" w:ascii="Times New Roman" w:hAnsi="Times New Roman" w:cs="Times New Roman"/>
                <w:smallCaps w:val="0"/>
                <w:color w:val="000000" w:themeColor="text1"/>
                <w:sz w:val="21"/>
                <w:szCs w:val="21"/>
                <w:highlight w:val="none"/>
                <w:lang w:val="en-US" w:eastAsia="zh-CN"/>
                <w14:textFill>
                  <w14:solidFill>
                    <w14:schemeClr w14:val="tx1"/>
                  </w14:solidFill>
                </w14:textFill>
              </w:rPr>
              <w:t>其他</w:t>
            </w:r>
            <w:r>
              <w:rPr>
                <w:rFonts w:hint="eastAsia" w:ascii="Times New Roman" w:hAnsi="Times New Roman" w:eastAsia="宋体" w:cs="Times New Roman"/>
                <w:smallCaps w:val="0"/>
                <w:color w:val="000000" w:themeColor="text1"/>
                <w:sz w:val="21"/>
                <w:szCs w:val="21"/>
                <w:highlight w:val="none"/>
                <w:lang w:val="en-US" w:eastAsia="zh-CN"/>
                <w14:textFill>
                  <w14:solidFill>
                    <w14:schemeClr w14:val="tx1"/>
                  </w14:solidFill>
                </w14:textFill>
              </w:rPr>
              <w:t>相关法律法规要求淘汰和限制的产业。</w:t>
            </w:r>
          </w:p>
          <w:p w14:paraId="1B8E25BB">
            <w:pPr>
              <w:pStyle w:val="37"/>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16"/>
                <w14:textFill>
                  <w14:solidFill>
                    <w14:schemeClr w14:val="tx1"/>
                  </w14:solidFill>
                </w14:textFill>
              </w:rPr>
              <w:t>本项目对照《市场准入负面清单》（202</w:t>
            </w:r>
            <w:r>
              <w:rPr>
                <w:rFonts w:hint="eastAsia" w:ascii="Times New Roman" w:hAnsi="Times New Roman" w:cs="Times New Roman"/>
                <w:color w:val="000000" w:themeColor="text1"/>
                <w:sz w:val="21"/>
                <w:szCs w:val="16"/>
                <w:lang w:val="en-US" w:eastAsia="zh-CN"/>
                <w14:textFill>
                  <w14:solidFill>
                    <w14:schemeClr w14:val="tx1"/>
                  </w14:solidFill>
                </w14:textFill>
              </w:rPr>
              <w:t>5</w:t>
            </w:r>
            <w:r>
              <w:rPr>
                <w:rFonts w:hint="default" w:ascii="Times New Roman" w:hAnsi="Times New Roman" w:cs="Times New Roman"/>
                <w:color w:val="000000" w:themeColor="text1"/>
                <w:sz w:val="21"/>
                <w:szCs w:val="16"/>
                <w14:textFill>
                  <w14:solidFill>
                    <w14:schemeClr w14:val="tx1"/>
                  </w14:solidFill>
                </w14:textFill>
              </w:rPr>
              <w:t>版），不属于其中的禁止类和限制类，符合相关规划。</w:t>
            </w:r>
            <w:r>
              <w:rPr>
                <w:rFonts w:hint="default" w:ascii="Times New Roman" w:hAnsi="Times New Roman" w:cs="Times New Roman"/>
                <w:bCs/>
                <w:color w:val="000000" w:themeColor="text1"/>
                <w:sz w:val="21"/>
                <w:szCs w:val="16"/>
                <w14:textFill>
                  <w14:solidFill>
                    <w14:schemeClr w14:val="tx1"/>
                  </w14:solidFill>
                </w14:textFill>
              </w:rPr>
              <w:t>对照《环境保护综合名录（2021年版）》，本项目不在“高污染、高环境风险”产品名录内；对照</w:t>
            </w:r>
            <w:r>
              <w:rPr>
                <w:rFonts w:hint="eastAsia" w:ascii="Times New Roman" w:hAnsi="Times New Roman" w:cs="Times New Roman"/>
                <w:bCs/>
                <w:color w:val="000000" w:themeColor="text1"/>
                <w:sz w:val="21"/>
                <w:szCs w:val="16"/>
                <w:lang w:val="en-US" w:eastAsia="zh-CN"/>
                <w14:textFill>
                  <w14:solidFill>
                    <w14:schemeClr w14:val="tx1"/>
                  </w14:solidFill>
                </w14:textFill>
              </w:rPr>
              <w:t>《江苏省“两高”项目管理目录（2024年版）》</w:t>
            </w:r>
            <w:r>
              <w:rPr>
                <w:rFonts w:hint="default" w:ascii="Times New Roman" w:hAnsi="Times New Roman" w:cs="Times New Roman"/>
                <w:bCs/>
                <w:color w:val="000000" w:themeColor="text1"/>
                <w:sz w:val="21"/>
                <w:szCs w:val="16"/>
                <w14:textFill>
                  <w14:solidFill>
                    <w14:schemeClr w14:val="tx1"/>
                  </w14:solidFill>
                </w14:textFill>
              </w:rPr>
              <w:t>，本项目不属于两高项目。因此，</w:t>
            </w:r>
            <w:r>
              <w:rPr>
                <w:rFonts w:hint="default" w:ascii="Times New Roman" w:hAnsi="Times New Roman" w:cs="Times New Roman"/>
                <w:color w:val="000000" w:themeColor="text1"/>
                <w:sz w:val="21"/>
                <w:szCs w:val="16"/>
                <w14:textFill>
                  <w14:solidFill>
                    <w14:schemeClr w14:val="tx1"/>
                  </w14:solidFill>
                </w14:textFill>
              </w:rPr>
              <w:t>本项目</w:t>
            </w:r>
            <w:r>
              <w:rPr>
                <w:rFonts w:hint="default" w:ascii="Times New Roman" w:hAnsi="Times New Roman" w:cs="Times New Roman"/>
                <w:bCs/>
                <w:color w:val="000000" w:themeColor="text1"/>
                <w:sz w:val="21"/>
                <w:szCs w:val="16"/>
                <w14:textFill>
                  <w14:solidFill>
                    <w14:schemeClr w14:val="tx1"/>
                  </w14:solidFill>
                </w14:textFill>
              </w:rPr>
              <w:t>符合国家和地方相关产业政策要求。</w:t>
            </w:r>
          </w:p>
          <w:p w14:paraId="3BD224FB">
            <w:pPr>
              <w:spacing w:line="36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14:textFill>
                  <w14:solidFill>
                    <w14:schemeClr w14:val="tx1"/>
                  </w14:solidFill>
                </w14:textFill>
              </w:rPr>
              <w:t>“三线一单”相符性分析</w:t>
            </w:r>
          </w:p>
          <w:p w14:paraId="41ADC120">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（1）生态红线</w:t>
            </w:r>
          </w:p>
          <w:p w14:paraId="4A412FDE">
            <w:pPr>
              <w:adjustRightInd w:val="0"/>
              <w:snapToGrid w:val="0"/>
              <w:spacing w:line="360" w:lineRule="auto"/>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①对照《江苏省国家级生态保护红线规划》</w:t>
            </w:r>
            <w:r>
              <w:rPr>
                <w:rFonts w:hint="eastAsia"/>
                <w:color w:val="000000" w:themeColor="text1"/>
                <w:shd w:val="clear" w:color="auto" w:fill="auto"/>
                <w14:textFill>
                  <w14:solidFill>
                    <w14:schemeClr w14:val="tx1"/>
                  </w14:solidFill>
                </w14:textFill>
              </w:rPr>
              <w:t>（苏政发</w:t>
            </w:r>
            <w:r>
              <w:rPr>
                <w:rFonts w:hint="default" w:ascii="Times New Roman" w:hAnsi="Times New Roman" w:cs="Times New Roman"/>
                <w:bCs/>
                <w:color w:val="000000" w:themeColor="text1"/>
                <w:sz w:val="21"/>
                <w:szCs w:val="16"/>
                <w14:textFill>
                  <w14:solidFill>
                    <w14:schemeClr w14:val="tx1"/>
                  </w14:solidFill>
                </w14:textFill>
              </w:rPr>
              <w:t>〔20</w:t>
            </w:r>
            <w:r>
              <w:rPr>
                <w:rFonts w:hint="default" w:ascii="Times New Roman" w:hAnsi="Times New Roman" w:cs="Times New Roman"/>
                <w:bCs/>
                <w:color w:val="000000" w:themeColor="text1"/>
                <w:sz w:val="21"/>
                <w:szCs w:val="16"/>
                <w:lang w:val="en-US" w:eastAsia="zh-CN"/>
                <w14:textFill>
                  <w14:solidFill>
                    <w14:schemeClr w14:val="tx1"/>
                  </w14:solidFill>
                </w14:textFill>
              </w:rPr>
              <w:t>18</w:t>
            </w:r>
            <w:r>
              <w:rPr>
                <w:rFonts w:hint="default" w:ascii="Times New Roman" w:hAnsi="Times New Roman" w:cs="Times New Roman"/>
                <w:bCs/>
                <w:color w:val="000000" w:themeColor="text1"/>
                <w:sz w:val="21"/>
                <w:szCs w:val="16"/>
                <w14:textFill>
                  <w14:solidFill>
                    <w14:schemeClr w14:val="tx1"/>
                  </w14:solidFill>
                </w14:textFill>
              </w:rPr>
              <w:t>〕</w:t>
            </w:r>
            <w:r>
              <w:rPr>
                <w:rFonts w:hint="default" w:ascii="Times New Roman" w:hAnsi="Times New Roman" w:cs="Times New Roman"/>
                <w:color w:val="000000" w:themeColor="text1"/>
                <w:shd w:val="clear" w:color="auto" w:fill="auto"/>
                <w14:textFill>
                  <w14:solidFill>
                    <w14:schemeClr w14:val="tx1"/>
                  </w14:solidFill>
                </w14:textFill>
              </w:rPr>
              <w:t>74 号</w:t>
            </w:r>
            <w:r>
              <w:rPr>
                <w:rFonts w:hint="eastAsia"/>
                <w:color w:val="000000" w:themeColor="text1"/>
                <w:shd w:val="clear" w:color="auto" w:fill="auto"/>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，海门区境内生态保护红线为海门长江饮用水源保护区。本项目位于</w:t>
            </w:r>
            <w:r>
              <w:rPr>
                <w:rFonts w:hint="default" w:ascii="Times New Roman" w:hAnsi="Times New Roman" w:cs="Times New Roman"/>
                <w:color w:val="000000" w:themeColor="text1"/>
                <w:spacing w:val="0"/>
                <w:kern w:val="11"/>
                <w:sz w:val="21"/>
                <w:szCs w:val="21"/>
                <w:highlight w:val="none"/>
                <w:lang w:val="en-US" w:eastAsia="zh-CN"/>
                <w14:textFill>
                  <w14:solidFill>
                    <w14:schemeClr w14:val="tx1"/>
                  </w14:solidFill>
                </w14:textFill>
              </w:rPr>
              <w:t>江</w:t>
            </w:r>
            <w:r>
              <w:rPr>
                <w:rFonts w:hint="default" w:ascii="Times New Roman" w:hAnsi="Times New Roman" w:cs="Times New Roman"/>
                <w:color w:val="000000" w:themeColor="text1"/>
                <w:szCs w:val="21"/>
                <w14:textFill>
                  <w14:solidFill>
                    <w14:schemeClr w14:val="tx1"/>
                  </w14:solidFill>
                </w14:textFill>
              </w:rPr>
              <w:t>苏省南通市</w:t>
            </w:r>
            <w:r>
              <w:rPr>
                <w:rFonts w:hint="default" w:ascii="Times New Roman" w:hAnsi="Times New Roman" w:cs="Times New Roman"/>
                <w:color w:val="000000" w:themeColor="text1"/>
                <w:szCs w:val="21"/>
                <w:lang w:eastAsia="zh-CN"/>
                <w14:textFill>
                  <w14:solidFill>
                    <w14:schemeClr w14:val="tx1"/>
                  </w14:solidFill>
                </w14:textFill>
              </w:rPr>
              <w:t>海门经济技术开发区</w:t>
            </w:r>
            <w:r>
              <w:rPr>
                <w:rFonts w:hint="default" w:ascii="Times New Roman" w:hAnsi="Times New Roman" w:cs="Times New Roman"/>
                <w:color w:val="000000" w:themeColor="text1"/>
                <w:szCs w:val="21"/>
                <w:lang w:val="en-US" w:eastAsia="zh-CN"/>
                <w14:textFill>
                  <w14:solidFill>
                    <w14:schemeClr w14:val="tx1"/>
                  </w14:solidFill>
                </w14:textFill>
              </w:rPr>
              <w:t>人民东路南、通源路西侧</w:t>
            </w:r>
            <w:r>
              <w:rPr>
                <w:rFonts w:hint="default" w:ascii="Times New Roman" w:hAnsi="Times New Roman" w:cs="Times New Roman"/>
                <w:color w:val="000000" w:themeColor="text1"/>
                <w14:textFill>
                  <w14:solidFill>
                    <w14:schemeClr w14:val="tx1"/>
                  </w14:solidFill>
                </w14:textFill>
              </w:rPr>
              <w:t>，距离海门长江饮用水源保护区约</w:t>
            </w:r>
            <w:r>
              <w:rPr>
                <w:rFonts w:hint="default" w:ascii="Times New Roman" w:hAnsi="Times New Roman" w:cs="Times New Roman"/>
                <w:color w:val="000000" w:themeColor="text1"/>
                <w:lang w:val="en-US" w:eastAsia="zh-CN"/>
                <w14:textFill>
                  <w14:solidFill>
                    <w14:schemeClr w14:val="tx1"/>
                  </w14:solidFill>
                </w14:textFill>
              </w:rPr>
              <w:t>11.8</w:t>
            </w:r>
            <w:r>
              <w:rPr>
                <w:rFonts w:hint="default" w:ascii="Times New Roman" w:hAnsi="Times New Roman" w:cs="Times New Roman"/>
                <w:color w:val="000000" w:themeColor="text1"/>
                <w14:textFill>
                  <w14:solidFill>
                    <w14:schemeClr w14:val="tx1"/>
                  </w14:solidFill>
                </w14:textFill>
              </w:rPr>
              <w:t>km，不涉及上述生态保护红线，符合《江苏省国家级生态保护红线规划》（苏政发</w:t>
            </w:r>
            <w:r>
              <w:rPr>
                <w:rFonts w:hint="eastAsia" w:ascii="Times New Roman" w:hAnsi="Times New Roman" w:cs="Times New Roman"/>
                <w:color w:val="000000" w:themeColor="text1"/>
                <w:lang w:eastAsia="zh-CN"/>
                <w14:textFill>
                  <w14:solidFill>
                    <w14:schemeClr w14:val="tx1"/>
                  </w14:solidFill>
                </w14:textFill>
              </w:rPr>
              <w:t>〔2018〕74号</w:t>
            </w:r>
            <w:r>
              <w:rPr>
                <w:rFonts w:hint="default" w:ascii="Times New Roman" w:hAnsi="Times New Roman" w:cs="Times New Roman"/>
                <w:color w:val="000000" w:themeColor="text1"/>
                <w14:textFill>
                  <w14:solidFill>
                    <w14:schemeClr w14:val="tx1"/>
                  </w14:solidFill>
                </w14:textFill>
              </w:rPr>
              <w:t>）相关要求。</w:t>
            </w:r>
          </w:p>
          <w:p w14:paraId="0C3C20D2">
            <w:pPr>
              <w:adjustRightInd w:val="0"/>
              <w:snapToGrid w:val="0"/>
              <w:spacing w:line="360" w:lineRule="auto"/>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②生态空间管控区域：《江苏省生态空间管控区域规划》（苏政发</w:t>
            </w:r>
            <w:r>
              <w:rPr>
                <w:rFonts w:hint="eastAsia" w:ascii="Times New Roman" w:hAnsi="Times New Roman" w:cs="Times New Roman"/>
                <w:color w:val="000000" w:themeColor="text1"/>
                <w:lang w:eastAsia="zh-CN"/>
                <w14:textFill>
                  <w14:solidFill>
                    <w14:schemeClr w14:val="tx1"/>
                  </w14:solidFill>
                </w14:textFill>
              </w:rPr>
              <w:t>〔2020〕1号</w:t>
            </w:r>
            <w:r>
              <w:rPr>
                <w:rFonts w:hint="default" w:ascii="Times New Roman" w:hAnsi="Times New Roman" w:cs="Times New Roman"/>
                <w:color w:val="000000" w:themeColor="text1"/>
                <w14:textFill>
                  <w14:solidFill>
                    <w14:schemeClr w14:val="tx1"/>
                  </w14:solidFill>
                </w14:textFill>
              </w:rPr>
              <w:t>）以及《南通市海门区生态空间管控区域优化调整方案》</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《自然资源部生态环境部国家林业和草原局关于加强生态保护红线管理的通知（试行）》（自然资发</w:t>
            </w:r>
            <w:r>
              <w:rPr>
                <w:rFonts w:hint="eastAsia"/>
                <w:color w:val="000000" w:themeColor="text1"/>
                <w:shd w:val="clear" w:color="auto" w:fill="auto"/>
                <w:lang w:eastAsia="zh-CN"/>
                <w14:textFill>
                  <w14:solidFill>
                    <w14:schemeClr w14:val="tx1"/>
                  </w14:solidFill>
                </w14:textFill>
              </w:rPr>
              <w:t>〔</w:t>
            </w:r>
            <w:r>
              <w:rPr>
                <w:color w:val="000000" w:themeColor="text1"/>
                <w:shd w:val="clear" w:color="auto" w:fill="auto"/>
                <w14:textFill>
                  <w14:solidFill>
                    <w14:schemeClr w14:val="tx1"/>
                  </w14:solidFill>
                </w14:textFill>
              </w:rPr>
              <w:t>202</w:t>
            </w:r>
            <w:r>
              <w:rPr>
                <w:rFonts w:hint="eastAsia"/>
                <w:color w:val="000000" w:themeColor="text1"/>
                <w:shd w:val="clear" w:color="auto" w:fill="auto"/>
                <w:lang w:val="en-US" w:eastAsia="zh-CN"/>
                <w14:textFill>
                  <w14:solidFill>
                    <w14:schemeClr w14:val="tx1"/>
                  </w14:solidFill>
                </w14:textFill>
              </w:rPr>
              <w:t>2</w:t>
            </w:r>
            <w:r>
              <w:rPr>
                <w:rFonts w:hint="eastAsia"/>
                <w:color w:val="000000" w:themeColor="text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142号）</w:t>
            </w:r>
            <w:r>
              <w:rPr>
                <w:rFonts w:hint="default" w:ascii="Times New Roman" w:hAnsi="Times New Roman" w:cs="Times New Roman"/>
                <w:color w:val="000000" w:themeColor="text1"/>
                <w14:textFill>
                  <w14:solidFill>
                    <w14:schemeClr w14:val="tx1"/>
                  </w14:solidFill>
                </w14:textFill>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15种类型。本项目位于</w:t>
            </w:r>
            <w:r>
              <w:rPr>
                <w:rFonts w:hint="default" w:ascii="Times New Roman" w:hAnsi="Times New Roman" w:cs="Times New Roman"/>
                <w:color w:val="000000" w:themeColor="text1"/>
                <w:spacing w:val="0"/>
                <w:kern w:val="11"/>
                <w:sz w:val="21"/>
                <w:szCs w:val="21"/>
                <w:highlight w:val="none"/>
                <w:lang w:val="en-US" w:eastAsia="zh-CN"/>
                <w14:textFill>
                  <w14:solidFill>
                    <w14:schemeClr w14:val="tx1"/>
                  </w14:solidFill>
                </w14:textFill>
              </w:rPr>
              <w:t>江</w:t>
            </w:r>
            <w:r>
              <w:rPr>
                <w:rFonts w:hint="default" w:ascii="Times New Roman" w:hAnsi="Times New Roman" w:cs="Times New Roman"/>
                <w:color w:val="000000" w:themeColor="text1"/>
                <w:szCs w:val="21"/>
                <w14:textFill>
                  <w14:solidFill>
                    <w14:schemeClr w14:val="tx1"/>
                  </w14:solidFill>
                </w14:textFill>
              </w:rPr>
              <w:t>苏省南通市</w:t>
            </w:r>
            <w:r>
              <w:rPr>
                <w:rFonts w:hint="default" w:ascii="Times New Roman" w:hAnsi="Times New Roman" w:cs="Times New Roman"/>
                <w:color w:val="000000" w:themeColor="text1"/>
                <w:szCs w:val="21"/>
                <w:lang w:eastAsia="zh-CN"/>
                <w14:textFill>
                  <w14:solidFill>
                    <w14:schemeClr w14:val="tx1"/>
                  </w14:solidFill>
                </w14:textFill>
              </w:rPr>
              <w:t>海门经济技术开发区</w:t>
            </w:r>
            <w:r>
              <w:rPr>
                <w:rFonts w:hint="default" w:ascii="Times New Roman" w:hAnsi="Times New Roman" w:cs="Times New Roman"/>
                <w:color w:val="000000" w:themeColor="text1"/>
                <w:szCs w:val="21"/>
                <w:lang w:val="en-US" w:eastAsia="zh-CN"/>
                <w14:textFill>
                  <w14:solidFill>
                    <w14:schemeClr w14:val="tx1"/>
                  </w14:solidFill>
                </w14:textFill>
              </w:rPr>
              <w:t>人民东路南、通源路西侧</w:t>
            </w:r>
            <w:r>
              <w:rPr>
                <w:rFonts w:hint="default" w:ascii="Times New Roman" w:hAnsi="Times New Roman" w:cs="Times New Roman"/>
                <w:color w:val="000000" w:themeColor="text1"/>
                <w14:textFill>
                  <w14:solidFill>
                    <w14:schemeClr w14:val="tx1"/>
                  </w14:solidFill>
                </w14:textFill>
              </w:rPr>
              <w:t>，距离</w:t>
            </w:r>
            <w:r>
              <w:rPr>
                <w:rFonts w:hint="default" w:ascii="Times New Roman" w:hAnsi="Times New Roman" w:cs="Times New Roman" w:eastAsiaTheme="minorEastAsia"/>
                <w:snapToGrid w:val="0"/>
                <w:color w:val="000000" w:themeColor="text1"/>
                <w:kern w:val="0"/>
                <w14:textFill>
                  <w14:solidFill>
                    <w14:schemeClr w14:val="tx1"/>
                  </w14:solidFill>
                </w14:textFill>
              </w:rPr>
              <w:t>海门河清水通道维护区</w:t>
            </w:r>
            <w:r>
              <w:rPr>
                <w:rFonts w:hint="default" w:ascii="Times New Roman" w:hAnsi="Times New Roman" w:cs="Times New Roman"/>
                <w:color w:val="000000" w:themeColor="text1"/>
                <w14:textFill>
                  <w14:solidFill>
                    <w14:schemeClr w14:val="tx1"/>
                  </w14:solidFill>
                </w14:textFill>
              </w:rPr>
              <w:t>约</w:t>
            </w:r>
            <w:r>
              <w:rPr>
                <w:rFonts w:hint="default" w:ascii="Times New Roman" w:hAnsi="Times New Roman" w:cs="Times New Roman"/>
                <w:color w:val="000000" w:themeColor="text1"/>
                <w:lang w:val="en-US" w:eastAsia="zh-CN"/>
                <w14:textFill>
                  <w14:solidFill>
                    <w14:schemeClr w14:val="tx1"/>
                  </w14:solidFill>
                </w14:textFill>
              </w:rPr>
              <w:t>1.3k</w:t>
            </w:r>
            <w:r>
              <w:rPr>
                <w:rFonts w:hint="default" w:ascii="Times New Roman" w:hAnsi="Times New Roman" w:cs="Times New Roman"/>
                <w:color w:val="000000" w:themeColor="text1"/>
                <w14:textFill>
                  <w14:solidFill>
                    <w14:schemeClr w14:val="tx1"/>
                  </w14:solidFill>
                </w14:textFill>
              </w:rPr>
              <w:t>m，不在其管控范围内。</w:t>
            </w:r>
          </w:p>
          <w:p w14:paraId="488498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（2）环境质量底线</w:t>
            </w:r>
          </w:p>
          <w:p w14:paraId="6731F2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根据《南通市生态环境状况公报》（2023年），本项目所在区域SO2、NO2、CO、PM2.5及PM10相关指标符合《环境空气质量标准》（GB3095-2012）二级标准，O3的日最大8小时滑动平均值第90百分位数浓度超过《环境空气质量标准》（GB3095-2012）二级标准浓度限值，因此区域属于大气环境质量不达标区。坚持生态优先、绿色发展，推进大气环境治理体系和治理能力现代化建设。突出源头治理，坚持精准治污、科学治污、依法治污，强化减污降碳协同、臭氧和PM2.5防治协同、区域联防联控协同“三大协同”，持续改善环境空气质量。根据《南通市生态环境状况公报》（2023年），长江（南通段）水质达到Ⅱ类，水质优良。声环境达到《声环境质量标准》（GB3096-2008）3 类标准。项目建成后，废气、废水、噪声及固废均有效处置，对周边环境影响较小，不会降低所在地的环境功能质量，符合环境质量底线要求。</w:t>
            </w:r>
          </w:p>
          <w:p w14:paraId="532957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（3）资源利用上线</w:t>
            </w:r>
          </w:p>
          <w:p w14:paraId="39BE48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本项目用水由市政自来水管网提供，用电由市政电网供给，不会达到资源利用上线；不占用新的土地资源，本项目不会突破当地资源利用上线，符合当地土地规划要求，亦不会达到资源利用上线。</w:t>
            </w:r>
          </w:p>
          <w:p w14:paraId="1735D4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r>
              <w:rPr>
                <w:rFonts w:hint="eastAsia" w:ascii="Times New Roman" w:hAnsi="Times New Roman" w:cs="Times New Roman"/>
                <w:color w:val="000000" w:themeColor="text1"/>
                <w:highlight w:val="none"/>
                <w:lang w:val="en-US" w:eastAsia="zh-CN"/>
                <w14:textFill>
                  <w14:solidFill>
                    <w14:schemeClr w14:val="tx1"/>
                  </w14:solidFill>
                </w14:textFill>
              </w:rPr>
              <w:t>生态环境准入清单相符性分析</w:t>
            </w:r>
          </w:p>
          <w:p w14:paraId="3FF4FB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①本项目位于江苏省南通市海门经济技术开发区人民东路南、通源路西侧，对照江苏省生态环境管控单元图，本项目位于重点管控单元内，本项目与江苏省2023年度生态环境分区管控动态更新成果公告相符性分析如下：</w:t>
            </w:r>
          </w:p>
          <w:p w14:paraId="1F03725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表1-3 本项目与江苏省2023年生态环境分区管控动态更新成果公告相符性分析</w:t>
            </w:r>
          </w:p>
          <w:tbl>
            <w:tblPr>
              <w:tblStyle w:val="4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3459"/>
              <w:gridCol w:w="2438"/>
              <w:gridCol w:w="880"/>
            </w:tblGrid>
            <w:tr w14:paraId="59743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4768B4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管控类别</w:t>
                  </w:r>
                </w:p>
              </w:tc>
              <w:tc>
                <w:tcPr>
                  <w:tcW w:w="3540" w:type="dxa"/>
                  <w:tcBorders>
                    <w:tl2br w:val="nil"/>
                    <w:tr2bl w:val="nil"/>
                  </w:tcBorders>
                  <w:vAlign w:val="center"/>
                </w:tcPr>
                <w:p w14:paraId="232DF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重点管控要求</w:t>
                  </w:r>
                </w:p>
              </w:tc>
              <w:tc>
                <w:tcPr>
                  <w:tcW w:w="2505" w:type="dxa"/>
                  <w:tcBorders>
                    <w:tl2br w:val="nil"/>
                    <w:tr2bl w:val="nil"/>
                  </w:tcBorders>
                  <w:vAlign w:val="center"/>
                </w:tcPr>
                <w:p w14:paraId="1A08DF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相符性分析</w:t>
                  </w:r>
                </w:p>
              </w:tc>
              <w:tc>
                <w:tcPr>
                  <w:tcW w:w="899" w:type="dxa"/>
                  <w:tcBorders>
                    <w:tl2br w:val="nil"/>
                    <w:tr2bl w:val="nil"/>
                  </w:tcBorders>
                  <w:vAlign w:val="center"/>
                </w:tcPr>
                <w:p w14:paraId="241D2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相符性</w:t>
                  </w:r>
                </w:p>
              </w:tc>
            </w:tr>
            <w:tr w14:paraId="31ECB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72E2D8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空间布局约束</w:t>
                  </w:r>
                </w:p>
              </w:tc>
              <w:tc>
                <w:tcPr>
                  <w:tcW w:w="3540" w:type="dxa"/>
                  <w:tcBorders>
                    <w:tl2br w:val="nil"/>
                    <w:tr2bl w:val="nil"/>
                  </w:tcBorders>
                  <w:vAlign w:val="center"/>
                </w:tcPr>
                <w:p w14:paraId="7A88DA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 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29272CF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2.牢牢把握推动长江经济带发展“共抓大保护，不搞大开发”战略导向，对省域范围内需要重点保护 的岸线、河段和区域实行严格管控，管住控好排放量大、耗能高、产能过剩的产业，推动长江经济带高质量发展。</w:t>
                  </w:r>
                </w:p>
                <w:p w14:paraId="710CB52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63F2C6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229A90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5.对列入国家和省规划，涉及生态保护红线和相关法定保护区的重大民生项目、重大基础设施项目 （交通基础设施项目等），应优化空间布局（选线）主动避让；确实无法避让的，应采取无害化方式（如无害化穿、跨越方式等），依法依规履行行政审批手续，强化减缓生态环境影响和生态补偿措施。</w:t>
                  </w:r>
                </w:p>
              </w:tc>
              <w:tc>
                <w:tcPr>
                  <w:tcW w:w="2505" w:type="dxa"/>
                  <w:tcBorders>
                    <w:tl2br w:val="nil"/>
                    <w:tr2bl w:val="nil"/>
                  </w:tcBorders>
                  <w:vAlign w:val="center"/>
                </w:tcPr>
                <w:p w14:paraId="4F6222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根据前文分析，本项目不在生态</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红</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线范围内；本项目为D4430 热力生产和供应，不属于石化项目、不属于钢铁项目，不在保护区内。</w:t>
                  </w:r>
                </w:p>
                <w:p w14:paraId="52C7DB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p>
              </w:tc>
              <w:tc>
                <w:tcPr>
                  <w:tcW w:w="899" w:type="dxa"/>
                  <w:tcBorders>
                    <w:tl2br w:val="nil"/>
                    <w:tr2bl w:val="nil"/>
                  </w:tcBorders>
                  <w:vAlign w:val="center"/>
                </w:tcPr>
                <w:p w14:paraId="7C98A2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相符</w:t>
                  </w:r>
                </w:p>
              </w:tc>
            </w:tr>
            <w:tr w14:paraId="0EC57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622411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污染物排放管控</w:t>
                  </w:r>
                </w:p>
              </w:tc>
              <w:tc>
                <w:tcPr>
                  <w:tcW w:w="3540" w:type="dxa"/>
                  <w:tcBorders>
                    <w:tl2br w:val="nil"/>
                    <w:tr2bl w:val="nil"/>
                  </w:tcBorders>
                  <w:vAlign w:val="center"/>
                </w:tcPr>
                <w:p w14:paraId="2978BC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1.坚持生态环境质量只能更好、不能变坏，实施污染物总量控制，以环境容量定产业、定项目、定规模，确保开发建设行为不突破生态环境承载力。</w:t>
                  </w:r>
                </w:p>
                <w:p w14:paraId="1B4E92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2.2025年，主要污染物排放减排完成国家下达任务，单位工业增加值二氧化碳排放量下降20%</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主要高耗能行业单位产品二氧化碳排放达到世界先进水平。实施氮氧化物</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NOx</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和VOCs协同减排，推进多污染物和关联区域</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联防</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联控。</w:t>
                  </w:r>
                </w:p>
              </w:tc>
              <w:tc>
                <w:tcPr>
                  <w:tcW w:w="2505" w:type="dxa"/>
                  <w:tcBorders>
                    <w:tl2br w:val="nil"/>
                    <w:tr2bl w:val="nil"/>
                  </w:tcBorders>
                  <w:vAlign w:val="center"/>
                </w:tcPr>
                <w:p w14:paraId="3A420D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本项目废气、废水经预处理后达标排放。</w:t>
                  </w:r>
                </w:p>
                <w:p w14:paraId="5669F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p>
              </w:tc>
              <w:tc>
                <w:tcPr>
                  <w:tcW w:w="899" w:type="dxa"/>
                  <w:tcBorders>
                    <w:tl2br w:val="nil"/>
                    <w:tr2bl w:val="nil"/>
                  </w:tcBorders>
                  <w:vAlign w:val="center"/>
                </w:tcPr>
                <w:p w14:paraId="39C43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相符</w:t>
                  </w:r>
                </w:p>
              </w:tc>
            </w:tr>
            <w:tr w14:paraId="14AD2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2432B9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环境风险管控</w:t>
                  </w:r>
                </w:p>
              </w:tc>
              <w:tc>
                <w:tcPr>
                  <w:tcW w:w="3540" w:type="dxa"/>
                  <w:tcBorders>
                    <w:tl2br w:val="nil"/>
                    <w:tr2bl w:val="nil"/>
                  </w:tcBorders>
                  <w:vAlign w:val="center"/>
                </w:tcPr>
                <w:p w14:paraId="200CF7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1.强化饮用水水源环境风险管控。县级以上城市全部建成应急水源或双源供水。</w:t>
                  </w:r>
                </w:p>
                <w:p w14:paraId="551307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2.强化化工行业环境风险管控。重点加强化学工业园区、涉及大宗危化品使用企业、贮存和运输危 化品的港口码头、尾矿库、集中式污水处理厂、危废处理企业的环境风险防控；严厉打击危险废物非法转移、处置和倾倒行为；加强关闭搬迁化工企业及遗留地块的调查评估、风险管控、治理修复。</w:t>
                  </w:r>
                </w:p>
                <w:p w14:paraId="675DCCC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3.强化环境事故应急管理。深化跨部门、跨区域环境应急协调联动，分区域建立环境应急物资储备库。各级工业园区</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集聚区</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和企业的环境应急装备和储备物资应纳入储备体系。</w:t>
                  </w:r>
                </w:p>
                <w:p w14:paraId="39C5B9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2505" w:type="dxa"/>
                  <w:tcBorders>
                    <w:tl2br w:val="nil"/>
                    <w:tr2bl w:val="nil"/>
                  </w:tcBorders>
                  <w:vAlign w:val="center"/>
                </w:tcPr>
                <w:p w14:paraId="7BB8A9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本项目建成后将制定环境风险应急预案，同时 企业内储备有足够的环境应急物资，实现环境风险防控。</w:t>
                  </w:r>
                </w:p>
                <w:p w14:paraId="53322F8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p>
              </w:tc>
              <w:tc>
                <w:tcPr>
                  <w:tcW w:w="899" w:type="dxa"/>
                  <w:tcBorders>
                    <w:tl2br w:val="nil"/>
                    <w:tr2bl w:val="nil"/>
                  </w:tcBorders>
                  <w:vAlign w:val="center"/>
                </w:tcPr>
                <w:p w14:paraId="65E6DF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相符</w:t>
                  </w:r>
                </w:p>
              </w:tc>
            </w:tr>
            <w:tr w14:paraId="3EE15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78C8DB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资源利用效率</w:t>
                  </w:r>
                </w:p>
              </w:tc>
              <w:tc>
                <w:tcPr>
                  <w:tcW w:w="3540" w:type="dxa"/>
                  <w:tcBorders>
                    <w:tl2br w:val="nil"/>
                    <w:tr2bl w:val="nil"/>
                  </w:tcBorders>
                  <w:vAlign w:val="center"/>
                </w:tcPr>
                <w:p w14:paraId="542DE2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1.水资源利用总量及效率要求：到2025年，全省用水总量控制在525.9亿立方米以内，万元地区生产总值用水量、万元工业增加值用水量下降完成国家下达目标，农田灌溉水有效利用系数提高到0.625。</w:t>
                  </w:r>
                </w:p>
                <w:p w14:paraId="26236A6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2.土地资源总量要求：到2025年，江苏省耕地保有量不低于5977万亩，其中永久基本农田保护面积不低于5344万亩。</w:t>
                  </w:r>
                </w:p>
                <w:p w14:paraId="5B0AD18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3.禁燃区要求：在禁燃区内，禁止销售、燃用高污染燃料；禁止新建、扩建燃用高污染燃料的设施，已建成的，应当在城市人民政府规定的期限内改用天然气、页岩气、液化石油气、电或者其他清洁能源。</w:t>
                  </w:r>
                </w:p>
              </w:tc>
              <w:tc>
                <w:tcPr>
                  <w:tcW w:w="2505" w:type="dxa"/>
                  <w:tcBorders>
                    <w:tl2br w:val="nil"/>
                    <w:tr2bl w:val="nil"/>
                  </w:tcBorders>
                  <w:vAlign w:val="center"/>
                </w:tcPr>
                <w:p w14:paraId="025E7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本项目为D4430 热力生产和供应，土地性质为工业用地；生产过程中使用</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天然气</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燃料，故符合禁燃区的相关要求。</w:t>
                  </w:r>
                </w:p>
                <w:p w14:paraId="3D508D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p>
              </w:tc>
              <w:tc>
                <w:tcPr>
                  <w:tcW w:w="899" w:type="dxa"/>
                  <w:tcBorders>
                    <w:tl2br w:val="nil"/>
                    <w:tr2bl w:val="nil"/>
                  </w:tcBorders>
                  <w:vAlign w:val="center"/>
                </w:tcPr>
                <w:p w14:paraId="514C1E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相符</w:t>
                  </w:r>
                </w:p>
              </w:tc>
            </w:tr>
          </w:tbl>
          <w:p w14:paraId="72ADA7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②本项目位于江苏省南通市海门经济技术开发区人民东路南、通源路西侧，对照江苏省生态环境管控单元图，本项目位于重点管控单元内，本项目与南通市生态环境分区管控方案动态更新成果（2023版）相符性分析如下：</w:t>
            </w:r>
          </w:p>
          <w:p w14:paraId="1889502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表1-</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与南通市生态环境分区管控方案动态更新成果（2023版）相符性分析</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4911"/>
              <w:gridCol w:w="1494"/>
              <w:gridCol w:w="628"/>
            </w:tblGrid>
            <w:tr w14:paraId="6A701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tcBorders>
                    <w:tl2br w:val="nil"/>
                    <w:tr2bl w:val="nil"/>
                  </w:tcBorders>
                  <w:noWrap w:val="0"/>
                  <w:vAlign w:val="center"/>
                </w:tcPr>
                <w:p w14:paraId="4DF11AC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管控类别</w:t>
                  </w:r>
                </w:p>
              </w:tc>
              <w:tc>
                <w:tcPr>
                  <w:tcW w:w="3106" w:type="pct"/>
                  <w:tcBorders>
                    <w:tl2br w:val="nil"/>
                    <w:tr2bl w:val="nil"/>
                  </w:tcBorders>
                  <w:noWrap w:val="0"/>
                  <w:vAlign w:val="center"/>
                </w:tcPr>
                <w:p w14:paraId="0B94CED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重点管控要求</w:t>
                  </w:r>
                </w:p>
              </w:tc>
              <w:tc>
                <w:tcPr>
                  <w:tcW w:w="945" w:type="pct"/>
                  <w:tcBorders>
                    <w:tl2br w:val="nil"/>
                    <w:tr2bl w:val="nil"/>
                  </w:tcBorders>
                  <w:noWrap w:val="0"/>
                  <w:vAlign w:val="center"/>
                </w:tcPr>
                <w:p w14:paraId="6C18FAA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相符性分析</w:t>
                  </w:r>
                </w:p>
              </w:tc>
              <w:tc>
                <w:tcPr>
                  <w:tcW w:w="397" w:type="pct"/>
                  <w:tcBorders>
                    <w:tl2br w:val="nil"/>
                    <w:tr2bl w:val="nil"/>
                  </w:tcBorders>
                  <w:noWrap w:val="0"/>
                  <w:vAlign w:val="center"/>
                </w:tcPr>
                <w:p w14:paraId="09F0B66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结论</w:t>
                  </w:r>
                </w:p>
              </w:tc>
            </w:tr>
            <w:tr w14:paraId="69F91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tcBorders>
                    <w:tl2br w:val="nil"/>
                    <w:tr2bl w:val="nil"/>
                  </w:tcBorders>
                  <w:noWrap w:val="0"/>
                  <w:vAlign w:val="center"/>
                </w:tcPr>
                <w:p w14:paraId="5108C13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3106" w:type="pct"/>
                  <w:tcBorders>
                    <w:tl2br w:val="nil"/>
                    <w:tr2bl w:val="nil"/>
                  </w:tcBorders>
                  <w:noWrap w:val="0"/>
                  <w:vAlign w:val="center"/>
                </w:tcPr>
                <w:p w14:paraId="13F4588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1.落实国土空间总体规划，严守生态保护红线，陆域生态保护红线53.4917平方公里，海洋生态保护红线2480.777平方公里。南通市生态空间管控区域面积1532.87平方公里。</w:t>
                  </w:r>
                </w:p>
                <w:p w14:paraId="7C93F78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2.严格执行《</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长江经济带发展负面清单指南</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江苏省实施细则</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试行</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禁止引进列入《南通市工业结构调整指导目录》淘汰类的产业、列入《南通市工业产业技术改造负面清单》严格禁止的技术改造工艺装备及产品。</w:t>
                  </w:r>
                </w:p>
                <w:p w14:paraId="06D689D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3.根据《省政府关于加强全省化工园区化工集中区规范化管理的通知》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苏政发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〔2020〕94号）</w:t>
                  </w:r>
                  <w:r>
                    <w:rPr>
                      <w:rFonts w:hint="default" w:ascii="Times New Roman" w:hAnsi="Times New Roman" w:eastAsia="宋体" w:cs="Times New Roman"/>
                      <w:color w:val="000000" w:themeColor="text1"/>
                      <w:sz w:val="21"/>
                      <w:szCs w:val="21"/>
                      <w:highlight w:val="none"/>
                      <w14:textFill>
                        <w14:solidFill>
                          <w14:schemeClr w14:val="tx1"/>
                        </w14:solidFill>
                      </w14:textFill>
                    </w:rPr>
                    <w:t>，化工园区、化工集中区处于长江干流和主要支流岸线1公里范围</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以下简称沿江1公里范围</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内的区域不得新建、扩建化工企业和项目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安全、环保、节能、信息化智能化、提升产品品质技术改造项目除外</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。禁止建设属于国家、省和我市禁止类、淘汰类生产工艺、产品的项目。从严控制农药、传统医药、染料化工项目审批，原则上不再新上医药中间体、农药中间体、染料中间体项目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具有自主知识产权的关键中间体及高产出、低污染项目除外，分别由科技部门和环保部门认定</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。沿江化工园区不再新增农药、染料化工企业。</w:t>
                  </w:r>
                </w:p>
                <w:p w14:paraId="0675858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4.落实《市政府办公室印发&lt;关于进一步促进全市乡镇工业集聚区高质量发展的实施意见&gt;的通知》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通政办发〔2022〕70号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，严格控制新增集聚区，推动园区外企业入园进区。除保障农村一二三产业融合发展所需项目外，对招商中不符合规划的项目实行一票否决，各地不得为项目随意调整规划。</w:t>
                  </w:r>
                </w:p>
                <w:p w14:paraId="0F827F5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5.落实《市政府办公室关于印发南通市减污降碳协同增效三年行动计划</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2025年</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通政办发〔2023〕24号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实施“两高”项目清单化管理推进沿江产业转型和沿海钢铁石化产业布局，推动落后和过剩产能退出。加快工业领域低碳工艺革新，全面提升船舶海工、新材料、建筑等重点行业数字化水平。推动生态环保产业与5G、人工智能、区块链等创新技术融合发展，构建自主可控、安全可靠的绿色产业链。</w:t>
                  </w:r>
                </w:p>
                <w:p w14:paraId="1F8CD18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6.落实《自然资源部国家发展改革委农业农村部关于保障和规范农村一二三产业融合发展用地的通知》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自然资发〔2021〕16号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要求，引导农村产业在县域范围内统筹布局，规模较大、工业化程度高、分散布局配套设施成本高的产业项目要进产业园区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具有一定规模的农产品加工要向县城或有条件的乡镇城镇开发边界内集聚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直接服务种植养殖业的农产品加工、电子商务、仓储保鲜冷链、产地低温直销配送等产业，原则上应集中在行政村村庄建设边界内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利用农村本地资源开展农产品初加工、发展休闲观光旅游而</w:t>
                  </w:r>
                  <w:r>
                    <w:rPr>
                      <w:rFonts w:hint="eastAsia" w:ascii="Times New Roman" w:hAnsi="Times New Roman" w:cs="Times New Roman"/>
                      <w:color w:val="000000" w:themeColor="text1"/>
                      <w:sz w:val="21"/>
                      <w:szCs w:val="21"/>
                      <w:highlight w:val="none"/>
                      <w:lang w:eastAsia="zh-CN"/>
                      <w14:textFill>
                        <w14:solidFill>
                          <w14:schemeClr w14:val="tx1"/>
                        </w14:solidFill>
                      </w14:textFill>
                    </w:rPr>
                    <w:t>必需的</w:t>
                  </w:r>
                  <w:r>
                    <w:rPr>
                      <w:rFonts w:hint="default" w:ascii="Times New Roman" w:hAnsi="Times New Roman" w:eastAsia="宋体" w:cs="Times New Roman"/>
                      <w:color w:val="000000" w:themeColor="text1"/>
                      <w:sz w:val="21"/>
                      <w:szCs w:val="21"/>
                      <w:highlight w:val="none"/>
                      <w14:textFill>
                        <w14:solidFill>
                          <w14:schemeClr w14:val="tx1"/>
                        </w14:solidFill>
                      </w14:textFill>
                    </w:rPr>
                    <w:t>配套设施建设，可在不占用永久基本农田和生态保护红线、不突破国土空间规划建设用地指标等约束条件、不破坏生态环境和乡村风貌的前提下，在村庄建设边界外安排少量建设用地，实行比例和面积控制，并依法办理农用地转用审批和供地手续。</w:t>
                  </w:r>
                </w:p>
              </w:tc>
              <w:tc>
                <w:tcPr>
                  <w:tcW w:w="945" w:type="pct"/>
                  <w:tcBorders>
                    <w:tl2br w:val="nil"/>
                    <w:tr2bl w:val="nil"/>
                  </w:tcBorders>
                  <w:noWrap w:val="0"/>
                  <w:vAlign w:val="center"/>
                </w:tcPr>
                <w:p w14:paraId="37C5920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1、本项目不占用生态保护红线和生态空间管控区域。</w:t>
                  </w:r>
                </w:p>
                <w:p w14:paraId="15100AC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2、本项目与《</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长江经济带发展负面清单指南</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江苏省实施细则</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试行</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》文件要求相符，不属于《南通市工业结构调整指导目录》淘汰类产业，不属于《南通市工业产业技术改造负面清单》严格禁止的技术改造工艺装备及产品。</w:t>
                  </w:r>
                </w:p>
                <w:p w14:paraId="173AFDF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3、本项目不属于化工项目，不属于国家、省和南通市禁止类、淘汰类生产工艺、产品的项目。不属于医药中间体、农药中间体、染料中间体项目。</w:t>
                  </w:r>
                </w:p>
                <w:p w14:paraId="185185A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4、本项目符合园区的产业定位及规划。</w:t>
                  </w:r>
                </w:p>
                <w:p w14:paraId="0E7AC6C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5、本项目不属于“两高”项目，不属于落后和过剩产能项目。</w:t>
                  </w:r>
                </w:p>
                <w:p w14:paraId="5560F64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6、本项目不属于农村产业项目。</w:t>
                  </w:r>
                </w:p>
              </w:tc>
              <w:tc>
                <w:tcPr>
                  <w:tcW w:w="397" w:type="pct"/>
                  <w:tcBorders>
                    <w:tl2br w:val="nil"/>
                    <w:tr2bl w:val="nil"/>
                  </w:tcBorders>
                  <w:noWrap w:val="0"/>
                  <w:vAlign w:val="center"/>
                </w:tcPr>
                <w:p w14:paraId="4E11368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6EDD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tcBorders>
                    <w:tl2br w:val="nil"/>
                    <w:tr2bl w:val="nil"/>
                  </w:tcBorders>
                  <w:noWrap w:val="0"/>
                  <w:vAlign w:val="center"/>
                </w:tcPr>
                <w:p w14:paraId="5C75E02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3106" w:type="pct"/>
                  <w:tcBorders>
                    <w:tl2br w:val="nil"/>
                    <w:tr2bl w:val="nil"/>
                  </w:tcBorders>
                  <w:noWrap w:val="0"/>
                  <w:vAlign w:val="center"/>
                </w:tcPr>
                <w:p w14:paraId="6564C49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1.严格落实污染物排放总量控制制度，把主要污染物排放总量指标作为建设项目环境影响评价审批的前置条件。排放主要污染物的建设项目，在环境影响评价文件</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以下简称环评文件</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审批前，须取得主要污染物排放总量指标。</w:t>
                  </w:r>
                </w:p>
                <w:p w14:paraId="487EE57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燃煤发电机组大气污染物排放浓度基本达到燃气轮机组排放限值的除外</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细颗粒物</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2.5</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年平均浓度不达标的地区，二氧化硫、氮氧化物、烟粉尘、挥发性有机物四项污染物均需进行2倍削减替代</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燃煤发电机组大气污染物排放浓度基本达到燃气轮机组排放限值的除外</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p w14:paraId="536F71F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3.落实《省政府办公厅关于印发江苏省排污权有偿使用和交易管理暂行办法的通知》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苏政办发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〔2017〕115号）</w:t>
                  </w:r>
                  <w:r>
                    <w:rPr>
                      <w:rFonts w:hint="default" w:ascii="Times New Roman" w:hAnsi="Times New Roman" w:eastAsia="宋体" w:cs="Times New Roman"/>
                      <w:color w:val="000000" w:themeColor="text1"/>
                      <w:sz w:val="21"/>
                      <w:szCs w:val="21"/>
                      <w:highlight w:val="none"/>
                      <w14:textFill>
                        <w14:solidFill>
                          <w14:schemeClr w14:val="tx1"/>
                        </w14:solidFill>
                      </w14:textFill>
                    </w:rPr>
                    <w:t>及配套的实施细则中，关于新、改扩建项目获得排污权指标的相关要求。</w:t>
                  </w:r>
                </w:p>
                <w:p w14:paraId="321A8D2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4.落实《南通市减污降碳协同增效三年行动计划</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2025年</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通政办发〔2023〕24号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双控”。</w:t>
                  </w:r>
                </w:p>
              </w:tc>
              <w:tc>
                <w:tcPr>
                  <w:tcW w:w="945" w:type="pct"/>
                  <w:tcBorders>
                    <w:tl2br w:val="nil"/>
                    <w:tr2bl w:val="nil"/>
                  </w:tcBorders>
                  <w:noWrap w:val="0"/>
                  <w:vAlign w:val="center"/>
                </w:tcPr>
                <w:p w14:paraId="4D934D8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本项目严格落实污染物排放总量控制制度</w:t>
                  </w:r>
                </w:p>
              </w:tc>
              <w:tc>
                <w:tcPr>
                  <w:tcW w:w="397" w:type="pct"/>
                  <w:tcBorders>
                    <w:tl2br w:val="nil"/>
                    <w:tr2bl w:val="nil"/>
                  </w:tcBorders>
                  <w:noWrap w:val="0"/>
                  <w:vAlign w:val="center"/>
                </w:tcPr>
                <w:p w14:paraId="33BDAC8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C34F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tcBorders>
                    <w:tl2br w:val="nil"/>
                    <w:tr2bl w:val="nil"/>
                  </w:tcBorders>
                  <w:noWrap w:val="0"/>
                  <w:vAlign w:val="center"/>
                </w:tcPr>
                <w:p w14:paraId="1E4B710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3106" w:type="pct"/>
                  <w:tcBorders>
                    <w:tl2br w:val="nil"/>
                    <w:tr2bl w:val="nil"/>
                  </w:tcBorders>
                  <w:noWrap w:val="0"/>
                  <w:vAlign w:val="center"/>
                </w:tcPr>
                <w:p w14:paraId="40BBF31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1.落实《南通市突发环境事件应急预案</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2020年修订版</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通政办发〔2020〕46号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21B9432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2.根据《关于加快全省化工钢铁煤电行业转型升级高质量发展的实施意见》</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苏办发〔2018〕32号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钢铁行业企业总平面布置必须符合国家规范要求，有较大变更的必须进行安全风险分析和评估论证。企业必须按规定设计、设置和运行自动控制系统，按规定实施全流程自动控制改造，有条件的鼓励创建智能工厂</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装置</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。企业涉及重大危险源的设施设备与周边重要公共建筑安全距离须符合国家相关标准要求。坚决淘汰超期服役的高风险设备和设施。</w:t>
                  </w:r>
                </w:p>
                <w:p w14:paraId="2FC253C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3.落实《市政府办公室关于印发南通市减污降碳协同增效三年行动计划</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2025年</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通政办发〔2023〕24号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945" w:type="pct"/>
                  <w:tcBorders>
                    <w:tl2br w:val="nil"/>
                    <w:tr2bl w:val="nil"/>
                  </w:tcBorders>
                  <w:noWrap w:val="0"/>
                  <w:vAlign w:val="center"/>
                </w:tcPr>
                <w:p w14:paraId="59B92CB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1.企业将尽快进行应急预案备案手续，并与上级主管部门做好预案衔接工作。</w:t>
                  </w:r>
                </w:p>
                <w:p w14:paraId="6C94F29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2.本项目不属于化工钢铁煤电行业。公司按规定设计、设置和运行自动控制系统。</w:t>
                  </w:r>
                </w:p>
              </w:tc>
              <w:tc>
                <w:tcPr>
                  <w:tcW w:w="397" w:type="pct"/>
                  <w:tcBorders>
                    <w:tl2br w:val="nil"/>
                    <w:tr2bl w:val="nil"/>
                  </w:tcBorders>
                  <w:noWrap w:val="0"/>
                  <w:vAlign w:val="center"/>
                </w:tcPr>
                <w:p w14:paraId="399DAD3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02D3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tcBorders>
                    <w:tl2br w:val="nil"/>
                    <w:tr2bl w:val="nil"/>
                  </w:tcBorders>
                  <w:noWrap w:val="0"/>
                  <w:vAlign w:val="center"/>
                </w:tcPr>
                <w:p w14:paraId="2FF8C3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资源利用效率要求</w:t>
                  </w:r>
                </w:p>
              </w:tc>
              <w:tc>
                <w:tcPr>
                  <w:tcW w:w="3106" w:type="pct"/>
                  <w:tcBorders>
                    <w:tl2br w:val="nil"/>
                    <w:tr2bl w:val="nil"/>
                  </w:tcBorders>
                  <w:noWrap w:val="0"/>
                  <w:vAlign w:val="center"/>
                </w:tcPr>
                <w:p w14:paraId="3BC542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1.根据《中华人民共和国大气污染防治法》，禁燃区禁止新建、扩建燃用高污染燃料的项目和设施，已建成的应逐步或依法限期改用天然气、电或者其他清洁能源。</w:t>
                  </w:r>
                </w:p>
                <w:p w14:paraId="42CA9F4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2.化工行业新建化工项目须达到国内清洁生产先进水平或行业先进水平，生产过程连续化、密闭化、自动化、智能化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钢铁行业沿海地区新建钢厂、其他地区钢厂改造升级项目必须符合《江苏省钢铁行业布局优化结构调整项目建设实施标准》要求。</w:t>
                  </w:r>
                </w:p>
                <w:p w14:paraId="792BFED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3.严格控制地下水开采。落实《江苏省地下水超采区划分方案》</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苏政复</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〔2013〕59号）</w:t>
                  </w:r>
                  <w:r>
                    <w:rPr>
                      <w:rFonts w:hint="default" w:ascii="Times New Roman" w:hAnsi="Times New Roman" w:eastAsia="宋体" w:cs="Times New Roman"/>
                      <w:color w:val="000000" w:themeColor="text1"/>
                      <w:sz w:val="21"/>
                      <w:szCs w:val="21"/>
                      <w:highlight w:val="none"/>
                      <w14:textFill>
                        <w14:solidFill>
                          <w14:schemeClr w14:val="tx1"/>
                        </w14:solidFill>
                      </w14:textFill>
                    </w:rPr>
                    <w:t>，在海门区的海门城区、三厂、常乐等乡镇共计136.9平方公里，实施地下水禁采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在如东县的掘港及马塘、岔河、洋口、丰利等乡镇，海门区除三阳、海永外的大部分地区，启东市的汇龙、吕四、北新等乡镇，通州区的东社镇、二甲镇，通州湾的三余镇等地2095.8平方公里，实施地下水限采。</w:t>
                  </w:r>
                </w:p>
                <w:p w14:paraId="0387977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4.落实《市政府办公室印发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关于进一步促进全市乡镇工业集聚区高质量发展的实施意见</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通政办发〔2022〕70号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原则上，集聚区新上工业项目的亩均固定资产投资一般不低于250万元，亩均税收一般不低于15万元。结合国土空间总体规划及产业发展规划，进一步优化配置土地资源，对不符合产业政策、位于城镇开发边界外较为碎片化的散乱污、低效产业、僵尸企业用地实施有计划盘活，归并入园区统筹利用，实现布局优化、“化零为整”。</w:t>
                  </w:r>
                </w:p>
                <w:p w14:paraId="1D28CA1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5.落实《市政府办公室关于印发南通市减污降碳协同增效三年行动计划</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2025年</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通政办发〔2023〕24号</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，加强岸线动态监管，严禁工贸和港口企业无序占用港口岸线。严控煤炭消费总量，严禁新</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扩</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建燃煤自备电厂，新建燃煤发电机组达到煤炭清洁高效利用标杆水平，2025年底前现有机组达到标杆水平。</w:t>
                  </w:r>
                </w:p>
                <w:p w14:paraId="083CEAF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6.根据《省最严格水资源管理考核和节约用水工作联席会议办公室关于下达2023年度实行最严格水资源管理制度目标任务的通知》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苏水办资联</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〔2023〕2号）</w:t>
                  </w:r>
                  <w:r>
                    <w:rPr>
                      <w:rFonts w:hint="default" w:ascii="Times New Roman" w:hAnsi="Times New Roman" w:eastAsia="宋体" w:cs="Times New Roman"/>
                      <w:color w:val="000000" w:themeColor="text1"/>
                      <w:sz w:val="21"/>
                      <w:szCs w:val="21"/>
                      <w:highlight w:val="none"/>
                      <w14:textFill>
                        <w14:solidFill>
                          <w14:schemeClr w14:val="tx1"/>
                        </w14:solidFill>
                      </w14:textFill>
                    </w:rPr>
                    <w:t>，2023年南通市地下水用水总量为2800万立方米。</w:t>
                  </w:r>
                </w:p>
              </w:tc>
              <w:tc>
                <w:tcPr>
                  <w:tcW w:w="945" w:type="pct"/>
                  <w:tcBorders>
                    <w:tl2br w:val="nil"/>
                    <w:tr2bl w:val="nil"/>
                  </w:tcBorders>
                  <w:noWrap w:val="0"/>
                  <w:vAlign w:val="center"/>
                </w:tcPr>
                <w:p w14:paraId="4868B8E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1.本项目生产过程中使用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sz w:val="21"/>
                      <w:szCs w:val="21"/>
                      <w:highlight w:val="none"/>
                      <w14:textFill>
                        <w14:solidFill>
                          <w14:schemeClr w14:val="tx1"/>
                        </w14:solidFill>
                      </w14:textFill>
                    </w:rPr>
                    <w:t>清洁能源，不涉及燃用高污染燃料设施。</w:t>
                  </w:r>
                </w:p>
                <w:p w14:paraId="2834C1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2.本项目不属于化工行业及钢铁行业。</w:t>
                  </w:r>
                </w:p>
                <w:p w14:paraId="6BC6A0A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3.本项目不涉及地下水开采。</w:t>
                  </w:r>
                </w:p>
                <w:p w14:paraId="6DF96DD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4、本项目符合园区的产业规划。</w:t>
                  </w:r>
                </w:p>
                <w:p w14:paraId="4855C73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5、本项目不占用港口岸线，不涉及煤炭使用。</w:t>
                  </w:r>
                </w:p>
                <w:p w14:paraId="0EB424B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6、本项目不涉及地下水开采。</w:t>
                  </w:r>
                </w:p>
              </w:tc>
              <w:tc>
                <w:tcPr>
                  <w:tcW w:w="397" w:type="pct"/>
                  <w:tcBorders>
                    <w:tl2br w:val="nil"/>
                    <w:tr2bl w:val="nil"/>
                  </w:tcBorders>
                  <w:noWrap w:val="0"/>
                  <w:vAlign w:val="center"/>
                </w:tcPr>
                <w:p w14:paraId="061F6D1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6630F9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根据上表可知，项目符合南通市生态环境分区管控方案动态更新成果（2023版）相关要求。</w:t>
            </w:r>
          </w:p>
          <w:p w14:paraId="5DCF08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③与《南通市海门区国土空间总体规划》（2021—2035年）国土空间规划分布图、市域重要控制线规划图相符性分析</w:t>
            </w:r>
          </w:p>
          <w:p w14:paraId="4B3827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 通过《南通市海门区国土空间总体规划》（2021</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2035年）国土空间规划分区图、市域重要控制线规划图进行叠图分析，本项目位于江苏省南通市海门经济技术开发区人民东路南、通源路西侧，在城镇开发边界内，符合“三区三线”。</w:t>
            </w:r>
          </w:p>
          <w:p w14:paraId="39B1F8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综上所述，本项目与《江苏省“三线一单”生态环境分区管控方案》（苏政发[2020]49 号）、《南通市“三线一单”生态环境分区管控实施方案》（通政办规[2021]4 号）、《南通市海门区“三线一单”生态环境分区管控实施方案》（海政办发</w:t>
            </w:r>
            <w:r>
              <w:rPr>
                <w:rFonts w:hint="eastAsia" w:ascii="Times New Roman" w:hAnsi="Times New Roman" w:cs="Times New Roman"/>
                <w:color w:val="000000" w:themeColor="text1"/>
                <w:highlight w:val="none"/>
                <w:lang w:val="en-US" w:eastAsia="zh-CN"/>
                <w14:textFill>
                  <w14:solidFill>
                    <w14:schemeClr w14:val="tx1"/>
                  </w14:solidFill>
                </w14:textFill>
              </w:rPr>
              <w:t>〔2021〕85号</w:t>
            </w:r>
            <w:r>
              <w:rPr>
                <w:rFonts w:hint="default" w:ascii="Times New Roman" w:hAnsi="Times New Roman" w:cs="Times New Roman"/>
                <w:color w:val="000000" w:themeColor="text1"/>
                <w:highlight w:val="none"/>
                <w:lang w:val="en-US" w:eastAsia="zh-CN"/>
                <w14:textFill>
                  <w14:solidFill>
                    <w14:schemeClr w14:val="tx1"/>
                  </w14:solidFill>
                </w14:textFill>
              </w:rPr>
              <w:t>）中要求相符。</w:t>
            </w:r>
          </w:p>
          <w:p w14:paraId="50A4880E">
            <w:pPr>
              <w:pStyle w:val="5"/>
              <w:spacing w:line="360" w:lineRule="auto"/>
              <w:ind w:left="0" w:leftChars="0" w:firstLine="420" w:firstLineChars="200"/>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16"/>
                <w:highlight w:val="none"/>
                <w:lang w:val="en-US" w:eastAsia="zh-CN"/>
                <w14:textFill>
                  <w14:solidFill>
                    <w14:schemeClr w14:val="tx1"/>
                  </w14:solidFill>
                </w14:textFill>
              </w:rPr>
              <w:t>④</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与《长江经济带发展负面清单指南（试行，2022年版）的通知》</w:t>
            </w:r>
            <w:r>
              <w:rPr>
                <w:rFonts w:hint="default" w:ascii="Times New Roman" w:hAnsi="Times New Roman" w:cs="Times New Roman"/>
                <w:b w:val="0"/>
                <w:bCs/>
                <w:color w:val="000000" w:themeColor="text1"/>
                <w:sz w:val="21"/>
                <w:szCs w:val="21"/>
                <w14:textFill>
                  <w14:solidFill>
                    <w14:schemeClr w14:val="tx1"/>
                  </w14:solidFill>
                </w14:textFill>
              </w:rPr>
              <w:t>（长江办</w:t>
            </w:r>
            <w:r>
              <w:rPr>
                <w:rFonts w:hint="eastAsia" w:ascii="Times New Roman" w:hAnsi="Times New Roman" w:cs="Times New Roman"/>
                <w:b w:val="0"/>
                <w:bCs/>
                <w:color w:val="000000" w:themeColor="text1"/>
                <w:sz w:val="21"/>
                <w:szCs w:val="21"/>
                <w:lang w:eastAsia="zh-CN"/>
                <w14:textFill>
                  <w14:solidFill>
                    <w14:schemeClr w14:val="tx1"/>
                  </w14:solidFill>
                </w14:textFill>
              </w:rPr>
              <w:t>〔2022〕7号</w:t>
            </w:r>
            <w:r>
              <w:rPr>
                <w:rFonts w:hint="default" w:ascii="Times New Roman" w:hAnsi="Times New Roman" w:cs="Times New Roman"/>
                <w:b w:val="0"/>
                <w:bCs/>
                <w:color w:val="000000" w:themeColor="text1"/>
                <w:sz w:val="21"/>
                <w:szCs w:val="21"/>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相符性分析</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见表1-5。</w:t>
            </w:r>
          </w:p>
          <w:p w14:paraId="09D94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表1-</w:t>
            </w:r>
            <w:r>
              <w:rPr>
                <w:rFonts w:hint="eastAsia" w:ascii="Times New Roman" w:hAnsi="Times New Roman" w:cs="Times New Roman"/>
                <w:b/>
                <w:color w:val="000000" w:themeColor="text1"/>
                <w:sz w:val="21"/>
                <w:szCs w:val="21"/>
                <w:lang w:val="en-US" w:eastAsia="zh-CN"/>
                <w14:textFill>
                  <w14:solidFill>
                    <w14:schemeClr w14:val="tx1"/>
                  </w14:solidFill>
                </w14:textFill>
              </w:rPr>
              <w:t>5</w:t>
            </w:r>
            <w:r>
              <w:rPr>
                <w:rFonts w:hint="default" w:ascii="Times New Roman" w:hAnsi="Times New Roman" w:cs="Times New Roman"/>
                <w:b/>
                <w:color w:val="000000" w:themeColor="text1"/>
                <w:sz w:val="21"/>
                <w:szCs w:val="21"/>
                <w14:textFill>
                  <w14:solidFill>
                    <w14:schemeClr w14:val="tx1"/>
                  </w14:solidFill>
                </w14:textFill>
              </w:rPr>
              <w:t xml:space="preserve">  项目与《长江经济带发展负面清单（</w:t>
            </w:r>
            <w:r>
              <w:rPr>
                <w:rFonts w:hint="default" w:ascii="Times New Roman" w:hAnsi="Times New Roman" w:cs="Times New Roman"/>
                <w:b/>
                <w:color w:val="000000" w:themeColor="text1"/>
                <w:sz w:val="21"/>
                <w:szCs w:val="21"/>
                <w:lang w:val="en-US" w:eastAsia="zh-CN"/>
                <w14:textFill>
                  <w14:solidFill>
                    <w14:schemeClr w14:val="tx1"/>
                  </w14:solidFill>
                </w14:textFill>
              </w:rPr>
              <w:t>试行</w:t>
            </w:r>
            <w:r>
              <w:rPr>
                <w:rFonts w:hint="default" w:ascii="Times New Roman" w:hAnsi="Times New Roman" w:cs="Times New Roman"/>
                <w:b/>
                <w:color w:val="000000" w:themeColor="text1"/>
                <w:sz w:val="21"/>
                <w:szCs w:val="21"/>
                <w14:textFill>
                  <w14:solidFill>
                    <w14:schemeClr w14:val="tx1"/>
                  </w14:solidFill>
                </w14:textFill>
              </w:rPr>
              <w:t>）》相符性分析</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4440"/>
              <w:gridCol w:w="2562"/>
              <w:gridCol w:w="452"/>
            </w:tblGrid>
            <w:tr w14:paraId="70F39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12" w:space="0"/>
                    <w:bottom w:val="single" w:color="auto" w:sz="4" w:space="0"/>
                    <w:right w:val="single" w:color="auto" w:sz="4" w:space="0"/>
                  </w:tcBorders>
                  <w:noWrap w:val="0"/>
                  <w:vAlign w:val="center"/>
                </w:tcPr>
                <w:p w14:paraId="726D889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807" w:type="pct"/>
                  <w:tcBorders>
                    <w:top w:val="single" w:color="auto" w:sz="12" w:space="0"/>
                    <w:left w:val="single" w:color="auto" w:sz="4" w:space="0"/>
                    <w:bottom w:val="single" w:color="auto" w:sz="4" w:space="0"/>
                    <w:right w:val="single" w:color="auto" w:sz="4" w:space="0"/>
                  </w:tcBorders>
                  <w:noWrap w:val="0"/>
                  <w:vAlign w:val="center"/>
                </w:tcPr>
                <w:p w14:paraId="624F1F0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相关要求</w:t>
                  </w:r>
                </w:p>
              </w:tc>
              <w:tc>
                <w:tcPr>
                  <w:tcW w:w="1620" w:type="pct"/>
                  <w:tcBorders>
                    <w:top w:val="single" w:color="auto" w:sz="12" w:space="0"/>
                    <w:left w:val="single" w:color="auto" w:sz="4" w:space="0"/>
                    <w:bottom w:val="single" w:color="auto" w:sz="4" w:space="0"/>
                    <w:right w:val="single" w:color="auto" w:sz="4" w:space="0"/>
                  </w:tcBorders>
                  <w:noWrap w:val="0"/>
                  <w:vAlign w:val="center"/>
                </w:tcPr>
                <w:p w14:paraId="3F8991E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相符性分析</w:t>
                  </w:r>
                </w:p>
              </w:tc>
              <w:tc>
                <w:tcPr>
                  <w:tcW w:w="286" w:type="pct"/>
                  <w:tcBorders>
                    <w:top w:val="single" w:color="auto" w:sz="12" w:space="0"/>
                    <w:left w:val="single" w:color="auto" w:sz="4" w:space="0"/>
                    <w:bottom w:val="single" w:color="auto" w:sz="4" w:space="0"/>
                  </w:tcBorders>
                  <w:noWrap w:val="0"/>
                  <w:vAlign w:val="center"/>
                </w:tcPr>
                <w:p w14:paraId="27E7024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判定</w:t>
                  </w:r>
                </w:p>
              </w:tc>
            </w:tr>
            <w:tr w14:paraId="6F6E3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0459681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21991E25">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禁止建设不符合全国和省级港口布局规划以及港口总体</w:t>
                  </w:r>
                  <w:r>
                    <w:rPr>
                      <w:rFonts w:hint="default" w:ascii="Times New Roman" w:hAnsi="Times New Roman" w:cs="Times New Roman"/>
                      <w:color w:val="000000" w:themeColor="text1"/>
                      <w:sz w:val="21"/>
                      <w:szCs w:val="21"/>
                      <w:lang w:val="en-US" w:eastAsia="zh-CN"/>
                      <w14:textFill>
                        <w14:solidFill>
                          <w14:schemeClr w14:val="tx1"/>
                        </w14:solidFill>
                      </w14:textFill>
                    </w:rPr>
                    <w:t>规划</w:t>
                  </w:r>
                  <w:r>
                    <w:rPr>
                      <w:rFonts w:hint="default" w:ascii="Times New Roman" w:hAnsi="Times New Roman" w:cs="Times New Roman"/>
                      <w:color w:val="000000" w:themeColor="text1"/>
                      <w:sz w:val="21"/>
                      <w:szCs w:val="21"/>
                      <w14:textFill>
                        <w14:solidFill>
                          <w14:schemeClr w14:val="tx1"/>
                        </w14:solidFill>
                      </w14:textFill>
                    </w:rPr>
                    <w:t>的码头项目，禁止建设不符合《长江干线过江通道布局规划》的过长江通道项目。</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2FC08BAB">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sz w:val="21"/>
                      <w:szCs w:val="21"/>
                      <w14:textFill>
                        <w14:solidFill>
                          <w14:schemeClr w14:val="tx1"/>
                        </w14:solidFill>
                      </w14:textFill>
                    </w:rPr>
                    <w:t>，不属于港口码头项目，符合相关要求。</w:t>
                  </w:r>
                </w:p>
              </w:tc>
              <w:tc>
                <w:tcPr>
                  <w:tcW w:w="286" w:type="pct"/>
                  <w:tcBorders>
                    <w:top w:val="single" w:color="auto" w:sz="4" w:space="0"/>
                    <w:left w:val="single" w:color="auto" w:sz="4" w:space="0"/>
                    <w:bottom w:val="single" w:color="auto" w:sz="4" w:space="0"/>
                  </w:tcBorders>
                  <w:noWrap w:val="0"/>
                  <w:vAlign w:val="center"/>
                </w:tcPr>
                <w:p w14:paraId="4328D86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5A873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478B7B2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01299F2D">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488D53DA">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本项目不在禁止范围内。</w:t>
                  </w:r>
                </w:p>
              </w:tc>
              <w:tc>
                <w:tcPr>
                  <w:tcW w:w="286" w:type="pct"/>
                  <w:tcBorders>
                    <w:top w:val="single" w:color="auto" w:sz="4" w:space="0"/>
                    <w:left w:val="single" w:color="auto" w:sz="4" w:space="0"/>
                    <w:bottom w:val="single" w:color="auto" w:sz="4" w:space="0"/>
                  </w:tcBorders>
                  <w:noWrap w:val="0"/>
                  <w:vAlign w:val="center"/>
                </w:tcPr>
                <w:p w14:paraId="3E904C4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6596E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450E25D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6D0307ED">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饮用水水源一级保护区的岸线和河段范围内新建、改建、新建与供水设施和保护水源无关的项目，以及网箱养殖、旅游等可能污染饮用水水体的投资建设项目。禁止在饮用水水源二级保护区的岸线和河范围内新建、改建、新建排放污染物的投资建设项目。</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5F8458A8">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本项目不在禁止范围内。</w:t>
                  </w:r>
                </w:p>
              </w:tc>
              <w:tc>
                <w:tcPr>
                  <w:tcW w:w="286" w:type="pct"/>
                  <w:tcBorders>
                    <w:top w:val="single" w:color="auto" w:sz="4" w:space="0"/>
                    <w:left w:val="single" w:color="auto" w:sz="4" w:space="0"/>
                    <w:bottom w:val="single" w:color="auto" w:sz="4" w:space="0"/>
                  </w:tcBorders>
                  <w:noWrap w:val="0"/>
                  <w:vAlign w:val="center"/>
                </w:tcPr>
                <w:p w14:paraId="7605279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3C675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0497BA1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379B474E">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7FF45461">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本项目不在禁止范围内。</w:t>
                  </w:r>
                </w:p>
              </w:tc>
              <w:tc>
                <w:tcPr>
                  <w:tcW w:w="286" w:type="pct"/>
                  <w:tcBorders>
                    <w:top w:val="single" w:color="auto" w:sz="4" w:space="0"/>
                    <w:left w:val="single" w:color="auto" w:sz="4" w:space="0"/>
                    <w:bottom w:val="single" w:color="auto" w:sz="4" w:space="0"/>
                  </w:tcBorders>
                  <w:noWrap w:val="0"/>
                  <w:vAlign w:val="center"/>
                </w:tcPr>
                <w:p w14:paraId="7A6E17E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24F3D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0AD59A3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0F09372F">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禁止违法利用、占用长江流域河湖岸线。</w:t>
                  </w:r>
                  <w:r>
                    <w:rPr>
                      <w:rFonts w:hint="default" w:ascii="Times New Roman" w:hAnsi="Times New Roman" w:cs="Times New Roman"/>
                      <w:color w:val="000000" w:themeColor="text1"/>
                      <w:sz w:val="21"/>
                      <w:szCs w:val="21"/>
                      <w14:textFill>
                        <w14:solidFill>
                          <w14:schemeClr w14:val="tx1"/>
                        </w14:solidFill>
                      </w14:textFill>
                    </w:rPr>
                    <w:t>禁止在《长江岸线保护和开发利用总体规划》划定的岸线保护区</w:t>
                  </w:r>
                  <w:r>
                    <w:rPr>
                      <w:rFonts w:hint="default" w:ascii="Times New Roman" w:hAnsi="Times New Roman" w:cs="Times New Roman"/>
                      <w:color w:val="000000" w:themeColor="text1"/>
                      <w:sz w:val="21"/>
                      <w:szCs w:val="21"/>
                      <w:lang w:val="en-US" w:eastAsia="zh-CN"/>
                      <w14:textFill>
                        <w14:solidFill>
                          <w14:schemeClr w14:val="tx1"/>
                        </w14:solidFill>
                      </w14:textFill>
                    </w:rPr>
                    <w:t>和保留区内投资建设除事关公共安全及公众利益的防洪护岸、河道治理、供水、生态环境保护、航道整治、国家重要基础设施以外的项目</w:t>
                  </w:r>
                  <w:r>
                    <w:rPr>
                      <w:rFonts w:hint="default" w:ascii="Times New Roman" w:hAnsi="Times New Roman" w:cs="Times New Roman"/>
                      <w:color w:val="000000" w:themeColor="text1"/>
                      <w:sz w:val="21"/>
                      <w:szCs w:val="21"/>
                      <w14:textFill>
                        <w14:solidFill>
                          <w14:schemeClr w14:val="tx1"/>
                        </w14:solidFill>
                      </w14:textFill>
                    </w:rPr>
                    <w:t>。禁止在《全国重要江河湖泊水功能区划》划定的河段</w:t>
                  </w:r>
                  <w:r>
                    <w:rPr>
                      <w:rFonts w:hint="default" w:ascii="Times New Roman" w:hAnsi="Times New Roman" w:cs="Times New Roman"/>
                      <w:color w:val="000000" w:themeColor="text1"/>
                      <w:sz w:val="21"/>
                      <w:szCs w:val="21"/>
                      <w:lang w:val="en-US" w:eastAsia="zh-CN"/>
                      <w14:textFill>
                        <w14:solidFill>
                          <w14:schemeClr w14:val="tx1"/>
                        </w14:solidFill>
                      </w14:textFill>
                    </w:rPr>
                    <w:t>及湖泊</w:t>
                  </w:r>
                  <w:r>
                    <w:rPr>
                      <w:rFonts w:hint="default" w:ascii="Times New Roman" w:hAnsi="Times New Roman" w:cs="Times New Roman"/>
                      <w:color w:val="000000" w:themeColor="text1"/>
                      <w:sz w:val="21"/>
                      <w:szCs w:val="21"/>
                      <w14:textFill>
                        <w14:solidFill>
                          <w14:schemeClr w14:val="tx1"/>
                        </w14:solidFill>
                      </w14:textFill>
                    </w:rPr>
                    <w:t>保护区、保留区内</w:t>
                  </w:r>
                  <w:r>
                    <w:rPr>
                      <w:rFonts w:hint="default" w:ascii="Times New Roman" w:hAnsi="Times New Roman" w:cs="Times New Roman"/>
                      <w:color w:val="000000" w:themeColor="text1"/>
                      <w:sz w:val="21"/>
                      <w:szCs w:val="21"/>
                      <w:lang w:val="en-US" w:eastAsia="zh-CN"/>
                      <w14:textFill>
                        <w14:solidFill>
                          <w14:schemeClr w14:val="tx1"/>
                        </w14:solidFill>
                      </w14:textFill>
                    </w:rPr>
                    <w:t>投资建设不利于水资源及自然生态保护的项目</w:t>
                  </w:r>
                  <w:r>
                    <w:rPr>
                      <w:rFonts w:hint="default" w:ascii="Times New Roman" w:hAnsi="Times New Roman" w:cs="Times New Roman"/>
                      <w:color w:val="000000" w:themeColor="text1"/>
                      <w:sz w:val="21"/>
                      <w:szCs w:val="21"/>
                      <w14:textFill>
                        <w14:solidFill>
                          <w14:schemeClr w14:val="tx1"/>
                        </w14:solidFill>
                      </w14:textFill>
                    </w:rPr>
                    <w:t>。</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19D56110">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本项目不在禁止范围内。</w:t>
                  </w:r>
                </w:p>
              </w:tc>
              <w:tc>
                <w:tcPr>
                  <w:tcW w:w="286" w:type="pct"/>
                  <w:tcBorders>
                    <w:top w:val="single" w:color="auto" w:sz="4" w:space="0"/>
                    <w:left w:val="single" w:color="auto" w:sz="4" w:space="0"/>
                    <w:bottom w:val="single" w:color="auto" w:sz="4" w:space="0"/>
                  </w:tcBorders>
                  <w:noWrap w:val="0"/>
                  <w:vAlign w:val="center"/>
                </w:tcPr>
                <w:p w14:paraId="28535C6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0224F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3571D16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65486AFA">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禁止未经许可在长江干支流及湖泊新设、改设或扩大排污口。</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7F5AA216">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w:t>
                  </w:r>
                </w:p>
              </w:tc>
              <w:tc>
                <w:tcPr>
                  <w:tcW w:w="286" w:type="pct"/>
                  <w:tcBorders>
                    <w:top w:val="single" w:color="auto" w:sz="4" w:space="0"/>
                    <w:left w:val="single" w:color="auto" w:sz="4" w:space="0"/>
                    <w:bottom w:val="single" w:color="auto" w:sz="4" w:space="0"/>
                  </w:tcBorders>
                  <w:noWrap w:val="0"/>
                  <w:vAlign w:val="center"/>
                </w:tcPr>
                <w:p w14:paraId="0E7ED18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7F1ED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3C57B3E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08D08BD6">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禁止在“一江一口两湖七河”和332个水生生物保护区开展生产性捕捞。</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47915D3B">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w:t>
                  </w:r>
                </w:p>
              </w:tc>
              <w:tc>
                <w:tcPr>
                  <w:tcW w:w="286" w:type="pct"/>
                  <w:tcBorders>
                    <w:top w:val="single" w:color="auto" w:sz="4" w:space="0"/>
                    <w:left w:val="single" w:color="auto" w:sz="4" w:space="0"/>
                    <w:bottom w:val="single" w:color="auto" w:sz="4" w:space="0"/>
                  </w:tcBorders>
                  <w:noWrap w:val="0"/>
                  <w:vAlign w:val="center"/>
                </w:tcPr>
                <w:p w14:paraId="7C5E3BF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2FCE5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16AEFF6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4D125B07">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禁止在长江干支流</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重要湖泊岸线一</w:t>
                  </w:r>
                  <w:r>
                    <w:rPr>
                      <w:rFonts w:hint="default" w:ascii="Times New Roman" w:hAnsi="Times New Roman" w:cs="Times New Roman"/>
                      <w:color w:val="000000" w:themeColor="text1"/>
                      <w:sz w:val="21"/>
                      <w:szCs w:val="21"/>
                      <w14:textFill>
                        <w14:solidFill>
                          <w14:schemeClr w14:val="tx1"/>
                        </w14:solidFill>
                      </w14:textFill>
                    </w:rPr>
                    <w:t>公里范围内新建、</w:t>
                  </w:r>
                  <w:r>
                    <w:rPr>
                      <w:rFonts w:hint="default" w:ascii="Times New Roman" w:hAnsi="Times New Roman" w:cs="Times New Roman"/>
                      <w:color w:val="000000" w:themeColor="text1"/>
                      <w:sz w:val="21"/>
                      <w:szCs w:val="21"/>
                      <w:lang w:val="en-US" w:eastAsia="zh-CN"/>
                      <w14:textFill>
                        <w14:solidFill>
                          <w14:schemeClr w14:val="tx1"/>
                        </w14:solidFill>
                      </w14:textFill>
                    </w:rPr>
                    <w:t>扩建</w:t>
                  </w:r>
                  <w:r>
                    <w:rPr>
                      <w:rFonts w:hint="default" w:ascii="Times New Roman" w:hAnsi="Times New Roman" w:cs="Times New Roman"/>
                      <w:color w:val="000000" w:themeColor="text1"/>
                      <w:sz w:val="21"/>
                      <w:szCs w:val="21"/>
                      <w14:textFill>
                        <w14:solidFill>
                          <w14:schemeClr w14:val="tx1"/>
                        </w14:solidFill>
                      </w14:textFill>
                    </w:rPr>
                    <w:t>化工园区和化工项目。禁止在</w:t>
                  </w:r>
                  <w:r>
                    <w:rPr>
                      <w:rFonts w:hint="default" w:ascii="Times New Roman" w:hAnsi="Times New Roman" w:cs="Times New Roman"/>
                      <w:color w:val="000000" w:themeColor="text1"/>
                      <w:sz w:val="21"/>
                      <w:szCs w:val="21"/>
                      <w:lang w:val="en-US" w:eastAsia="zh-CN"/>
                      <w14:textFill>
                        <w14:solidFill>
                          <w14:schemeClr w14:val="tx1"/>
                        </w14:solidFill>
                      </w14:textFill>
                    </w:rPr>
                    <w:t>长江干流岸线三公里范围内和重要支流岸线一公里范围内新建、改建、扩建尾矿库、冶炼渣库和磷石膏库，以提升安全、生态环境保护水平为目的的改建除外</w:t>
                  </w:r>
                  <w:r>
                    <w:rPr>
                      <w:rFonts w:hint="default" w:ascii="Times New Roman" w:hAnsi="Times New Roman" w:cs="Times New Roman"/>
                      <w:color w:val="000000" w:themeColor="text1"/>
                      <w:sz w:val="21"/>
                      <w:szCs w:val="21"/>
                      <w14:textFill>
                        <w14:solidFill>
                          <w14:schemeClr w14:val="tx1"/>
                        </w14:solidFill>
                      </w14:textFill>
                    </w:rPr>
                    <w:t>。</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42B11D14">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sz w:val="21"/>
                      <w:szCs w:val="21"/>
                      <w14:textFill>
                        <w14:solidFill>
                          <w14:schemeClr w14:val="tx1"/>
                        </w14:solidFill>
                      </w14:textFill>
                    </w:rPr>
                    <w:t>，符合相关要求。</w:t>
                  </w:r>
                </w:p>
              </w:tc>
              <w:tc>
                <w:tcPr>
                  <w:tcW w:w="286" w:type="pct"/>
                  <w:tcBorders>
                    <w:top w:val="single" w:color="auto" w:sz="4" w:space="0"/>
                    <w:left w:val="single" w:color="auto" w:sz="4" w:space="0"/>
                    <w:bottom w:val="single" w:color="auto" w:sz="4" w:space="0"/>
                  </w:tcBorders>
                  <w:noWrap w:val="0"/>
                  <w:vAlign w:val="center"/>
                </w:tcPr>
                <w:p w14:paraId="50CA317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44593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2468A0F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377F047C">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禁止在合规园区外新建、扩建钢铁、石化、化工、焦化、建材、有色、制浆造纸等高污染项目</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333D61DE">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sz w:val="21"/>
                      <w:szCs w:val="21"/>
                      <w14:textFill>
                        <w14:solidFill>
                          <w14:schemeClr w14:val="tx1"/>
                        </w14:solidFill>
                      </w14:textFill>
                    </w:rPr>
                    <w:t>，符合相关要求。</w:t>
                  </w:r>
                </w:p>
              </w:tc>
              <w:tc>
                <w:tcPr>
                  <w:tcW w:w="286" w:type="pct"/>
                  <w:tcBorders>
                    <w:top w:val="single" w:color="auto" w:sz="4" w:space="0"/>
                    <w:left w:val="single" w:color="auto" w:sz="4" w:space="0"/>
                    <w:bottom w:val="single" w:color="auto" w:sz="4" w:space="0"/>
                  </w:tcBorders>
                  <w:noWrap w:val="0"/>
                  <w:vAlign w:val="center"/>
                </w:tcPr>
                <w:p w14:paraId="365FA28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41565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247A6A9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507EF6DD">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禁止新建、</w:t>
                  </w:r>
                  <w:r>
                    <w:rPr>
                      <w:rFonts w:hint="default" w:ascii="Times New Roman" w:hAnsi="Times New Roman" w:cs="Times New Roman"/>
                      <w:color w:val="000000" w:themeColor="text1"/>
                      <w:sz w:val="21"/>
                      <w:szCs w:val="21"/>
                      <w:lang w:val="en-US" w:eastAsia="zh-CN"/>
                      <w14:textFill>
                        <w14:solidFill>
                          <w14:schemeClr w14:val="tx1"/>
                        </w14:solidFill>
                      </w14:textFill>
                    </w:rPr>
                    <w:t>扩</w:t>
                  </w:r>
                  <w:r>
                    <w:rPr>
                      <w:rFonts w:hint="default" w:ascii="Times New Roman" w:hAnsi="Times New Roman" w:cs="Times New Roman"/>
                      <w:color w:val="000000" w:themeColor="text1"/>
                      <w:sz w:val="21"/>
                      <w:szCs w:val="21"/>
                      <w14:textFill>
                        <w14:solidFill>
                          <w14:schemeClr w14:val="tx1"/>
                        </w14:solidFill>
                      </w14:textFill>
                    </w:rPr>
                    <w:t>建不符合国家石化、现代煤化工等产业布局规划的项目。</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6BE46AD2">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sz w:val="21"/>
                      <w:szCs w:val="21"/>
                      <w14:textFill>
                        <w14:solidFill>
                          <w14:schemeClr w14:val="tx1"/>
                        </w14:solidFill>
                      </w14:textFill>
                    </w:rPr>
                    <w:t>，符合相关要求。</w:t>
                  </w:r>
                </w:p>
              </w:tc>
              <w:tc>
                <w:tcPr>
                  <w:tcW w:w="286" w:type="pct"/>
                  <w:tcBorders>
                    <w:top w:val="single" w:color="auto" w:sz="4" w:space="0"/>
                    <w:left w:val="single" w:color="auto" w:sz="4" w:space="0"/>
                    <w:bottom w:val="single" w:color="auto" w:sz="4" w:space="0"/>
                  </w:tcBorders>
                  <w:noWrap w:val="0"/>
                  <w:vAlign w:val="center"/>
                </w:tcPr>
                <w:p w14:paraId="6FDAE4C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7B998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4" w:space="0"/>
                    <w:right w:val="single" w:color="auto" w:sz="4" w:space="0"/>
                  </w:tcBorders>
                  <w:noWrap w:val="0"/>
                  <w:vAlign w:val="center"/>
                </w:tcPr>
                <w:p w14:paraId="30BE008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2807" w:type="pct"/>
                  <w:tcBorders>
                    <w:top w:val="single" w:color="auto" w:sz="4" w:space="0"/>
                    <w:left w:val="single" w:color="auto" w:sz="4" w:space="0"/>
                    <w:bottom w:val="single" w:color="auto" w:sz="4" w:space="0"/>
                    <w:right w:val="single" w:color="auto" w:sz="4" w:space="0"/>
                  </w:tcBorders>
                  <w:noWrap w:val="0"/>
                  <w:vAlign w:val="center"/>
                </w:tcPr>
                <w:p w14:paraId="50EE98A7">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禁止新建、</w:t>
                  </w:r>
                  <w:r>
                    <w:rPr>
                      <w:rFonts w:hint="default" w:ascii="Times New Roman" w:hAnsi="Times New Roman" w:cs="Times New Roman"/>
                      <w:color w:val="000000" w:themeColor="text1"/>
                      <w:sz w:val="21"/>
                      <w:szCs w:val="21"/>
                      <w:lang w:val="en-US" w:eastAsia="zh-CN"/>
                      <w14:textFill>
                        <w14:solidFill>
                          <w14:schemeClr w14:val="tx1"/>
                        </w14:solidFill>
                      </w14:textFill>
                    </w:rPr>
                    <w:t>扩</w:t>
                  </w:r>
                  <w:r>
                    <w:rPr>
                      <w:rFonts w:hint="default" w:ascii="Times New Roman" w:hAnsi="Times New Roman" w:cs="Times New Roman"/>
                      <w:color w:val="000000" w:themeColor="text1"/>
                      <w:sz w:val="21"/>
                      <w:szCs w:val="21"/>
                      <w14:textFill>
                        <w14:solidFill>
                          <w14:schemeClr w14:val="tx1"/>
                        </w14:solidFill>
                      </w14:textFill>
                    </w:rPr>
                    <w:t>建法律法规和相关政策明令禁止的落后产能项目。禁止新建、新建不符</w:t>
                  </w:r>
                  <w:r>
                    <w:rPr>
                      <w:rFonts w:hint="default" w:ascii="Times New Roman" w:hAnsi="Times New Roman" w:cs="Times New Roman"/>
                      <w:color w:val="000000" w:themeColor="text1"/>
                      <w:sz w:val="21"/>
                      <w:szCs w:val="21"/>
                      <w:lang w:val="en-US" w:eastAsia="zh-CN"/>
                      <w14:textFill>
                        <w14:solidFill>
                          <w14:schemeClr w14:val="tx1"/>
                        </w14:solidFill>
                      </w14:textFill>
                    </w:rPr>
                    <w:t>合</w:t>
                  </w:r>
                  <w:r>
                    <w:rPr>
                      <w:rFonts w:hint="default" w:ascii="Times New Roman" w:hAnsi="Times New Roman" w:cs="Times New Roman"/>
                      <w:color w:val="000000" w:themeColor="text1"/>
                      <w:sz w:val="21"/>
                      <w:szCs w:val="21"/>
                      <w14:textFill>
                        <w14:solidFill>
                          <w14:schemeClr w14:val="tx1"/>
                        </w14:solidFill>
                      </w14:textFill>
                    </w:rPr>
                    <w:t>国家产能置换要求的严重过剩产能行业的项目</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禁止新建、扩建不符合要求的高耗能高排项目。</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062C4E05">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sz w:val="21"/>
                      <w:szCs w:val="21"/>
                      <w14:textFill>
                        <w14:solidFill>
                          <w14:schemeClr w14:val="tx1"/>
                        </w14:solidFill>
                      </w14:textFill>
                    </w:rPr>
                    <w:t>，因此，本项目</w:t>
                  </w:r>
                  <w:r>
                    <w:rPr>
                      <w:rFonts w:hint="default" w:ascii="Times New Roman" w:hAnsi="Times New Roman" w:cs="Times New Roman"/>
                      <w:color w:val="000000" w:themeColor="text1"/>
                      <w:sz w:val="21"/>
                      <w:szCs w:val="21"/>
                      <w:lang w:val="en-US" w:eastAsia="zh-CN"/>
                      <w14:textFill>
                        <w14:solidFill>
                          <w14:schemeClr w14:val="tx1"/>
                        </w14:solidFill>
                      </w14:textFill>
                    </w:rPr>
                    <w:t>不属于落后产能项目，</w:t>
                  </w:r>
                  <w:r>
                    <w:rPr>
                      <w:rFonts w:hint="default" w:ascii="Times New Roman" w:hAnsi="Times New Roman" w:cs="Times New Roman"/>
                      <w:color w:val="000000" w:themeColor="text1"/>
                      <w:sz w:val="21"/>
                      <w:szCs w:val="21"/>
                      <w14:textFill>
                        <w14:solidFill>
                          <w14:schemeClr w14:val="tx1"/>
                        </w14:solidFill>
                      </w14:textFill>
                    </w:rPr>
                    <w:t>不属于产能置换严重过剩产能的行业</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不属于高耗能高排放项目</w:t>
                  </w:r>
                  <w:r>
                    <w:rPr>
                      <w:rFonts w:hint="default" w:ascii="Times New Roman" w:hAnsi="Times New Roman" w:cs="Times New Roman"/>
                      <w:color w:val="000000" w:themeColor="text1"/>
                      <w:sz w:val="21"/>
                      <w:szCs w:val="21"/>
                      <w14:textFill>
                        <w14:solidFill>
                          <w14:schemeClr w14:val="tx1"/>
                        </w14:solidFill>
                      </w14:textFill>
                    </w:rPr>
                    <w:t>，符合相关要求。</w:t>
                  </w:r>
                </w:p>
              </w:tc>
              <w:tc>
                <w:tcPr>
                  <w:tcW w:w="286" w:type="pct"/>
                  <w:tcBorders>
                    <w:top w:val="single" w:color="auto" w:sz="4" w:space="0"/>
                    <w:left w:val="single" w:color="auto" w:sz="4" w:space="0"/>
                    <w:bottom w:val="single" w:color="auto" w:sz="4" w:space="0"/>
                  </w:tcBorders>
                  <w:noWrap w:val="0"/>
                  <w:vAlign w:val="center"/>
                </w:tcPr>
                <w:p w14:paraId="5DB5C93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50F06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tcBorders>
                    <w:top w:val="single" w:color="auto" w:sz="4" w:space="0"/>
                    <w:bottom w:val="single" w:color="auto" w:sz="12" w:space="0"/>
                    <w:right w:val="single" w:color="auto" w:sz="4" w:space="0"/>
                  </w:tcBorders>
                  <w:noWrap w:val="0"/>
                  <w:vAlign w:val="center"/>
                </w:tcPr>
                <w:p w14:paraId="45A9669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2807" w:type="pct"/>
                  <w:tcBorders>
                    <w:top w:val="single" w:color="auto" w:sz="4" w:space="0"/>
                    <w:left w:val="single" w:color="auto" w:sz="4" w:space="0"/>
                    <w:bottom w:val="single" w:color="auto" w:sz="12" w:space="0"/>
                    <w:right w:val="single" w:color="auto" w:sz="4" w:space="0"/>
                  </w:tcBorders>
                  <w:noWrap w:val="0"/>
                  <w:vAlign w:val="center"/>
                </w:tcPr>
                <w:p w14:paraId="501B39EE">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法律法规及相关政策文件有更加严格规定的从其规定。</w:t>
                  </w:r>
                </w:p>
              </w:tc>
              <w:tc>
                <w:tcPr>
                  <w:tcW w:w="1620" w:type="pct"/>
                  <w:tcBorders>
                    <w:top w:val="single" w:color="auto" w:sz="4" w:space="0"/>
                    <w:left w:val="single" w:color="auto" w:sz="4" w:space="0"/>
                    <w:bottom w:val="single" w:color="auto" w:sz="12" w:space="0"/>
                    <w:right w:val="single" w:color="auto" w:sz="4" w:space="0"/>
                  </w:tcBorders>
                  <w:noWrap w:val="0"/>
                  <w:vAlign w:val="center"/>
                </w:tcPr>
                <w:p w14:paraId="73CCD5D3">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286" w:type="pct"/>
                  <w:tcBorders>
                    <w:top w:val="single" w:color="auto" w:sz="4" w:space="0"/>
                    <w:left w:val="single" w:color="auto" w:sz="4" w:space="0"/>
                    <w:bottom w:val="single" w:color="auto" w:sz="12" w:space="0"/>
                  </w:tcBorders>
                  <w:noWrap w:val="0"/>
                  <w:vAlign w:val="center"/>
                </w:tcPr>
                <w:p w14:paraId="15CB3DE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bl>
          <w:p w14:paraId="20A3DFC0">
            <w:pPr>
              <w:spacing w:line="360" w:lineRule="auto"/>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对照《长江经济带发展负面清单指南（试行</w:t>
            </w:r>
            <w:r>
              <w:rPr>
                <w:rFonts w:hint="default" w:ascii="Times New Roman" w:hAnsi="Times New Roman" w:cs="Times New Roman"/>
                <w:b w:val="0"/>
                <w:bCs/>
                <w:color w:val="000000" w:themeColor="text1"/>
                <w:sz w:val="21"/>
                <w:szCs w:val="2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2022年版</w:t>
            </w:r>
            <w:r>
              <w:rPr>
                <w:rFonts w:hint="default" w:ascii="Times New Roman" w:hAnsi="Times New Roman" w:cs="Times New Roman"/>
                <w:b w:val="0"/>
                <w:bCs/>
                <w:color w:val="000000" w:themeColor="text1"/>
                <w:sz w:val="21"/>
                <w:szCs w:val="21"/>
                <w14:textFill>
                  <w14:solidFill>
                    <w14:schemeClr w14:val="tx1"/>
                  </w14:solidFill>
                </w14:textFill>
              </w:rPr>
              <w:t>）的通知》（长江办</w:t>
            </w:r>
            <w:r>
              <w:rPr>
                <w:rFonts w:hint="eastAsia" w:ascii="Times New Roman" w:hAnsi="Times New Roman" w:cs="Times New Roman"/>
                <w:b w:val="0"/>
                <w:bCs/>
                <w:color w:val="000000" w:themeColor="text1"/>
                <w:sz w:val="21"/>
                <w:szCs w:val="21"/>
                <w:lang w:eastAsia="zh-CN"/>
                <w14:textFill>
                  <w14:solidFill>
                    <w14:schemeClr w14:val="tx1"/>
                  </w14:solidFill>
                </w14:textFill>
              </w:rPr>
              <w:t>〔2022〕7号</w:t>
            </w:r>
            <w:r>
              <w:rPr>
                <w:rFonts w:hint="default" w:ascii="Times New Roman" w:hAnsi="Times New Roman" w:cs="Times New Roman"/>
                <w:b w:val="0"/>
                <w:bCs/>
                <w:color w:val="000000" w:themeColor="text1"/>
                <w:sz w:val="21"/>
                <w:szCs w:val="21"/>
                <w14:textFill>
                  <w14:solidFill>
                    <w14:schemeClr w14:val="tx1"/>
                  </w14:solidFill>
                </w14:textFill>
              </w:rPr>
              <w:t>）中相关内容要求，本项目符合相关要求</w:t>
            </w:r>
            <w:r>
              <w:rPr>
                <w:rFonts w:hint="default" w:ascii="Times New Roman" w:hAnsi="Times New Roman" w:cs="Times New Roman"/>
                <w:bCs/>
                <w:color w:val="000000" w:themeColor="text1"/>
                <w:sz w:val="21"/>
                <w:szCs w:val="21"/>
                <w14:textFill>
                  <w14:solidFill>
                    <w14:schemeClr w14:val="tx1"/>
                  </w14:solidFill>
                </w14:textFill>
              </w:rPr>
              <w:t>。</w:t>
            </w:r>
          </w:p>
          <w:p w14:paraId="56885D5B">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⑤</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与《长江经济带发展负面清单指南》（试行，2022年版）（江苏省实施细则）的相符性分析</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见表1-6。</w:t>
            </w:r>
          </w:p>
          <w:p w14:paraId="66209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表1-</w:t>
            </w:r>
            <w:r>
              <w:rPr>
                <w:rFonts w:hint="eastAsia" w:ascii="Times New Roman" w:hAnsi="Times New Roman" w:cs="Times New Roman"/>
                <w:b/>
                <w:color w:val="000000" w:themeColor="text1"/>
                <w:sz w:val="21"/>
                <w:szCs w:val="21"/>
                <w:lang w:val="en-US" w:eastAsia="zh-CN"/>
                <w14:textFill>
                  <w14:solidFill>
                    <w14:schemeClr w14:val="tx1"/>
                  </w14:solidFill>
                </w14:textFill>
              </w:rPr>
              <w:t>6</w:t>
            </w:r>
            <w:r>
              <w:rPr>
                <w:rFonts w:hint="default" w:ascii="Times New Roman" w:hAnsi="Times New Roman" w:cs="Times New Roman"/>
                <w:b/>
                <w:color w:val="000000" w:themeColor="text1"/>
                <w:sz w:val="21"/>
                <w:szCs w:val="21"/>
                <w14:textFill>
                  <w14:solidFill>
                    <w14:schemeClr w14:val="tx1"/>
                  </w14:solidFill>
                </w14:textFill>
              </w:rPr>
              <w:t xml:space="preserve"> 项目与《长江经济带发展负面清单（</w:t>
            </w:r>
            <w:r>
              <w:rPr>
                <w:rFonts w:hint="default" w:ascii="Times New Roman" w:hAnsi="Times New Roman" w:cs="Times New Roman"/>
                <w:b/>
                <w:color w:val="000000" w:themeColor="text1"/>
                <w:sz w:val="21"/>
                <w:szCs w:val="21"/>
                <w:lang w:val="en-US" w:eastAsia="zh-CN"/>
                <w14:textFill>
                  <w14:solidFill>
                    <w14:schemeClr w14:val="tx1"/>
                  </w14:solidFill>
                </w14:textFill>
              </w:rPr>
              <w:t>试行</w:t>
            </w:r>
            <w:r>
              <w:rPr>
                <w:rFonts w:hint="default" w:ascii="Times New Roman" w:hAnsi="Times New Roman" w:cs="Times New Roman"/>
                <w:b/>
                <w:color w:val="000000" w:themeColor="text1"/>
                <w:sz w:val="21"/>
                <w:szCs w:val="21"/>
                <w14:textFill>
                  <w14:solidFill>
                    <w14:schemeClr w14:val="tx1"/>
                  </w14:solidFill>
                </w14:textFill>
              </w:rPr>
              <w:t>）》相符性分析</w:t>
            </w:r>
          </w:p>
          <w:tbl>
            <w:tblPr>
              <w:tblStyle w:val="4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67"/>
              <w:gridCol w:w="2283"/>
              <w:gridCol w:w="852"/>
            </w:tblGrid>
            <w:tr w14:paraId="7F44D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6" w:type="pct"/>
                  <w:tcBorders>
                    <w:top w:val="single" w:color="auto" w:sz="12" w:space="0"/>
                    <w:bottom w:val="single" w:color="auto" w:sz="4" w:space="0"/>
                    <w:right w:val="single" w:color="auto" w:sz="4" w:space="0"/>
                  </w:tcBorders>
                  <w:noWrap w:val="0"/>
                  <w:vAlign w:val="center"/>
                </w:tcPr>
                <w:p w14:paraId="69FDDE7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相关要求</w:t>
                  </w:r>
                </w:p>
              </w:tc>
              <w:tc>
                <w:tcPr>
                  <w:tcW w:w="1444" w:type="pct"/>
                  <w:tcBorders>
                    <w:top w:val="single" w:color="auto" w:sz="12" w:space="0"/>
                    <w:left w:val="single" w:color="auto" w:sz="4" w:space="0"/>
                    <w:bottom w:val="single" w:color="auto" w:sz="4" w:space="0"/>
                    <w:right w:val="single" w:color="auto" w:sz="4" w:space="0"/>
                  </w:tcBorders>
                  <w:noWrap w:val="0"/>
                  <w:vAlign w:val="center"/>
                </w:tcPr>
                <w:p w14:paraId="6F5B8D1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本项目</w:t>
                  </w:r>
                </w:p>
              </w:tc>
              <w:tc>
                <w:tcPr>
                  <w:tcW w:w="539" w:type="pct"/>
                  <w:tcBorders>
                    <w:top w:val="single" w:color="auto" w:sz="12" w:space="0"/>
                    <w:left w:val="single" w:color="auto" w:sz="4" w:space="0"/>
                    <w:bottom w:val="single" w:color="auto" w:sz="4" w:space="0"/>
                  </w:tcBorders>
                  <w:noWrap w:val="0"/>
                  <w:vAlign w:val="center"/>
                </w:tcPr>
                <w:p w14:paraId="337435D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相符性</w:t>
                  </w:r>
                </w:p>
              </w:tc>
            </w:tr>
            <w:tr w14:paraId="774D8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6" w:type="pct"/>
                  <w:tcBorders>
                    <w:top w:val="single" w:color="auto" w:sz="4" w:space="0"/>
                    <w:bottom w:val="single" w:color="auto" w:sz="4" w:space="0"/>
                    <w:right w:val="single" w:color="auto" w:sz="4" w:space="0"/>
                  </w:tcBorders>
                  <w:noWrap w:val="0"/>
                  <w:vAlign w:val="center"/>
                </w:tcPr>
                <w:p w14:paraId="5A20E967">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一、河段利用与岸线开发</w:t>
                  </w:r>
                </w:p>
                <w:p w14:paraId="78874FA0">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1.禁止建设不符合国家港口布局规划和《江苏省沿江沿海港口布局规划</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2015-2030 年</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》《江苏省内河港口布局规划</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2017-2035 年</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》以及我省有关港口总体规划的码头项目，禁止建设未纳入《长江干线过江通道布局规划》的过长江通道项目。</w:t>
                  </w:r>
                </w:p>
                <w:p w14:paraId="5CD4EF76">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p w14:paraId="2C158C9E">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禁止在饮用水水源二级保护区的岸线和河段范围内新建、改建、扩建排放污染物的投资建设项目</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p w14:paraId="73E456B8">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w:t>
                  </w:r>
                </w:p>
                <w:p w14:paraId="1912B5B5">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湿地公园分别由省农业农村厅、省林业局会同有关方面界定并落实管控责任。</w:t>
                  </w:r>
                </w:p>
                <w:p w14:paraId="604C7B3E">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w:t>
                  </w:r>
                </w:p>
                <w:p w14:paraId="671D9B72">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前期论证并办理相关手续。禁止在《全国重要江河湖泊水功能区划》划定的河段及湖泊保护区、保留区内投资建设不利于水资源及自然生态保护的项目。</w:t>
                  </w:r>
                </w:p>
                <w:p w14:paraId="7DBD0CC1">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6.禁止未经许可在长江干支流及湖泊新设、改设或扩大排污口。</w:t>
                  </w:r>
                </w:p>
              </w:tc>
              <w:tc>
                <w:tcPr>
                  <w:tcW w:w="1444" w:type="pct"/>
                  <w:tcBorders>
                    <w:top w:val="single" w:color="auto" w:sz="4" w:space="0"/>
                    <w:left w:val="single" w:color="auto" w:sz="4" w:space="0"/>
                    <w:bottom w:val="single" w:color="auto" w:sz="4" w:space="0"/>
                    <w:right w:val="single" w:color="auto" w:sz="4" w:space="0"/>
                  </w:tcBorders>
                  <w:noWrap w:val="0"/>
                  <w:vAlign w:val="center"/>
                </w:tcPr>
                <w:p w14:paraId="24F9C4E0">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本项目不涉及岸线，不在风景区，不在饮用水保护区，不涉及水产种质资源破坏，污水接管处理，不涉及河流排污口。</w:t>
                  </w:r>
                </w:p>
                <w:p w14:paraId="2605C8D4">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39" w:type="pct"/>
                  <w:tcBorders>
                    <w:top w:val="single" w:color="auto" w:sz="4" w:space="0"/>
                    <w:left w:val="single" w:color="auto" w:sz="4" w:space="0"/>
                    <w:bottom w:val="single" w:color="auto" w:sz="4" w:space="0"/>
                  </w:tcBorders>
                  <w:noWrap w:val="0"/>
                  <w:vAlign w:val="center"/>
                </w:tcPr>
                <w:p w14:paraId="508B55EA">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0B3ED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6" w:type="pct"/>
                  <w:tcBorders>
                    <w:top w:val="single" w:color="auto" w:sz="4" w:space="0"/>
                    <w:bottom w:val="single" w:color="auto" w:sz="4" w:space="0"/>
                    <w:right w:val="single" w:color="auto" w:sz="4" w:space="0"/>
                  </w:tcBorders>
                  <w:noWrap w:val="0"/>
                  <w:vAlign w:val="center"/>
                </w:tcPr>
                <w:p w14:paraId="7AA3B789">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二、区域活动</w:t>
                  </w:r>
                </w:p>
                <w:p w14:paraId="62A2B8DE">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7.禁止长江干流、长江口、34 个列入《率先全面禁捕的长江流域水生生物保护区名录》的水生生物保护区以及省规定的</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其他</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禁渔水域开展生产性捕捞。</w:t>
                  </w:r>
                </w:p>
                <w:p w14:paraId="3EE43603">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8.禁止在距离长江干支流岸线一公里范围内新建、扩建化工园区和化工项目。长江干支流一公里按照长江</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干</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支流岸线边界</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即水利部门河道管理范围边界</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向陆域纵深一公里执行。</w:t>
                  </w:r>
                </w:p>
                <w:p w14:paraId="0FD7BE91">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9.禁止在长江干流岸线三公里范围内新建、改建、扩建尾矿库、冶炼渣库和磷石膏库，以提升安全、生态环境保护水平为目的的改建除外。</w:t>
                  </w:r>
                </w:p>
                <w:p w14:paraId="4E121307">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10.禁止在太湖流域一、二、三级保护区内开展《江苏省太湖水污染防治条例》禁止的投资建设活动。</w:t>
                  </w:r>
                </w:p>
                <w:p w14:paraId="224427D8">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11.禁止在沿江地区新建、扩建未纳入国家和省布局规划的燃煤发电项目。</w:t>
                  </w:r>
                </w:p>
                <w:p w14:paraId="10CA97B4">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12.禁止在合规园区外新建、扩建钢铁、石化、化工、焦化、建材、有色、制浆造纸等高污染项目。合规园区名录按照《长江经济带发展负面清单指南</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试行，2022 年版</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江苏省实施细则》执行。</w:t>
                  </w:r>
                </w:p>
                <w:p w14:paraId="4B09D8EC">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13. 禁止在取消化工定位的园区</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集中区</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内新建化工项目。</w:t>
                  </w:r>
                </w:p>
                <w:p w14:paraId="3A61F812">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14.禁止在化工企业周边建设不符合安全距离规定的劳动密集型的非化工项目和其他人员密集的公共设施项目。</w:t>
                  </w:r>
                </w:p>
              </w:tc>
              <w:tc>
                <w:tcPr>
                  <w:tcW w:w="1444" w:type="pct"/>
                  <w:tcBorders>
                    <w:top w:val="single" w:color="auto" w:sz="4" w:space="0"/>
                    <w:left w:val="single" w:color="auto" w:sz="4" w:space="0"/>
                    <w:bottom w:val="single" w:color="auto" w:sz="4" w:space="0"/>
                    <w:right w:val="single" w:color="auto" w:sz="4" w:space="0"/>
                  </w:tcBorders>
                  <w:noWrap w:val="0"/>
                  <w:vAlign w:val="center"/>
                </w:tcPr>
                <w:p w14:paraId="15DCCCE6">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本项目不涉及捕捞、不属于化工、火电、采矿等上述规定高污染行业</w:t>
                  </w:r>
                </w:p>
                <w:p w14:paraId="281D095E">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39" w:type="pct"/>
                  <w:tcBorders>
                    <w:top w:val="single" w:color="auto" w:sz="4" w:space="0"/>
                    <w:left w:val="single" w:color="auto" w:sz="4" w:space="0"/>
                    <w:bottom w:val="single" w:color="auto" w:sz="4" w:space="0"/>
                  </w:tcBorders>
                  <w:noWrap w:val="0"/>
                  <w:vAlign w:val="center"/>
                </w:tcPr>
                <w:p w14:paraId="386E531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5729B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6" w:type="pct"/>
                  <w:tcBorders>
                    <w:top w:val="single" w:color="auto" w:sz="4" w:space="0"/>
                    <w:bottom w:val="single" w:color="auto" w:sz="12" w:space="0"/>
                    <w:right w:val="single" w:color="auto" w:sz="4" w:space="0"/>
                  </w:tcBorders>
                  <w:noWrap w:val="0"/>
                  <w:vAlign w:val="center"/>
                </w:tcPr>
                <w:p w14:paraId="444A0EEA">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三、产业发展</w:t>
                  </w:r>
                </w:p>
                <w:p w14:paraId="1723332C">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15.禁止新建、扩建不符合国家和省产业政策的尿素、磷铵、电石、烧碱、聚氯乙烯、纯碱等行业新增产能项目。</w:t>
                  </w:r>
                </w:p>
                <w:p w14:paraId="2188BC9E">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16.禁止新建、改建、扩建高毒、高残留以及对环境影响大的农药原药</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化学合成类</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项目，禁止新建、扩建不符合国家和省产业政策的农药、医药和染料中间体化工项目。</w:t>
                  </w:r>
                </w:p>
                <w:p w14:paraId="0CFF6890">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17.禁止新建、扩建不符合国家石化、现代煤化工等产业布局规划的项目，禁止新建独立焦化项目。</w:t>
                  </w:r>
                </w:p>
                <w:p w14:paraId="572F842F">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18.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p w14:paraId="0C17DE0F">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19.禁止新建、扩建不符合国家产能置换要求的严重过剩产能行业的项目。禁止新建、扩建不符合要求的高耗能高排放项目。</w:t>
                  </w:r>
                </w:p>
                <w:p w14:paraId="6FFD0217">
                  <w:pPr>
                    <w:keepNext w:val="0"/>
                    <w:keepLines w:val="0"/>
                    <w:widowControl/>
                    <w:suppressLineNumbers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20.法律法规及相关政策文件有更加严格规定的从其规定。</w:t>
                  </w:r>
                </w:p>
              </w:tc>
              <w:tc>
                <w:tcPr>
                  <w:tcW w:w="1444" w:type="pct"/>
                  <w:tcBorders>
                    <w:top w:val="single" w:color="auto" w:sz="4" w:space="0"/>
                    <w:left w:val="single" w:color="auto" w:sz="4" w:space="0"/>
                    <w:bottom w:val="single" w:color="auto" w:sz="12" w:space="0"/>
                    <w:right w:val="single" w:color="auto" w:sz="4" w:space="0"/>
                  </w:tcBorders>
                  <w:noWrap w:val="0"/>
                  <w:vAlign w:val="center"/>
                </w:tcPr>
                <w:p w14:paraId="27DCBFE6">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本项目不涉及捕捞、不属于化工、火电、采矿等上述规定高污染及</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明令</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禁止、</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限制</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行业</w:t>
                  </w:r>
                </w:p>
                <w:p w14:paraId="611E4C7C">
                  <w:pPr>
                    <w:keepNext w:val="0"/>
                    <w:keepLines w:val="0"/>
                    <w:pageBreakBefore w:val="0"/>
                    <w:widowControl w:val="0"/>
                    <w:kinsoku/>
                    <w:wordWrap/>
                    <w:overflowPunct/>
                    <w:topLinePunct w:val="0"/>
                    <w:bidi w:val="0"/>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39" w:type="pct"/>
                  <w:tcBorders>
                    <w:top w:val="single" w:color="auto" w:sz="4" w:space="0"/>
                    <w:left w:val="single" w:color="auto" w:sz="4" w:space="0"/>
                    <w:bottom w:val="single" w:color="auto" w:sz="12" w:space="0"/>
                  </w:tcBorders>
                  <w:noWrap w:val="0"/>
                  <w:vAlign w:val="center"/>
                </w:tcPr>
                <w:p w14:paraId="3B7A301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bl>
          <w:p w14:paraId="06C42924">
            <w:pPr>
              <w:pStyle w:val="5"/>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对照</w:t>
            </w:r>
            <w:r>
              <w:rPr>
                <w:rFonts w:hint="default" w:ascii="Times New Roman" w:hAnsi="Times New Roman" w:cs="Times New Roman"/>
                <w:bCs/>
                <w:color w:val="000000" w:themeColor="text1"/>
                <w:sz w:val="21"/>
                <w:szCs w:val="21"/>
                <w:lang w:val="en-US" w:eastAsia="zh-CN"/>
                <w14:textFill>
                  <w14:solidFill>
                    <w14:schemeClr w14:val="tx1"/>
                  </w14:solidFill>
                </w14:textFill>
              </w:rPr>
              <w:t>《长江经济带发展负面清单指南》（试行，2022年版）（江苏省实施细则）</w:t>
            </w:r>
            <w:r>
              <w:rPr>
                <w:rFonts w:hint="default" w:ascii="Times New Roman" w:hAnsi="Times New Roman" w:cs="Times New Roman"/>
                <w:b w:val="0"/>
                <w:bCs/>
                <w:color w:val="000000" w:themeColor="text1"/>
                <w:sz w:val="21"/>
                <w:szCs w:val="21"/>
                <w14:textFill>
                  <w14:solidFill>
                    <w14:schemeClr w14:val="tx1"/>
                  </w14:solidFill>
                </w14:textFill>
              </w:rPr>
              <w:t>中相关内容要求，本项目符合相关要求</w:t>
            </w:r>
            <w:r>
              <w:rPr>
                <w:rFonts w:hint="default" w:ascii="Times New Roman" w:hAnsi="Times New Roman" w:cs="Times New Roman"/>
                <w:bCs/>
                <w:color w:val="000000" w:themeColor="text1"/>
                <w:sz w:val="21"/>
                <w:szCs w:val="21"/>
                <w14:textFill>
                  <w14:solidFill>
                    <w14:schemeClr w14:val="tx1"/>
                  </w14:solidFill>
                </w14:textFill>
              </w:rPr>
              <w:t>。</w:t>
            </w:r>
          </w:p>
          <w:p w14:paraId="0A9B3F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⑥</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项目与</w:t>
            </w:r>
            <w:r>
              <w:rPr>
                <w:rFonts w:hint="default" w:ascii="Times New Roman" w:hAnsi="Times New Roman" w:cs="Times New Roman"/>
                <w:b w:val="0"/>
                <w:bCs w:val="0"/>
                <w:color w:val="000000" w:themeColor="text1"/>
                <w:sz w:val="21"/>
                <w:szCs w:val="21"/>
                <w:highlight w:val="none"/>
                <w14:textFill>
                  <w14:solidFill>
                    <w14:schemeClr w14:val="tx1"/>
                  </w14:solidFill>
                </w14:textFill>
              </w:rPr>
              <w:t>《市政府办公室关于印发南通市“三线一单”生态环境分区管控实施方案的通知》（通政办规</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〔2021〕4号</w:t>
            </w:r>
            <w:r>
              <w:rPr>
                <w:rFonts w:hint="default" w:ascii="Times New Roman" w:hAnsi="Times New Roman" w:cs="Times New Roman"/>
                <w:b w:val="0"/>
                <w:bCs w:val="0"/>
                <w:color w:val="000000" w:themeColor="text1"/>
                <w:sz w:val="21"/>
                <w:szCs w:val="21"/>
                <w:highlight w:val="none"/>
                <w14:textFill>
                  <w14:solidFill>
                    <w14:schemeClr w14:val="tx1"/>
                  </w14:solidFill>
                </w14:textFill>
              </w:rPr>
              <w:t>）</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相符性分析见表1-</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p w14:paraId="31F6D1C9">
            <w:pPr>
              <w:spacing w:line="360" w:lineRule="auto"/>
              <w:jc w:val="both"/>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表1-</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与《市政府办公室关于印发南通市“三线一单”生态环境分区管控实施方案的通知》（通政办规</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〔2021〕4号</w:t>
            </w:r>
            <w:r>
              <w:rPr>
                <w:rFonts w:hint="default" w:ascii="Times New Roman" w:hAnsi="Times New Roman" w:cs="Times New Roman"/>
                <w:b/>
                <w:bCs/>
                <w:color w:val="000000" w:themeColor="text1"/>
                <w:sz w:val="21"/>
                <w:szCs w:val="21"/>
                <w:highlight w:val="none"/>
                <w14:textFill>
                  <w14:solidFill>
                    <w14:schemeClr w14:val="tx1"/>
                  </w14:solidFill>
                </w14:textFill>
              </w:rPr>
              <w:t>）的相符性</w:t>
            </w:r>
          </w:p>
          <w:tbl>
            <w:tblPr>
              <w:tblStyle w:val="4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4543"/>
              <w:gridCol w:w="2220"/>
              <w:gridCol w:w="712"/>
            </w:tblGrid>
            <w:tr w14:paraId="6C010A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56" w:type="pct"/>
                  <w:noWrap w:val="0"/>
                  <w:vAlign w:val="center"/>
                </w:tcPr>
                <w:p w14:paraId="54DA2F9F">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管控类别</w:t>
                  </w:r>
                </w:p>
              </w:tc>
              <w:tc>
                <w:tcPr>
                  <w:tcW w:w="2879" w:type="pct"/>
                  <w:noWrap w:val="0"/>
                  <w:vAlign w:val="center"/>
                </w:tcPr>
                <w:p w14:paraId="38D90E66">
                  <w:pPr>
                    <w:ind w:firstLine="422" w:firstLineChars="20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重点管控要求</w:t>
                  </w:r>
                </w:p>
              </w:tc>
              <w:tc>
                <w:tcPr>
                  <w:tcW w:w="1409" w:type="pct"/>
                  <w:noWrap w:val="0"/>
                  <w:vAlign w:val="center"/>
                </w:tcPr>
                <w:p w14:paraId="429A6ED2">
                  <w:pPr>
                    <w:ind w:firstLine="422" w:firstLineChars="20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本项目情况</w:t>
                  </w:r>
                </w:p>
              </w:tc>
              <w:tc>
                <w:tcPr>
                  <w:tcW w:w="455" w:type="pct"/>
                  <w:noWrap w:val="0"/>
                  <w:vAlign w:val="center"/>
                </w:tcPr>
                <w:p w14:paraId="7565E314">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相符性</w:t>
                  </w:r>
                </w:p>
              </w:tc>
            </w:tr>
            <w:tr w14:paraId="642D3C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56" w:type="pct"/>
                  <w:noWrap w:val="0"/>
                  <w:vAlign w:val="center"/>
                </w:tcPr>
                <w:p w14:paraId="2B4680BB">
                  <w:pP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空间布局约束</w:t>
                  </w:r>
                </w:p>
              </w:tc>
              <w:tc>
                <w:tcPr>
                  <w:tcW w:w="2879" w:type="pct"/>
                  <w:noWrap w:val="0"/>
                  <w:vAlign w:val="center"/>
                </w:tcPr>
                <w:p w14:paraId="321986C3">
                  <w:pPr>
                    <w:numPr>
                      <w:ilvl w:val="0"/>
                      <w:numId w:val="7"/>
                    </w:num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严格执行《南通市长江经济带生态环境保护实施规划》（通政办发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〔2018〕42号</w:t>
                  </w:r>
                  <w:r>
                    <w:rPr>
                      <w:rFonts w:hint="default" w:ascii="Times New Roman" w:hAnsi="Times New Roman" w:cs="Times New Roman"/>
                      <w:color w:val="000000" w:themeColor="text1"/>
                      <w:sz w:val="21"/>
                      <w:szCs w:val="21"/>
                      <w:highlight w:val="none"/>
                      <w14:textFill>
                        <w14:solidFill>
                          <w14:schemeClr w14:val="tx1"/>
                        </w14:solidFill>
                      </w14:textFill>
                    </w:rPr>
                    <w:t>）、《南通市“两减六治三提升”专项行动实施方案》（通政办发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〔2017〕55号</w:t>
                  </w:r>
                  <w:r>
                    <w:rPr>
                      <w:rFonts w:hint="default" w:ascii="Times New Roman" w:hAnsi="Times New Roman" w:cs="Times New Roman"/>
                      <w:color w:val="000000" w:themeColor="text1"/>
                      <w:sz w:val="21"/>
                      <w:szCs w:val="21"/>
                      <w:highlight w:val="none"/>
                      <w14:textFill>
                        <w14:solidFill>
                          <w14:schemeClr w14:val="tx1"/>
                        </w14:solidFill>
                      </w14:textFill>
                    </w:rPr>
                    <w:t>）、《南通市打赢蓝天保卫战三年行动计划实施方案（2018</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2020年）》（通政发〔2018〕63号）、《南通市土壤污染防治工作方案》（通政发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〔2017〕20号</w:t>
                  </w:r>
                  <w:r>
                    <w:rPr>
                      <w:rFonts w:hint="default" w:ascii="Times New Roman" w:hAnsi="Times New Roman" w:cs="Times New Roman"/>
                      <w:color w:val="000000" w:themeColor="text1"/>
                      <w:sz w:val="21"/>
                      <w:szCs w:val="21"/>
                      <w:highlight w:val="none"/>
                      <w14:textFill>
                        <w14:solidFill>
                          <w14:schemeClr w14:val="tx1"/>
                        </w14:solidFill>
                      </w14:textFill>
                    </w:rPr>
                    <w:t>）、《南通市水污染防治工作方案》（通政发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〔2016〕35号</w:t>
                  </w:r>
                  <w:r>
                    <w:rPr>
                      <w:rFonts w:hint="default" w:ascii="Times New Roman" w:hAnsi="Times New Roman" w:cs="Times New Roman"/>
                      <w:color w:val="000000" w:themeColor="text1"/>
                      <w:sz w:val="21"/>
                      <w:szCs w:val="21"/>
                      <w:highlight w:val="none"/>
                      <w14:textFill>
                        <w14:solidFill>
                          <w14:schemeClr w14:val="tx1"/>
                        </w14:solidFill>
                      </w14:textFill>
                    </w:rPr>
                    <w:t xml:space="preserve">）等文件要求。 </w:t>
                  </w:r>
                </w:p>
                <w:p w14:paraId="41BDD325">
                  <w:pPr>
                    <w:numPr>
                      <w:ilvl w:val="0"/>
                      <w:numId w:val="7"/>
                    </w:numPr>
                    <w:ind w:left="0" w:leftChars="0" w:firstLine="0" w:firstLineChars="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 xml:space="preserve">严格执行《（长江经济带发展负面清单指南）江苏省实施细则（试行）》；禁止引进列入《南通市工业结构调整指导目录》淘汰类的产业、列入《南通市工业产业技术改造负面清单》严格禁止的技术改造工艺装备及产品。 </w:t>
                  </w:r>
                </w:p>
                <w:p w14:paraId="3D7B4DF8">
                  <w:pPr>
                    <w:numPr>
                      <w:ilvl w:val="0"/>
                      <w:numId w:val="0"/>
                    </w:numPr>
                    <w:ind w:leftChars="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3.根据《南通市长江经济带生态环境保护实施规划》（通政办发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〔2018〕42号</w:t>
                  </w:r>
                  <w:r>
                    <w:rPr>
                      <w:rFonts w:hint="default" w:ascii="Times New Roman" w:hAnsi="Times New Roman" w:cs="Times New Roman"/>
                      <w:color w:val="000000" w:themeColor="text1"/>
                      <w:sz w:val="21"/>
                      <w:szCs w:val="21"/>
                      <w:highlight w:val="none"/>
                      <w14:textFill>
                        <w14:solidFill>
                          <w14:schemeClr w14:val="tx1"/>
                        </w14:solidFill>
                      </w14:textFill>
                    </w:rPr>
                    <w:t>），沿江地区不再新布局石化项目。禁止在长江干流自然保护区、风景名胜区等重点区域新建工业类和污染类项目</w:t>
                  </w:r>
                  <w:r>
                    <w:rPr>
                      <w:rFonts w:hint="eastAsia" w:ascii="Times New Roman" w:hAnsi="Times New Roman" w:cs="Times New Roman"/>
                      <w:color w:val="000000" w:themeColor="text1"/>
                      <w:sz w:val="21"/>
                      <w:szCs w:val="21"/>
                      <w:highlight w:val="none"/>
                      <w:lang w:eastAsia="zh-CN"/>
                      <w14:textFill>
                        <w14:solidFill>
                          <w14:schemeClr w14:val="tx1"/>
                        </w14:solidFill>
                      </w14:textFill>
                    </w:rPr>
                    <w:t>，对</w:t>
                  </w:r>
                  <w:r>
                    <w:rPr>
                      <w:rFonts w:hint="default" w:ascii="Times New Roman" w:hAnsi="Times New Roman" w:cs="Times New Roman"/>
                      <w:color w:val="000000" w:themeColor="text1"/>
                      <w:sz w:val="21"/>
                      <w:szCs w:val="21"/>
                      <w:highlight w:val="none"/>
                      <w14:textFill>
                        <w14:solidFill>
                          <w14:schemeClr w14:val="tx1"/>
                        </w14:solidFill>
                      </w14:textFill>
                    </w:rPr>
                    <w:t>现有高风险企业实施限期治理。自然保护区核心区及缓冲区内禁止新建码头工程，逐步拆除已有的各类生产设施以及危化品、石油类泊位。禁止向内河和江海直达船舶销售</w:t>
                  </w:r>
                  <w:r>
                    <w:rPr>
                      <w:rFonts w:hint="eastAsia" w:ascii="Times New Roman" w:hAnsi="Times New Roman" w:cs="Times New Roman"/>
                      <w:color w:val="000000" w:themeColor="text1"/>
                      <w:sz w:val="21"/>
                      <w:szCs w:val="21"/>
                      <w:highlight w:val="none"/>
                      <w:lang w:eastAsia="zh-CN"/>
                      <w14:textFill>
                        <w14:solidFill>
                          <w14:schemeClr w14:val="tx1"/>
                        </w14:solidFill>
                      </w14:textFill>
                    </w:rPr>
                    <w:t>柴油</w:t>
                  </w:r>
                  <w:r>
                    <w:rPr>
                      <w:rFonts w:hint="default" w:ascii="Times New Roman" w:hAnsi="Times New Roman" w:cs="Times New Roman"/>
                      <w:color w:val="000000" w:themeColor="text1"/>
                      <w:sz w:val="21"/>
                      <w:szCs w:val="21"/>
                      <w:highlight w:val="none"/>
                      <w14:textFill>
                        <w14:solidFill>
                          <w14:schemeClr w14:val="tx1"/>
                        </w14:solidFill>
                      </w14:textFill>
                    </w:rPr>
                    <w:t>、重油以及不符合标准的普通柴油，禁止海船使用不符合要求的燃油。</w:t>
                  </w:r>
                </w:p>
                <w:p w14:paraId="74CE1C5C">
                  <w:p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4.根据《省政府关于加强全省化工园区化工集中区规范化管理的通知》（苏政发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〔2020〕94号</w:t>
                  </w:r>
                  <w:r>
                    <w:rPr>
                      <w:rFonts w:hint="default" w:ascii="Times New Roman" w:hAnsi="Times New Roman" w:cs="Times New Roman"/>
                      <w:color w:val="000000" w:themeColor="text1"/>
                      <w:sz w:val="21"/>
                      <w:szCs w:val="21"/>
                      <w:highlight w:val="none"/>
                      <w14:textFill>
                        <w14:solidFill>
                          <w14:schemeClr w14:val="tx1"/>
                        </w14:solidFill>
                      </w14:textFill>
                    </w:rPr>
                    <w:t>）、《市政府关于印发南通市化工产业环保准入指导意见的通知》（通政发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〔2014〕10号</w:t>
                  </w:r>
                  <w:r>
                    <w:rPr>
                      <w:rFonts w:hint="default" w:ascii="Times New Roman" w:hAnsi="Times New Roman" w:cs="Times New Roman"/>
                      <w:color w:val="000000" w:themeColor="text1"/>
                      <w:sz w:val="21"/>
                      <w:szCs w:val="21"/>
                      <w:highlight w:val="none"/>
                      <w14:textFill>
                        <w14:solidFill>
                          <w14:schemeClr w14:val="tx1"/>
                        </w14:solidFill>
                      </w14:textFill>
                    </w:rPr>
                    <w:t>），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w:t>
                  </w:r>
                </w:p>
              </w:tc>
              <w:tc>
                <w:tcPr>
                  <w:tcW w:w="1409" w:type="pct"/>
                  <w:noWrap w:val="0"/>
                  <w:vAlign w:val="center"/>
                </w:tcPr>
                <w:p w14:paraId="66A48C07">
                  <w:p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本项目不属于淘汰类、禁止类产业，不涉及禁止的技术改造工艺装备及产品；本项目不属于石化项目，不在保护区内。因此，本项目符合通政办规</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〔2021〕4号</w:t>
                  </w:r>
                  <w:r>
                    <w:rPr>
                      <w:rFonts w:hint="default" w:ascii="Times New Roman" w:hAnsi="Times New Roman" w:cs="Times New Roman"/>
                      <w:color w:val="000000" w:themeColor="text1"/>
                      <w:sz w:val="21"/>
                      <w:szCs w:val="21"/>
                      <w:highlight w:val="none"/>
                      <w14:textFill>
                        <w14:solidFill>
                          <w14:schemeClr w14:val="tx1"/>
                        </w14:solidFill>
                      </w14:textFill>
                    </w:rPr>
                    <w:t>相关要求。</w:t>
                  </w:r>
                </w:p>
                <w:p w14:paraId="173096DB">
                  <w:pPr>
                    <w:jc w:val="both"/>
                    <w:rPr>
                      <w:rFonts w:hint="default" w:ascii="Times New Roman" w:hAnsi="Times New Roman" w:cs="Times New Roman"/>
                      <w:color w:val="000000" w:themeColor="text1"/>
                      <w:sz w:val="21"/>
                      <w:szCs w:val="21"/>
                      <w:highlight w:val="none"/>
                      <w14:textFill>
                        <w14:solidFill>
                          <w14:schemeClr w14:val="tx1"/>
                        </w14:solidFill>
                      </w14:textFill>
                    </w:rPr>
                  </w:pPr>
                </w:p>
              </w:tc>
              <w:tc>
                <w:tcPr>
                  <w:tcW w:w="455" w:type="pct"/>
                  <w:noWrap w:val="0"/>
                  <w:vAlign w:val="center"/>
                </w:tcPr>
                <w:p w14:paraId="3661C3B5">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相符</w:t>
                  </w:r>
                </w:p>
              </w:tc>
            </w:tr>
            <w:tr w14:paraId="396846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56" w:type="pct"/>
                  <w:noWrap w:val="0"/>
                  <w:vAlign w:val="center"/>
                </w:tcPr>
                <w:p w14:paraId="79CB5054">
                  <w:pP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污染物排放管控</w:t>
                  </w:r>
                </w:p>
              </w:tc>
              <w:tc>
                <w:tcPr>
                  <w:tcW w:w="2879" w:type="pct"/>
                  <w:noWrap w:val="0"/>
                  <w:vAlign w:val="center"/>
                </w:tcPr>
                <w:p w14:paraId="11778904">
                  <w:pPr>
                    <w:numPr>
                      <w:ilvl w:val="0"/>
                      <w:numId w:val="8"/>
                    </w:num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14:paraId="2A1B8B49">
                  <w:pPr>
                    <w:numPr>
                      <w:ilvl w:val="0"/>
                      <w:numId w:val="8"/>
                    </w:numPr>
                    <w:ind w:left="0" w:leftChars="0" w:firstLine="0" w:firstLineChars="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color w:val="000000" w:themeColor="text1"/>
                      <w:sz w:val="21"/>
                      <w:szCs w:val="21"/>
                      <w:highlight w:val="none"/>
                      <w14:textFill>
                        <w14:solidFill>
                          <w14:schemeClr w14:val="tx1"/>
                        </w14:solidFill>
                      </w14:textFill>
                    </w:rPr>
                    <w:t>）年平均浓度不达标的地区，二氧化硫、氮氧化物、烟粉尘、挥发性有机物四项污染物均需进行2倍削减替代（燃煤发电机组大气污染物排放浓度基本达到燃气轮机组排放限值的除外）。</w:t>
                  </w:r>
                </w:p>
                <w:p w14:paraId="703421AD">
                  <w:pPr>
                    <w:numPr>
                      <w:ilvl w:val="0"/>
                      <w:numId w:val="0"/>
                    </w:numPr>
                    <w:ind w:leftChars="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3.落实《省政府办公厅关于印发江苏省排污权有偿使用和交易管理暂行办法的通知》（苏政办发〔201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〕115号）及配套的实施细则中，关于新、改扩建项目获得排污权指标的相关要求。</w:t>
                  </w:r>
                </w:p>
              </w:tc>
              <w:tc>
                <w:tcPr>
                  <w:tcW w:w="1409" w:type="pct"/>
                  <w:noWrap w:val="0"/>
                  <w:vAlign w:val="center"/>
                </w:tcPr>
                <w:p w14:paraId="2614BABA">
                  <w:pPr>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本项目属于</w:t>
                  </w:r>
                  <w:r>
                    <w:rPr>
                      <w:rFonts w:hint="eastAsia" w:ascii="Times New Roman" w:hAnsi="Times New Roman" w:cs="Times New Roman"/>
                      <w:color w:val="000000" w:themeColor="text1"/>
                      <w:kern w:val="2"/>
                      <w:sz w:val="21"/>
                      <w:szCs w:val="21"/>
                      <w:lang w:val="en-US" w:eastAsia="zh-CN"/>
                      <w14:textFill>
                        <w14:solidFill>
                          <w14:schemeClr w14:val="tx1"/>
                        </w14:solidFill>
                      </w14:textFill>
                    </w:rPr>
                    <w:t>登记</w:t>
                  </w:r>
                  <w:r>
                    <w:rPr>
                      <w:rFonts w:hint="default" w:ascii="Times New Roman" w:hAnsi="Times New Roman" w:cs="Times New Roman"/>
                      <w:color w:val="000000" w:themeColor="text1"/>
                      <w:kern w:val="2"/>
                      <w:sz w:val="21"/>
                      <w:szCs w:val="21"/>
                      <w14:textFill>
                        <w14:solidFill>
                          <w14:schemeClr w14:val="tx1"/>
                        </w14:solidFill>
                      </w14:textFill>
                    </w:rPr>
                    <w:t>管理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需通过交易获得排污总量指标</w:t>
                  </w:r>
                  <w:r>
                    <w:rPr>
                      <w:rFonts w:ascii="Times New Roman" w:hAnsi="Times New Roman"/>
                      <w:color w:val="000000" w:themeColor="text1"/>
                      <w:szCs w:val="21"/>
                      <w14:textFill>
                        <w14:solidFill>
                          <w14:schemeClr w14:val="tx1"/>
                        </w14:solidFill>
                      </w14:textFill>
                    </w:rPr>
                    <w:t>。</w:t>
                  </w:r>
                </w:p>
              </w:tc>
              <w:tc>
                <w:tcPr>
                  <w:tcW w:w="455" w:type="pct"/>
                  <w:noWrap w:val="0"/>
                  <w:vAlign w:val="center"/>
                </w:tcPr>
                <w:p w14:paraId="25936DC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相符</w:t>
                  </w:r>
                </w:p>
              </w:tc>
            </w:tr>
            <w:tr w14:paraId="347E49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56" w:type="pct"/>
                  <w:noWrap w:val="0"/>
                  <w:vAlign w:val="center"/>
                </w:tcPr>
                <w:p w14:paraId="126D6294">
                  <w:pP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环境风险防控</w:t>
                  </w:r>
                </w:p>
              </w:tc>
              <w:tc>
                <w:tcPr>
                  <w:tcW w:w="2879" w:type="pct"/>
                  <w:noWrap w:val="0"/>
                  <w:vAlign w:val="center"/>
                </w:tcPr>
                <w:p w14:paraId="36D0E533">
                  <w:p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1.落实《南通市突发环境事件应急预案（2020年修订版）》（通政办发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〔2020〕46号</w:t>
                  </w:r>
                  <w:r>
                    <w:rPr>
                      <w:rFonts w:hint="default" w:ascii="Times New Roman" w:hAnsi="Times New Roman" w:cs="Times New Roman"/>
                      <w:color w:val="000000" w:themeColor="text1"/>
                      <w:sz w:val="21"/>
                      <w:szCs w:val="21"/>
                      <w:highlight w:val="none"/>
                      <w14:textFill>
                        <w14:solidFill>
                          <w14:schemeClr w14:val="tx1"/>
                        </w14:solidFill>
                      </w14:textFill>
                    </w:rPr>
                    <w:t>）。</w:t>
                  </w:r>
                </w:p>
                <w:p w14:paraId="2B05FDCC">
                  <w:p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2.根据《南通市化工产业安全环保整治提升三年行动计划（2019~2021年）》（通政办发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〔2019〕102号</w:t>
                  </w:r>
                  <w:r>
                    <w:rPr>
                      <w:rFonts w:hint="default" w:ascii="Times New Roman" w:hAnsi="Times New Roman" w:cs="Times New Roman"/>
                      <w:color w:val="000000" w:themeColor="text1"/>
                      <w:sz w:val="21"/>
                      <w:szCs w:val="21"/>
                      <w:highlight w:val="none"/>
                      <w14:textFill>
                        <w14:solidFill>
                          <w14:schemeClr w14:val="tx1"/>
                        </w14:solidFill>
                      </w14:textFill>
                    </w:rPr>
                    <w:t>），保留提升的化工生产企业必须制订整治提升实施方案。严格危险废物处置管理。企业须在环评报告中准确全面评价固体废物的种类、数量、属性及产生、贮存、利用或处置情况。在安评报告中对固体废物贮存、利用处置环节进行安全性评价，并按标准规范设计、建造或改建贮存、利用处置危险废物的设施设备。生产企业应按照相关管理要求申报、处置废弃危险化学品。强化对危险废物的收集、贮存和处置的监督管理，实现危险废物监管无盲区、无死角。</w:t>
                  </w:r>
                </w:p>
                <w:p w14:paraId="79796CA7">
                  <w:p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3.根据《关于加快全省化工钢铁煤电行业转型升级高质量发展的实施意见》（苏办发</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〔2018〕32号</w:t>
                  </w:r>
                  <w:r>
                    <w:rPr>
                      <w:rFonts w:hint="default" w:ascii="Times New Roman" w:hAnsi="Times New Roman" w:cs="Times New Roman"/>
                      <w:color w:val="000000" w:themeColor="text1"/>
                      <w:sz w:val="21"/>
                      <w:szCs w:val="21"/>
                      <w:highlight w:val="none"/>
                      <w14:textFill>
                        <w14:solidFill>
                          <w14:schemeClr w14:val="tx1"/>
                        </w14:solidFill>
                      </w14:textFill>
                    </w:rPr>
                    <w:t>），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tc>
              <w:tc>
                <w:tcPr>
                  <w:tcW w:w="1409" w:type="pct"/>
                  <w:noWrap w:val="0"/>
                  <w:vAlign w:val="center"/>
                </w:tcPr>
                <w:p w14:paraId="5C3876B2">
                  <w:p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1.本环评要求企业落实应急预案。2.在本次环评报告中全面评价固体废物的种类、属性及产生、贮存、利用或处置情况。</w:t>
                  </w:r>
                </w:p>
              </w:tc>
              <w:tc>
                <w:tcPr>
                  <w:tcW w:w="455" w:type="pct"/>
                  <w:noWrap w:val="0"/>
                  <w:vAlign w:val="center"/>
                </w:tcPr>
                <w:p w14:paraId="58C39933">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相符</w:t>
                  </w:r>
                </w:p>
              </w:tc>
            </w:tr>
            <w:tr w14:paraId="1F04A8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56" w:type="pct"/>
                  <w:noWrap w:val="0"/>
                  <w:vAlign w:val="center"/>
                </w:tcPr>
                <w:p w14:paraId="12CCB3C6">
                  <w:pP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资源利用效率要求</w:t>
                  </w:r>
                </w:p>
              </w:tc>
              <w:tc>
                <w:tcPr>
                  <w:tcW w:w="2879" w:type="pct"/>
                  <w:noWrap w:val="0"/>
                  <w:vAlign w:val="center"/>
                </w:tcPr>
                <w:p w14:paraId="75B1455E">
                  <w:pPr>
                    <w:numPr>
                      <w:ilvl w:val="0"/>
                      <w:numId w:val="9"/>
                    </w:num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根据《中华人民共和国大气污染防治法》，禁燃区禁止新建、扩建燃用高污染燃料的项目和设施，已建成的应逐步或依法限期改用天然气、</w:t>
                  </w:r>
                  <w:r>
                    <w:rPr>
                      <w:rFonts w:hint="eastAsia" w:ascii="Times New Roman" w:hAnsi="Times New Roman" w:cs="Times New Roman"/>
                      <w:color w:val="000000" w:themeColor="text1"/>
                      <w:sz w:val="21"/>
                      <w:szCs w:val="21"/>
                      <w:highlight w:val="none"/>
                      <w:lang w:eastAsia="zh-CN"/>
                      <w14:textFill>
                        <w14:solidFill>
                          <w14:schemeClr w14:val="tx1"/>
                        </w14:solidFill>
                      </w14:textFill>
                    </w:rPr>
                    <w:t>电力</w:t>
                  </w:r>
                  <w:r>
                    <w:rPr>
                      <w:rFonts w:hint="default" w:ascii="Times New Roman" w:hAnsi="Times New Roman" w:cs="Times New Roman"/>
                      <w:color w:val="000000" w:themeColor="text1"/>
                      <w:sz w:val="21"/>
                      <w:szCs w:val="21"/>
                      <w:highlight w:val="none"/>
                      <w14:textFill>
                        <w14:solidFill>
                          <w14:schemeClr w14:val="tx1"/>
                        </w14:solidFill>
                      </w14:textFill>
                    </w:rPr>
                    <w:t>或者其他清洁能源。</w:t>
                  </w:r>
                </w:p>
                <w:p w14:paraId="07BCA262">
                  <w:pPr>
                    <w:numPr>
                      <w:ilvl w:val="0"/>
                      <w:numId w:val="9"/>
                    </w:numPr>
                    <w:ind w:left="0" w:leftChars="0" w:firstLine="0" w:firstLineChars="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14:paraId="052D88F1">
                  <w:pPr>
                    <w:numPr>
                      <w:ilvl w:val="0"/>
                      <w:numId w:val="0"/>
                    </w:numPr>
                    <w:ind w:leftChars="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3.严格控制地下水开采。落实《江苏省地下水超采区划分方案》（苏政复</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〔2013〕59号</w:t>
                  </w:r>
                  <w:r>
                    <w:rPr>
                      <w:rFonts w:hint="default" w:ascii="Times New Roman" w:hAnsi="Times New Roman" w:cs="Times New Roman"/>
                      <w:color w:val="000000" w:themeColor="text1"/>
                      <w:sz w:val="21"/>
                      <w:szCs w:val="21"/>
                      <w:highlight w:val="none"/>
                      <w14:textFill>
                        <w14:solidFill>
                          <w14:schemeClr w14:val="tx1"/>
                        </w14:solidFill>
                      </w14:textFill>
                    </w:rPr>
                    <w:t>），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tc>
              <w:tc>
                <w:tcPr>
                  <w:tcW w:w="1409" w:type="pct"/>
                  <w:noWrap w:val="0"/>
                  <w:vAlign w:val="center"/>
                </w:tcPr>
                <w:p w14:paraId="7ACE2258">
                  <w:pPr>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1.本项目不使用高污染燃料。2.本项目不属于化工项目，也不属于钢铁行业。3.本项目不使用地下水。</w:t>
                  </w:r>
                </w:p>
              </w:tc>
              <w:tc>
                <w:tcPr>
                  <w:tcW w:w="455" w:type="pct"/>
                  <w:noWrap w:val="0"/>
                  <w:vAlign w:val="center"/>
                </w:tcPr>
                <w:p w14:paraId="1EF30C87">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相符</w:t>
                  </w:r>
                </w:p>
              </w:tc>
            </w:tr>
          </w:tbl>
          <w:p w14:paraId="727C0E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⑦</w:t>
            </w:r>
            <w:r>
              <w:rPr>
                <w:rFonts w:hint="default" w:ascii="Times New Roman" w:hAnsi="Times New Roman" w:cs="Times New Roman"/>
                <w:color w:val="000000" w:themeColor="text1"/>
                <w:kern w:val="0"/>
                <w14:textFill>
                  <w14:solidFill>
                    <w14:schemeClr w14:val="tx1"/>
                  </w14:solidFill>
                </w14:textFill>
              </w:rPr>
              <w:t>本项目与《南通市</w:t>
            </w:r>
            <w:r>
              <w:rPr>
                <w:rFonts w:hint="default" w:ascii="Times New Roman" w:hAnsi="Times New Roman" w:cs="Times New Roman"/>
                <w:color w:val="000000" w:themeColor="text1"/>
                <w:kern w:val="0"/>
                <w:lang w:val="en-US" w:eastAsia="zh-CN"/>
                <w14:textFill>
                  <w14:solidFill>
                    <w14:schemeClr w14:val="tx1"/>
                  </w14:solidFill>
                </w14:textFill>
              </w:rPr>
              <w:t>海门区</w:t>
            </w:r>
            <w:r>
              <w:rPr>
                <w:rFonts w:hint="default" w:ascii="Times New Roman" w:hAnsi="Times New Roman" w:cs="Times New Roman"/>
                <w:color w:val="000000" w:themeColor="text1"/>
                <w:kern w:val="0"/>
                <w14:textFill>
                  <w14:solidFill>
                    <w14:schemeClr w14:val="tx1"/>
                  </w14:solidFill>
                </w14:textFill>
              </w:rPr>
              <w:t>“三线一单”生态环境分区管控实施方案的通知》（</w:t>
            </w:r>
            <w:r>
              <w:rPr>
                <w:rFonts w:hint="default" w:ascii="Times New Roman" w:hAnsi="Times New Roman" w:cs="Times New Roman"/>
                <w:color w:val="000000" w:themeColor="text1"/>
                <w:kern w:val="0"/>
                <w:lang w:val="en-US" w:eastAsia="zh-CN"/>
                <w14:textFill>
                  <w14:solidFill>
                    <w14:schemeClr w14:val="tx1"/>
                  </w14:solidFill>
                </w14:textFill>
              </w:rPr>
              <w:t>海政办发</w:t>
            </w:r>
            <w:r>
              <w:rPr>
                <w:rFonts w:hint="eastAsia" w:ascii="Times New Roman" w:hAnsi="Times New Roman" w:cs="Times New Roman"/>
                <w:color w:val="000000" w:themeColor="text1"/>
                <w:kern w:val="0"/>
                <w:lang w:val="en-US" w:eastAsia="zh-CN"/>
                <w14:textFill>
                  <w14:solidFill>
                    <w14:schemeClr w14:val="tx1"/>
                  </w14:solidFill>
                </w14:textFill>
              </w:rPr>
              <w:t>〔2021〕85号</w:t>
            </w:r>
            <w:r>
              <w:rPr>
                <w:rFonts w:hint="default" w:ascii="Times New Roman" w:hAnsi="Times New Roman" w:cs="Times New Roman"/>
                <w:color w:val="000000" w:themeColor="text1"/>
                <w:kern w:val="0"/>
                <w14:textFill>
                  <w14:solidFill>
                    <w14:schemeClr w14:val="tx1"/>
                  </w14:solidFill>
                </w14:textFill>
              </w:rPr>
              <w:t>）相符性分析如下：</w:t>
            </w:r>
          </w:p>
          <w:p w14:paraId="3028398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表1-</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8</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b/>
                <w:color w:val="000000" w:themeColor="text1"/>
                <w:highlight w:val="none"/>
                <w14:textFill>
                  <w14:solidFill>
                    <w14:schemeClr w14:val="tx1"/>
                  </w14:solidFill>
                </w14:textFill>
              </w:rPr>
              <w:t>与</w:t>
            </w:r>
            <w:r>
              <w:rPr>
                <w:rFonts w:hint="default" w:ascii="Times New Roman" w:hAnsi="Times New Roman" w:cs="Times New Roman"/>
                <w:b/>
                <w:color w:val="000000" w:themeColor="text1"/>
                <w:highlight w:val="none"/>
                <w:lang w:val="en-US" w:eastAsia="zh-CN"/>
                <w14:textFill>
                  <w14:solidFill>
                    <w14:schemeClr w14:val="tx1"/>
                  </w14:solidFill>
                </w14:textFill>
              </w:rPr>
              <w:t>海门区</w:t>
            </w:r>
            <w:r>
              <w:rPr>
                <w:rFonts w:hint="default" w:ascii="Times New Roman" w:hAnsi="Times New Roman" w:cs="Times New Roman"/>
                <w:b/>
                <w:color w:val="000000" w:themeColor="text1"/>
                <w:highlight w:val="none"/>
                <w14:textFill>
                  <w14:solidFill>
                    <w14:schemeClr w14:val="tx1"/>
                  </w14:solidFill>
                </w14:textFill>
              </w:rPr>
              <w:t>“三线一单”生态环境分区管控方案相符性分析</w:t>
            </w:r>
          </w:p>
          <w:tbl>
            <w:tblPr>
              <w:tblStyle w:val="4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178"/>
              <w:gridCol w:w="1908"/>
            </w:tblGrid>
            <w:tr w14:paraId="1AF98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66021D9E">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管控类别</w:t>
                  </w:r>
                </w:p>
              </w:tc>
              <w:tc>
                <w:tcPr>
                  <w:tcW w:w="3275" w:type="pct"/>
                  <w:vAlign w:val="center"/>
                </w:tcPr>
                <w:p w14:paraId="53F12934">
                  <w:pPr>
                    <w:spacing w:line="400" w:lineRule="exact"/>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重点管控要求</w:t>
                  </w:r>
                </w:p>
              </w:tc>
              <w:tc>
                <w:tcPr>
                  <w:tcW w:w="1207" w:type="pct"/>
                  <w:vAlign w:val="center"/>
                </w:tcPr>
                <w:p w14:paraId="27174E7C">
                  <w:pPr>
                    <w:spacing w:line="400" w:lineRule="exact"/>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相符性分析</w:t>
                  </w:r>
                </w:p>
              </w:tc>
            </w:tr>
            <w:tr w14:paraId="72BFF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0F24BFAC">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3275" w:type="pct"/>
                  <w:vAlign w:val="center"/>
                </w:tcPr>
                <w:p w14:paraId="521A41B0">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1. 严格执行《江苏省“三线一单”生态环境分区管控方案 》、《南通市“三线一单”生态环境分区管控实施方案》等文件中总体准入管控的相关要求。</w:t>
                  </w:r>
                </w:p>
                <w:p w14:paraId="7817E7D2">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2. 按照《省政府关于印发江苏省生态空间管控区域规划的通知》、《省政府办公厅关于印发江苏省生态空间管控区域调整管理办法的通知》、《省政府办公厅关于印发江苏省生态空间管控区域监督管理办法的通知》，生态空间管控区域一经划定，任何单位和个人不得擅自占用。落实生态红线管控刚性要求。严格落实国家生态保护红线、省级生态空间管控区域要求，加强生态空间保护区域执法监管，确保生态功能不降低、面积不减少、性质不改变。</w:t>
                  </w:r>
                </w:p>
                <w:p w14:paraId="36EBF113">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3. 根据《南通市海门区国民经济和社会发展第十四个五年规划和二〇三五年远景目标纲要》，海门区重点围绕高端家纺、现代建筑、先进装备制造三大现有千亿级产业提升和新材料、生物医药、新一代信息技术三大新兴千亿级产业培育，强化产业链、创新链、价值链三链一体协同发展，形成“一城两港六组团”空间格局。</w:t>
                  </w:r>
                </w:p>
                <w:p w14:paraId="24E5344F">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4. 严格执行《〈长江经济带负面清单指南〉江苏省实施细则（试行）》和《南通市长江经济带生态环境保护实施规划》等，青龙化工区、灵甸化工区已取消化工定位，加快推进沿江 1km 范围内化工企业关停、转型海门区长江干流和主要支流岸线 1 公里范围内的区域不得新建、扩建化工企业和项目。</w:t>
                  </w:r>
                </w:p>
                <w:p w14:paraId="3CD59461">
                  <w:pPr>
                    <w:widowControl/>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5. 落实《南通市关于加大污染减排力度推进重点行业绿色发展的指导意见》《海门区重点行业转型升级和绿色发展工作方案》，严格涉重项目环境准入，落实纺织印染、装备制造、电子信息、船舶海工、非金属矿物制品、生物医药等行业准入要求。</w:t>
                  </w:r>
                </w:p>
              </w:tc>
              <w:tc>
                <w:tcPr>
                  <w:tcW w:w="1207" w:type="pct"/>
                  <w:vAlign w:val="center"/>
                </w:tcPr>
                <w:p w14:paraId="0B6568FD">
                  <w:pPr>
                    <w:widowControl/>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本项目不属于淘汰类、禁止类产业，不涉及禁止的技术改造工艺装备及产品；本项目不属于石化项目，不在保护区内。因此，本项目符合</w:t>
                  </w:r>
                  <w:r>
                    <w:rPr>
                      <w:rFonts w:hint="default" w:ascii="Times New Roman" w:hAnsi="Times New Roman" w:cs="Times New Roman"/>
                      <w:color w:val="000000" w:themeColor="text1"/>
                      <w:kern w:val="0"/>
                      <w:lang w:val="en-US" w:eastAsia="zh-CN"/>
                      <w14:textFill>
                        <w14:solidFill>
                          <w14:schemeClr w14:val="tx1"/>
                        </w14:solidFill>
                      </w14:textFill>
                    </w:rPr>
                    <w:t>海政办发</w:t>
                  </w:r>
                  <w:r>
                    <w:rPr>
                      <w:rFonts w:hint="eastAsia" w:ascii="Times New Roman" w:hAnsi="Times New Roman" w:cs="Times New Roman"/>
                      <w:color w:val="000000" w:themeColor="text1"/>
                      <w:kern w:val="0"/>
                      <w:lang w:val="en-US" w:eastAsia="zh-CN"/>
                      <w14:textFill>
                        <w14:solidFill>
                          <w14:schemeClr w14:val="tx1"/>
                        </w14:solidFill>
                      </w14:textFill>
                    </w:rPr>
                    <w:t>〔2021〕85号</w:t>
                  </w:r>
                  <w:r>
                    <w:rPr>
                      <w:rFonts w:hint="default" w:ascii="Times New Roman" w:hAnsi="Times New Roman" w:cs="Times New Roman"/>
                      <w:color w:val="000000" w:themeColor="text1"/>
                      <w:kern w:val="0"/>
                      <w:lang w:bidi="ar"/>
                      <w14:textFill>
                        <w14:solidFill>
                          <w14:schemeClr w14:val="tx1"/>
                        </w14:solidFill>
                      </w14:textFill>
                    </w:rPr>
                    <w:t>相关要求。</w:t>
                  </w:r>
                </w:p>
              </w:tc>
            </w:tr>
            <w:tr w14:paraId="48012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3F5FF046">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污染物排放管控</w:t>
                  </w:r>
                </w:p>
              </w:tc>
              <w:tc>
                <w:tcPr>
                  <w:tcW w:w="3275" w:type="pct"/>
                  <w:vAlign w:val="center"/>
                </w:tcPr>
                <w:p w14:paraId="683C0D23">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1. 加速碳排放达峰和空气质量达标“双达”进程，落实达峰和减排措施，实行碳排放总量和强度双重目标控制机制。单位GDP二氧化碳排放下降率完成市级下达任务。</w:t>
                  </w:r>
                </w:p>
                <w:p w14:paraId="3A73FF45">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2. 落实《关于印发江苏省工业园区（集中区）污染物排放限值限量管理工作方案（试行）的通知》，实施工业园区生态环境限值限量管理，严控高能耗高排放、严禁高污染不安全项目落地，完善工业园区主要污染物排放总量控制措施，实现主要污染物排放浓度和总量“双控”。</w:t>
                  </w:r>
                </w:p>
                <w:p w14:paraId="22E5AB86">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3. 严格执行《关于加强高耗能、高排放建设项目生态环境源头防控的指导意见》，严把建设项目环境准入关，落实区域削减要求。</w:t>
                  </w:r>
                </w:p>
                <w:p w14:paraId="5ECCE5D8">
                  <w:pPr>
                    <w:widowControl/>
                    <w:spacing w:line="240" w:lineRule="auto"/>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4. 2025年污染物排放总量以“十四五”规划约束性目标为准。</w:t>
                  </w:r>
                </w:p>
              </w:tc>
              <w:tc>
                <w:tcPr>
                  <w:tcW w:w="1207" w:type="pct"/>
                  <w:vAlign w:val="center"/>
                </w:tcPr>
                <w:p w14:paraId="01AFE2BF">
                  <w:pPr>
                    <w:widowControl/>
                    <w:jc w:val="both"/>
                    <w:rPr>
                      <w:rFonts w:hint="default" w:ascii="Times New Roman" w:hAnsi="Times New Roman" w:cs="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本项目属于</w:t>
                  </w:r>
                  <w:r>
                    <w:rPr>
                      <w:rFonts w:hint="eastAsia" w:ascii="Times New Roman" w:hAnsi="Times New Roman" w:cs="Times New Roman"/>
                      <w:color w:val="000000" w:themeColor="text1"/>
                      <w:kern w:val="2"/>
                      <w:sz w:val="21"/>
                      <w:szCs w:val="21"/>
                      <w:lang w:val="en-US" w:eastAsia="zh-CN"/>
                      <w14:textFill>
                        <w14:solidFill>
                          <w14:schemeClr w14:val="tx1"/>
                        </w14:solidFill>
                      </w14:textFill>
                    </w:rPr>
                    <w:t>登记</w:t>
                  </w:r>
                  <w:r>
                    <w:rPr>
                      <w:rFonts w:hint="default" w:ascii="Times New Roman" w:hAnsi="Times New Roman" w:cs="Times New Roman"/>
                      <w:color w:val="000000" w:themeColor="text1"/>
                      <w:kern w:val="2"/>
                      <w:sz w:val="21"/>
                      <w:szCs w:val="21"/>
                      <w14:textFill>
                        <w14:solidFill>
                          <w14:schemeClr w14:val="tx1"/>
                        </w14:solidFill>
                      </w14:textFill>
                    </w:rPr>
                    <w:t>管理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需通过交易获得排污总量指标。</w:t>
                  </w:r>
                </w:p>
              </w:tc>
            </w:tr>
            <w:tr w14:paraId="1A485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2E4AE9D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环境风险防控</w:t>
                  </w:r>
                </w:p>
              </w:tc>
              <w:tc>
                <w:tcPr>
                  <w:tcW w:w="3275" w:type="pct"/>
                  <w:vAlign w:val="center"/>
                </w:tcPr>
                <w:p w14:paraId="44F50157">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1. 落实《南通市海门区突发事件总体应急预案》《海门区突发环境事件应急预案（2020年修订版）》《海门区集中式饮用水源突发污染事件应急预案（2020年修订版）》等文件要求，建立健全环境风险防范体系，强化环境事故应急管理，防范化解重大风险。</w:t>
                  </w:r>
                </w:p>
                <w:p w14:paraId="4891E22A">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2. 根据《海门市污染地块环境管理联动实施方案》，落实地块属地政府管理责任，实行联动监管。加强污染地块环境风险防控，有效保障建设用地土壤环境安全。</w:t>
                  </w:r>
                </w:p>
                <w:p w14:paraId="6DEB3651">
                  <w:pPr>
                    <w:widowControl/>
                    <w:spacing w:line="240" w:lineRule="auto"/>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3. 根据《海门市重污染天气应急预案（2020年修订版）》，加强空气质量监测和大气污染源监控，建立重污染天气风险防范体系，积极预警、及时控制、消除隐患，提高应急处置能力，尽可能减轻重污染天气造成的影响和损失，最大程度地保障大气环境安全。</w:t>
                  </w:r>
                </w:p>
              </w:tc>
              <w:tc>
                <w:tcPr>
                  <w:tcW w:w="1207" w:type="pct"/>
                  <w:vAlign w:val="center"/>
                </w:tcPr>
                <w:p w14:paraId="7755637C">
                  <w:pPr>
                    <w:widowControl/>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本项目建成后将制定环境风险应急预案，同时企业内储备有足够的环境应急物资，实现环境风险联防控，故能满足环境风险防控的相关要求。</w:t>
                  </w:r>
                </w:p>
              </w:tc>
            </w:tr>
            <w:tr w14:paraId="6D8A3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308478AA">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资源利用效率要求</w:t>
                  </w:r>
                </w:p>
              </w:tc>
              <w:tc>
                <w:tcPr>
                  <w:tcW w:w="3275" w:type="pct"/>
                  <w:vAlign w:val="center"/>
                </w:tcPr>
                <w:p w14:paraId="0B239C43">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1. 到2025年，</w:t>
                  </w:r>
                  <w:bookmarkStart w:id="2" w:name="_Hlk90020885"/>
                  <w:r>
                    <w:rPr>
                      <w:rFonts w:hint="default" w:ascii="Times New Roman" w:hAnsi="Times New Roman" w:cs="Times New Roman" w:eastAsiaTheme="minorEastAsia"/>
                      <w:snapToGrid w:val="0"/>
                      <w:color w:val="000000" w:themeColor="text1"/>
                      <w:kern w:val="0"/>
                      <w14:textFill>
                        <w14:solidFill>
                          <w14:schemeClr w14:val="tx1"/>
                        </w14:solidFill>
                      </w14:textFill>
                    </w:rPr>
                    <w:t>海门区用水总量控制在3.1亿立方米以内，单位地区生产总值用水量控制在16立方米内；燃煤总量控制在30万吨以内，其中非电行业燃煤量为0（不计中天钢铁项目）。单位地区生产总值能耗控制在0.2tce/万元以下。</w:t>
                  </w:r>
                </w:p>
                <w:p w14:paraId="64BFDF21">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 xml:space="preserve">2. </w:t>
                  </w:r>
                  <w:bookmarkEnd w:id="2"/>
                  <w:r>
                    <w:rPr>
                      <w:rFonts w:hint="default" w:ascii="Times New Roman" w:hAnsi="Times New Roman" w:cs="Times New Roman" w:eastAsiaTheme="minorEastAsia"/>
                      <w:snapToGrid w:val="0"/>
                      <w:color w:val="000000" w:themeColor="text1"/>
                      <w:kern w:val="0"/>
                      <w14:textFill>
                        <w14:solidFill>
                          <w14:schemeClr w14:val="tx1"/>
                        </w14:solidFill>
                      </w14:textFill>
                    </w:rPr>
                    <w:t>落实《关于强化节能审查工作和监督管理坚决遏制“两高”项目盲目发展的通知》，“两高”项目要坚决落实能效水平和能耗减量替代要求，能效水平须达到国内领先、国际先进，能效水平不满足要求和未落实能耗减量替代的，一律不得出具节能审查意见。</w:t>
                  </w:r>
                </w:p>
                <w:p w14:paraId="7694EBE5">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3. 根据《海门市政府关于划定高污染燃料禁燃区的通告》，海门经济技术开发区、三厂工业园区、海门工业园区、海永镇范围内除现有热电企业、集中供热企业及规划建设的火电、热电联产项目外，全部为Ⅲ类燃料禁燃区；其他行政区域内为Ⅱ类燃料禁燃区，分区域执行相关文件管理要求。</w:t>
                  </w:r>
                </w:p>
                <w:p w14:paraId="530EC8A4">
                  <w:pPr>
                    <w:autoSpaceDE w:val="0"/>
                    <w:autoSpaceDN w:val="0"/>
                    <w:adjustRightInd w:val="0"/>
                    <w:snapToGrid w:val="0"/>
                    <w:spacing w:line="240" w:lineRule="auto"/>
                    <w:jc w:val="both"/>
                    <w:rPr>
                      <w:rFonts w:hint="default" w:ascii="Times New Roman" w:hAnsi="Times New Roman" w:cs="Times New Roman" w:eastAsiaTheme="minorEastAsia"/>
                      <w:snapToGrid w:val="0"/>
                      <w:color w:val="000000" w:themeColor="text1"/>
                      <w:kern w:val="0"/>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4. 实施最严格海洋资源管理和海洋环境保护，进一步从严管控围填海，严格保护自然岸线，整治修复受损岸线，严格水域岸线用途管制，严禁违法侵占河道、围垦河道、非法采砂，注重沿海滩涂资源保护，加强渔业资源养护，建立渔业资源保护区域，控制海洋捕捞强度。加强海洋自然保护地建设，严格落实用海项目生态补偿制度。</w:t>
                  </w:r>
                </w:p>
                <w:p w14:paraId="608A3BC4">
                  <w:pPr>
                    <w:widowControl/>
                    <w:spacing w:line="240" w:lineRule="auto"/>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kern w:val="0"/>
                      <w14:textFill>
                        <w14:solidFill>
                          <w14:schemeClr w14:val="tx1"/>
                        </w14:solidFill>
                      </w14:textFill>
                    </w:rPr>
                    <w:t>5. 根据国家《长江岸线保护和开发利用总体规划》，制定岸线保护和开发利用实施方案，严格分区管理和用途管制。加强长江岸线保护，海门城区段及以东以生活、生态岸线为主，限制工业发展。到2025年，确保全区长江干线及洲岛岸线开发利用率保持在50%以下。</w:t>
                  </w:r>
                </w:p>
              </w:tc>
              <w:tc>
                <w:tcPr>
                  <w:tcW w:w="1207" w:type="pct"/>
                  <w:vAlign w:val="center"/>
                </w:tcPr>
                <w:p w14:paraId="0BCB35B7">
                  <w:pPr>
                    <w:widowControl/>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生产过程中不使用高污染燃料，故符合禁燃区的相关要求。</w:t>
                  </w:r>
                </w:p>
              </w:tc>
            </w:tr>
          </w:tbl>
          <w:p w14:paraId="33EEF392">
            <w:pPr>
              <w:adjustRightInd w:val="0"/>
              <w:snapToGrid w:val="0"/>
              <w:spacing w:line="360" w:lineRule="auto"/>
              <w:ind w:firstLine="42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因此，本项目的建设符合《南通市</w:t>
            </w:r>
            <w:r>
              <w:rPr>
                <w:rFonts w:hint="default" w:ascii="Times New Roman" w:hAnsi="Times New Roman" w:cs="Times New Roman"/>
                <w:color w:val="000000" w:themeColor="text1"/>
                <w:kern w:val="0"/>
                <w:lang w:val="en-US" w:eastAsia="zh-CN"/>
                <w14:textFill>
                  <w14:solidFill>
                    <w14:schemeClr w14:val="tx1"/>
                  </w14:solidFill>
                </w14:textFill>
              </w:rPr>
              <w:t>海门区</w:t>
            </w:r>
            <w:r>
              <w:rPr>
                <w:rFonts w:hint="default" w:ascii="Times New Roman" w:hAnsi="Times New Roman" w:cs="Times New Roman"/>
                <w:color w:val="000000" w:themeColor="text1"/>
                <w:kern w:val="0"/>
                <w14:textFill>
                  <w14:solidFill>
                    <w14:schemeClr w14:val="tx1"/>
                  </w14:solidFill>
                </w14:textFill>
              </w:rPr>
              <w:t>“三线一单”生态环境分区管控实施方案的通知》（</w:t>
            </w:r>
            <w:r>
              <w:rPr>
                <w:rFonts w:hint="default" w:ascii="Times New Roman" w:hAnsi="Times New Roman" w:cs="Times New Roman"/>
                <w:color w:val="000000" w:themeColor="text1"/>
                <w:kern w:val="0"/>
                <w:lang w:val="en-US" w:eastAsia="zh-CN"/>
                <w14:textFill>
                  <w14:solidFill>
                    <w14:schemeClr w14:val="tx1"/>
                  </w14:solidFill>
                </w14:textFill>
              </w:rPr>
              <w:t>海政办发</w:t>
            </w:r>
            <w:r>
              <w:rPr>
                <w:rFonts w:hint="eastAsia" w:ascii="Times New Roman" w:hAnsi="Times New Roman" w:cs="Times New Roman"/>
                <w:color w:val="000000" w:themeColor="text1"/>
                <w:kern w:val="0"/>
                <w:lang w:val="en-US" w:eastAsia="zh-CN"/>
                <w14:textFill>
                  <w14:solidFill>
                    <w14:schemeClr w14:val="tx1"/>
                  </w14:solidFill>
                </w14:textFill>
              </w:rPr>
              <w:t>〔2021〕85号</w:t>
            </w:r>
            <w:r>
              <w:rPr>
                <w:rFonts w:hint="default" w:ascii="Times New Roman" w:hAnsi="Times New Roman" w:cs="Times New Roman"/>
                <w:color w:val="000000" w:themeColor="text1"/>
                <w:kern w:val="0"/>
                <w14:textFill>
                  <w14:solidFill>
                    <w14:schemeClr w14:val="tx1"/>
                  </w14:solidFill>
                </w14:textFill>
              </w:rPr>
              <w:t xml:space="preserve">）中相关要求。 </w:t>
            </w:r>
          </w:p>
          <w:p w14:paraId="06A44989">
            <w:pPr>
              <w:adjustRightInd w:val="0"/>
              <w:snapToGrid w:val="0"/>
              <w:spacing w:line="360" w:lineRule="auto"/>
              <w:ind w:firstLine="420" w:firstLineChars="200"/>
              <w:rPr>
                <w:rFonts w:hint="default"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⑧</w:t>
            </w:r>
            <w:r>
              <w:rPr>
                <w:rFonts w:hint="default" w:ascii="Times New Roman" w:hAnsi="Times New Roman" w:cs="Times New Roman"/>
                <w:color w:val="000000" w:themeColor="text1"/>
                <w:kern w:val="0"/>
                <w14:textFill>
                  <w14:solidFill>
                    <w14:schemeClr w14:val="tx1"/>
                  </w14:solidFill>
                </w14:textFill>
              </w:rPr>
              <w:t xml:space="preserve">与《省政府关于印发江苏省生态空间管控区域调整管理办法的通知》（苏政办发〔2021〕3号）相符性分析： </w:t>
            </w:r>
          </w:p>
          <w:p w14:paraId="5B528481">
            <w:pPr>
              <w:adjustRightInd w:val="0"/>
              <w:snapToGrid w:val="0"/>
              <w:spacing w:line="360" w:lineRule="auto"/>
              <w:ind w:firstLine="42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 xml:space="preserve">根据江苏省省域生态环境重点管控要求： </w:t>
            </w:r>
          </w:p>
          <w:p w14:paraId="465DA8BA">
            <w:pPr>
              <w:adjustRightInd w:val="0"/>
              <w:snapToGrid w:val="0"/>
              <w:spacing w:line="360" w:lineRule="auto"/>
              <w:ind w:firstLine="42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 xml:space="preserve">空间布局约束方面： </w:t>
            </w:r>
          </w:p>
          <w:p w14:paraId="77CD6C9F">
            <w:pPr>
              <w:adjustRightInd w:val="0"/>
              <w:snapToGrid w:val="0"/>
              <w:spacing w:line="360" w:lineRule="auto"/>
              <w:ind w:firstLine="42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坚持节约优先、保护优先、自然恢复为主的方针</w:t>
            </w:r>
            <w:r>
              <w:rPr>
                <w:rFonts w:hint="eastAsia" w:ascii="Times New Roman" w:hAnsi="Times New Roman" w:cs="Times New Roman"/>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kern w:val="0"/>
                <w14:textFill>
                  <w14:solidFill>
                    <w14:schemeClr w14:val="tx1"/>
                  </w14:solidFill>
                </w14:textFill>
              </w:rPr>
              <w:t>以改</w:t>
            </w:r>
            <w:r>
              <w:rPr>
                <w:rFonts w:hint="default" w:ascii="Times New Roman" w:hAnsi="Times New Roman" w:cs="Times New Roman"/>
                <w:color w:val="000000" w:themeColor="text1"/>
                <w:kern w:val="0"/>
                <w:lang w:val="en-US" w:eastAsia="zh-CN"/>
                <w14:textFill>
                  <w14:solidFill>
                    <w14:schemeClr w14:val="tx1"/>
                  </w14:solidFill>
                </w14:textFill>
              </w:rPr>
              <w:t>善</w:t>
            </w:r>
            <w:r>
              <w:rPr>
                <w:rFonts w:hint="default" w:ascii="Times New Roman" w:hAnsi="Times New Roman" w:cs="Times New Roman"/>
                <w:color w:val="000000" w:themeColor="text1"/>
                <w:kern w:val="0"/>
                <w14:textFill>
                  <w14:solidFill>
                    <w14:schemeClr w14:val="tx1"/>
                  </w14:solidFill>
                </w14:textFill>
              </w:rPr>
              <w:t xml:space="preserve">生态环境质量为核心，以保障和维护生态功能为主线，统筹山水林田湖草一体化保护和修复，严守生态保护红线，实行最严格的生态空间管控制度，确保全省生态功能不降低、面积不减少、性质不改变，切实维护生态安全。 </w:t>
            </w:r>
          </w:p>
          <w:p w14:paraId="52A88541">
            <w:pPr>
              <w:adjustRightInd w:val="0"/>
              <w:snapToGrid w:val="0"/>
              <w:spacing w:line="360" w:lineRule="auto"/>
              <w:ind w:firstLine="42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牢牢把握推动长江经济带发展“共抓大保护</w:t>
            </w:r>
            <w:r>
              <w:rPr>
                <w:rFonts w:hint="eastAsia" w:ascii="Times New Roman" w:hAnsi="Times New Roman" w:cs="Times New Roman"/>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kern w:val="0"/>
                <w14:textFill>
                  <w14:solidFill>
                    <w14:schemeClr w14:val="tx1"/>
                  </w14:solidFill>
                </w14:textFill>
              </w:rPr>
              <w:t xml:space="preserve">不搞大开发”战略导向。对省域范围内需要重点保护的岸线、河段和区域实行严格空间布局管控，管住控好排放量大、耗能高、产能过剩的产业，推动长江经济带高质量发展。大幅压减沿长江干支流两侧1公里范围内、环境敏感区域、城镇人口密集区、化工园区外和规模以下化工生产企业，着力破解“重化围江”突出问题，高起点同步推进沿江地区战略性转型和沿海地区战略性布局。 </w:t>
            </w:r>
          </w:p>
          <w:p w14:paraId="1DFA77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相符性分析：对照江苏省环境管控单元，项目距离长江直线距离约</w:t>
            </w:r>
            <w:r>
              <w:rPr>
                <w:rFonts w:hint="default" w:ascii="Times New Roman" w:hAnsi="Times New Roman" w:cs="Times New Roman"/>
                <w:color w:val="000000" w:themeColor="text1"/>
                <w:kern w:val="0"/>
                <w:lang w:val="en-US" w:eastAsia="zh-CN"/>
                <w14:textFill>
                  <w14:solidFill>
                    <w14:schemeClr w14:val="tx1"/>
                  </w14:solidFill>
                </w14:textFill>
              </w:rPr>
              <w:t>1.85k</w:t>
            </w:r>
            <w:r>
              <w:rPr>
                <w:rFonts w:hint="default" w:ascii="Times New Roman" w:hAnsi="Times New Roman" w:cs="Times New Roman"/>
                <w:color w:val="000000" w:themeColor="text1"/>
                <w:kern w:val="0"/>
                <w14:textFill>
                  <w14:solidFill>
                    <w14:schemeClr w14:val="tx1"/>
                  </w14:solidFill>
                </w14:textFill>
              </w:rPr>
              <w:t>m，</w:t>
            </w:r>
            <w:r>
              <w:rPr>
                <w:rFonts w:hint="default" w:ascii="Times New Roman" w:hAnsi="Times New Roman" w:cs="Times New Roman"/>
                <w:color w:val="000000" w:themeColor="text1"/>
                <w:kern w:val="0"/>
                <w:lang w:val="en-US" w:eastAsia="zh-CN"/>
                <w14:textFill>
                  <w14:solidFill>
                    <w14:schemeClr w14:val="tx1"/>
                  </w14:solidFill>
                </w14:textFill>
              </w:rPr>
              <w:t>且</w:t>
            </w:r>
            <w:r>
              <w:rPr>
                <w:rFonts w:hint="default" w:ascii="Times New Roman" w:hAnsi="Times New Roman" w:cs="Times New Roman"/>
                <w:color w:val="000000" w:themeColor="text1"/>
                <w:kern w:val="0"/>
                <w14:textFill>
                  <w14:solidFill>
                    <w14:schemeClr w14:val="tx1"/>
                  </w14:solidFill>
                </w14:textFill>
              </w:rPr>
              <w:t>本项目不属于化工生产项目，符合苏政办发〔2021〕3号中相关要求。</w:t>
            </w:r>
          </w:p>
          <w:p w14:paraId="3B686B6A">
            <w:pPr>
              <w:pStyle w:val="51"/>
              <w:keepNext w:val="0"/>
              <w:keepLines w:val="0"/>
              <w:pageBreakBefore w:val="0"/>
              <w:widowControl/>
              <w:kinsoku/>
              <w:wordWrap/>
              <w:overflowPunct/>
              <w:topLinePunct w:val="0"/>
              <w:autoSpaceDE w:val="0"/>
              <w:autoSpaceDN w:val="0"/>
              <w:bidi w:val="0"/>
              <w:adjustRightInd w:val="0"/>
              <w:snapToGrid/>
              <w:spacing w:line="360" w:lineRule="auto"/>
              <w:ind w:firstLine="422" w:firstLineChars="200"/>
              <w:jc w:val="both"/>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cs="Times New Roman"/>
                <w:b/>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w:t>
            </w:r>
            <w:r>
              <w:rPr>
                <w:rFonts w:hint="eastAsia" w:ascii="Times New Roman" w:hAnsi="Times New Roman" w:cs="Times New Roman"/>
                <w:b/>
                <w:color w:val="000000" w:themeColor="text1"/>
                <w:sz w:val="21"/>
                <w:szCs w:val="21"/>
                <w14:textFill>
                  <w14:solidFill>
                    <w14:schemeClr w14:val="tx1"/>
                  </w14:solidFill>
                </w14:textFill>
              </w:rPr>
              <w:t>与《南通市</w:t>
            </w:r>
            <w:r>
              <w:rPr>
                <w:rFonts w:hint="eastAsia" w:ascii="Times New Roman" w:hAnsi="Times New Roman" w:cs="Times New Roman"/>
                <w:b/>
                <w:color w:val="000000" w:themeColor="text1"/>
                <w:sz w:val="21"/>
                <w:szCs w:val="21"/>
                <w:lang w:val="en-US" w:eastAsia="zh-CN"/>
                <w14:textFill>
                  <w14:solidFill>
                    <w14:schemeClr w14:val="tx1"/>
                  </w14:solidFill>
                </w14:textFill>
              </w:rPr>
              <w:t>关于加强减污降碳协同推进重点行业绿色发展的指导意见》的通知</w:t>
            </w:r>
            <w:r>
              <w:rPr>
                <w:rFonts w:hint="eastAsia" w:ascii="Times New Roman" w:hAnsi="Times New Roman" w:cs="Times New Roman"/>
                <w:b/>
                <w:color w:val="000000" w:themeColor="text1"/>
                <w:sz w:val="21"/>
                <w:szCs w:val="21"/>
                <w14:textFill>
                  <w14:solidFill>
                    <w14:schemeClr w14:val="tx1"/>
                  </w14:solidFill>
                </w14:textFill>
              </w:rPr>
              <w:t>（</w:t>
            </w:r>
            <w:r>
              <w:rPr>
                <w:rFonts w:hint="eastAsia" w:ascii="Times New Roman" w:hAnsi="Times New Roman" w:cs="Times New Roman"/>
                <w:b/>
                <w:color w:val="000000" w:themeColor="text1"/>
                <w:sz w:val="21"/>
                <w:szCs w:val="21"/>
                <w:lang w:val="en-US" w:eastAsia="zh-CN"/>
                <w14:textFill>
                  <w14:solidFill>
                    <w14:schemeClr w14:val="tx1"/>
                  </w14:solidFill>
                </w14:textFill>
              </w:rPr>
              <w:t>通</w:t>
            </w:r>
            <w:r>
              <w:rPr>
                <w:rFonts w:hint="eastAsia" w:ascii="Times New Roman" w:hAnsi="Times New Roman" w:cs="Times New Roman"/>
                <w:b/>
                <w:color w:val="000000" w:themeColor="text1"/>
                <w:sz w:val="21"/>
                <w:szCs w:val="21"/>
                <w14:textFill>
                  <w14:solidFill>
                    <w14:schemeClr w14:val="tx1"/>
                  </w14:solidFill>
                </w14:textFill>
              </w:rPr>
              <w:t>办〔202</w:t>
            </w:r>
            <w:r>
              <w:rPr>
                <w:rFonts w:hint="eastAsia" w:ascii="Times New Roman" w:hAnsi="Times New Roman" w:cs="Times New Roman"/>
                <w:b/>
                <w:color w:val="000000" w:themeColor="text1"/>
                <w:sz w:val="21"/>
                <w:szCs w:val="21"/>
                <w:lang w:val="en-US" w:eastAsia="zh-CN"/>
                <w14:textFill>
                  <w14:solidFill>
                    <w14:schemeClr w14:val="tx1"/>
                  </w14:solidFill>
                </w14:textFill>
              </w:rPr>
              <w:t>4</w:t>
            </w:r>
            <w:r>
              <w:rPr>
                <w:rFonts w:hint="eastAsia" w:ascii="Times New Roman" w:hAnsi="Times New Roman" w:cs="Times New Roman"/>
                <w:b/>
                <w:color w:val="000000" w:themeColor="text1"/>
                <w:sz w:val="21"/>
                <w:szCs w:val="21"/>
                <w14:textFill>
                  <w14:solidFill>
                    <w14:schemeClr w14:val="tx1"/>
                  </w14:solidFill>
                </w14:textFill>
              </w:rPr>
              <w:t>〕</w:t>
            </w:r>
            <w:r>
              <w:rPr>
                <w:rFonts w:hint="eastAsia" w:ascii="Times New Roman" w:hAnsi="Times New Roman" w:cs="Times New Roman"/>
                <w:b/>
                <w:color w:val="000000" w:themeColor="text1"/>
                <w:sz w:val="21"/>
                <w:szCs w:val="21"/>
                <w:lang w:val="en-US" w:eastAsia="zh-CN"/>
                <w14:textFill>
                  <w14:solidFill>
                    <w14:schemeClr w14:val="tx1"/>
                  </w14:solidFill>
                </w14:textFill>
              </w:rPr>
              <w:t>6</w:t>
            </w:r>
            <w:r>
              <w:rPr>
                <w:rFonts w:hint="eastAsia" w:ascii="Times New Roman" w:hAnsi="Times New Roman" w:cs="Times New Roman"/>
                <w:b/>
                <w:color w:val="000000" w:themeColor="text1"/>
                <w:sz w:val="21"/>
                <w:szCs w:val="21"/>
                <w14:textFill>
                  <w14:solidFill>
                    <w14:schemeClr w14:val="tx1"/>
                  </w14:solidFill>
                </w14:textFill>
              </w:rPr>
              <w:t xml:space="preserve"> 号）的相符性分析</w:t>
            </w:r>
          </w:p>
          <w:p w14:paraId="60955C1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对照《南通市关于加强减污降碳协同推进重点行业绿色发展的指导意见》</w:t>
            </w:r>
            <w:r>
              <w:rPr>
                <w:rFonts w:hint="eastAsia" w:ascii="Times New Roman" w:hAnsi="Times New Roman" w:cs="Times New Roman"/>
                <w:bCs/>
                <w:color w:val="000000" w:themeColor="text1"/>
                <w:lang w:val="en-US" w:eastAsia="zh-CN"/>
                <w14:textFill>
                  <w14:solidFill>
                    <w14:schemeClr w14:val="tx1"/>
                  </w14:solidFill>
                </w14:textFill>
              </w:rPr>
              <w:t>的通知</w:t>
            </w:r>
            <w:r>
              <w:rPr>
                <w:rFonts w:hint="eastAsia" w:ascii="Times New Roman" w:hAnsi="Times New Roman" w:cs="Times New Roman"/>
                <w:bCs/>
                <w:color w:val="000000" w:themeColor="text1"/>
                <w14:textFill>
                  <w14:solidFill>
                    <w14:schemeClr w14:val="tx1"/>
                  </w14:solidFill>
                </w14:textFill>
              </w:rPr>
              <w:t>（通办</w:t>
            </w:r>
            <w:r>
              <w:rPr>
                <w:rFonts w:hint="eastAsia" w:ascii="Times New Roman" w:hAnsi="Times New Roman" w:cs="Times New Roman"/>
                <w:b w:val="0"/>
                <w:bCs/>
                <w:color w:val="000000" w:themeColor="text1"/>
                <w14:textFill>
                  <w14:solidFill>
                    <w14:schemeClr w14:val="tx1"/>
                  </w14:solidFill>
                </w14:textFill>
              </w:rPr>
              <w:t>〔202</w:t>
            </w:r>
            <w:r>
              <w:rPr>
                <w:rFonts w:hint="eastAsia" w:ascii="Times New Roman" w:hAnsi="Times New Roman" w:cs="Times New Roman"/>
                <w:b w:val="0"/>
                <w:bCs/>
                <w:color w:val="000000" w:themeColor="text1"/>
                <w:lang w:val="en-US" w:eastAsia="zh-CN"/>
                <w14:textFill>
                  <w14:solidFill>
                    <w14:schemeClr w14:val="tx1"/>
                  </w14:solidFill>
                </w14:textFill>
              </w:rPr>
              <w:t>4</w:t>
            </w:r>
            <w:r>
              <w:rPr>
                <w:rFonts w:hint="eastAsia" w:ascii="Times New Roman" w:hAnsi="Times New Roman" w:cs="Times New Roman"/>
                <w:b w:val="0"/>
                <w:bCs/>
                <w:color w:val="000000" w:themeColor="text1"/>
                <w14:textFill>
                  <w14:solidFill>
                    <w14:schemeClr w14:val="tx1"/>
                  </w14:solidFill>
                </w14:textFill>
              </w:rPr>
              <w:t>〕</w:t>
            </w:r>
            <w:r>
              <w:rPr>
                <w:rFonts w:hint="eastAsia" w:ascii="Times New Roman" w:hAnsi="Times New Roman" w:cs="Times New Roman"/>
                <w:bCs/>
                <w:color w:val="000000" w:themeColor="text1"/>
                <w14:textFill>
                  <w14:solidFill>
                    <w14:schemeClr w14:val="tx1"/>
                  </w14:solidFill>
                </w14:textFill>
              </w:rPr>
              <w:t>6号）：到2025年，全市产业结构和能源消费结构明显优化，绿色发展水平显著提升，产业链耦合共生、资源能源高效利用的绿色低碳循环体系初步建立，产业绿色发展的体制机制逐步完善，主要污染物排放总量明显减少，碳排放强度合理优化，生态环境持续改善，美丽南通建设成效初步显现。此文件主要针对纺织印染、装备制造、电子信息、船舶海工、造纸、非金属制品、化工、电力与热力供应八大重点行业推进绿色发展。</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本项目属于</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本项目</w:t>
            </w:r>
            <w:r>
              <w:rPr>
                <w:rFonts w:hint="default" w:ascii="Times New Roman" w:hAnsi="Times New Roman" w:cs="Times New Roman"/>
                <w:bCs/>
                <w:color w:val="000000" w:themeColor="text1"/>
                <w:sz w:val="21"/>
                <w:szCs w:val="21"/>
                <w:lang w:val="en-US" w:eastAsia="zh-CN"/>
                <w14:textFill>
                  <w14:solidFill>
                    <w14:schemeClr w14:val="tx1"/>
                  </w14:solidFill>
                </w14:textFill>
              </w:rPr>
              <w:t>利用自有土地和</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厂房从事生产，提高工艺技术，减少污染物的排放；此外项目生产过程中产生的</w:t>
            </w:r>
            <w:r>
              <w:rPr>
                <w:rFonts w:hint="default" w:ascii="Times New Roman" w:hAnsi="Times New Roman" w:cs="Times New Roman"/>
                <w:bCs/>
                <w:color w:val="000000" w:themeColor="text1"/>
                <w:sz w:val="21"/>
                <w:szCs w:val="21"/>
                <w:lang w:val="en-US" w:eastAsia="zh-CN"/>
                <w14:textFill>
                  <w14:solidFill>
                    <w14:schemeClr w14:val="tx1"/>
                  </w14:solidFill>
                </w14:textFill>
              </w:rPr>
              <w:t>天然气燃烧废气经低氮燃烧装置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处理后通过</w:t>
            </w:r>
            <w:r>
              <w:rPr>
                <w:rFonts w:hint="default" w:ascii="Times New Roman" w:hAnsi="Times New Roman" w:cs="Times New Roman"/>
                <w:bCs/>
                <w:color w:val="000000" w:themeColor="text1"/>
                <w:sz w:val="21"/>
                <w:szCs w:val="21"/>
                <w:lang w:val="en-US" w:eastAsia="zh-CN"/>
                <w14:textFill>
                  <w14:solidFill>
                    <w14:schemeClr w14:val="tx1"/>
                  </w14:solidFill>
                </w14:textFill>
              </w:rPr>
              <w:t>高空</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排放；生活污水依托厂区化粪池预处理后接管排入</w:t>
            </w:r>
            <w:r>
              <w:rPr>
                <w:rFonts w:hint="eastAsia" w:ascii="Times New Roman" w:hAnsi="Times New Roman" w:cs="Times New Roman"/>
                <w:bCs/>
                <w:color w:val="000000" w:themeColor="text1"/>
                <w:sz w:val="21"/>
                <w:szCs w:val="21"/>
                <w:lang w:val="en-US" w:eastAsia="zh-CN"/>
                <w14:textFill>
                  <w14:solidFill>
                    <w14:schemeClr w14:val="tx1"/>
                  </w14:solidFill>
                </w14:textFill>
              </w:rPr>
              <w:t>污水处理厂</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处理；固废均采取有效措施处理，生活垃圾统一收集无害化处置，不会污染外环境。</w:t>
            </w:r>
            <w:r>
              <w:rPr>
                <w:rFonts w:hint="eastAsia" w:ascii="Times New Roman" w:hAnsi="Times New Roman" w:cs="Times New Roman"/>
                <w:bCs/>
                <w:color w:val="000000" w:themeColor="text1"/>
                <w14:textFill>
                  <w14:solidFill>
                    <w14:schemeClr w14:val="tx1"/>
                  </w14:solidFill>
                </w14:textFill>
              </w:rPr>
              <w:t>因此，本项目与《南通市关于加强减污降碳协同推进重点行业绿色发展的指导意见》</w:t>
            </w:r>
            <w:r>
              <w:rPr>
                <w:rFonts w:hint="eastAsia" w:ascii="Times New Roman" w:hAnsi="Times New Roman" w:cs="Times New Roman"/>
                <w:bCs/>
                <w:color w:val="000000" w:themeColor="text1"/>
                <w:lang w:val="en-US" w:eastAsia="zh-CN"/>
                <w14:textFill>
                  <w14:solidFill>
                    <w14:schemeClr w14:val="tx1"/>
                  </w14:solidFill>
                </w14:textFill>
              </w:rPr>
              <w:t>的通知</w:t>
            </w:r>
            <w:r>
              <w:rPr>
                <w:rFonts w:hint="eastAsia" w:ascii="Times New Roman" w:hAnsi="Times New Roman" w:cs="Times New Roman"/>
                <w:bCs/>
                <w:color w:val="000000" w:themeColor="text1"/>
                <w14:textFill>
                  <w14:solidFill>
                    <w14:schemeClr w14:val="tx1"/>
                  </w14:solidFill>
                </w14:textFill>
              </w:rPr>
              <w:t>（通办</w:t>
            </w:r>
            <w:r>
              <w:rPr>
                <w:rFonts w:hint="eastAsia" w:ascii="Times New Roman" w:hAnsi="Times New Roman" w:cs="Times New Roman"/>
                <w:b w:val="0"/>
                <w:bCs/>
                <w:color w:val="000000" w:themeColor="text1"/>
                <w14:textFill>
                  <w14:solidFill>
                    <w14:schemeClr w14:val="tx1"/>
                  </w14:solidFill>
                </w14:textFill>
              </w:rPr>
              <w:t>〔2024〕</w:t>
            </w:r>
            <w:r>
              <w:rPr>
                <w:rFonts w:hint="eastAsia" w:ascii="Times New Roman" w:hAnsi="Times New Roman" w:cs="Times New Roman"/>
                <w:bCs/>
                <w:color w:val="000000" w:themeColor="text1"/>
                <w14:textFill>
                  <w14:solidFill>
                    <w14:schemeClr w14:val="tx1"/>
                  </w14:solidFill>
                </w14:textFill>
              </w:rPr>
              <w:t>6号）相符。</w:t>
            </w:r>
          </w:p>
          <w:p w14:paraId="0B3AAEE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cs="Times New Roman"/>
                <w:b/>
                <w:bCs w:val="0"/>
                <w:color w:val="000000" w:themeColor="text1"/>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4、</w:t>
            </w:r>
            <w:r>
              <w:rPr>
                <w:rFonts w:hint="eastAsia" w:ascii="Times New Roman" w:hAnsi="Times New Roman" w:cs="Times New Roman"/>
                <w:b/>
                <w:bCs w:val="0"/>
                <w:color w:val="000000" w:themeColor="text1"/>
                <w:lang w:val="en-US" w:eastAsia="zh-CN"/>
                <w14:textFill>
                  <w14:solidFill>
                    <w14:schemeClr w14:val="tx1"/>
                  </w14:solidFill>
                </w14:textFill>
              </w:rPr>
              <w:t>与《海门区关于加强减污降碳协同推进重点行业绿色发展的实施方案》（海政办发〔2024〕27 号）的相符性分析</w:t>
            </w:r>
          </w:p>
          <w:p w14:paraId="34803A9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000000" w:themeColor="text1"/>
                <w:lang w:val="en-US" w:eastAsia="zh-CN"/>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对照</w:t>
            </w:r>
            <w:r>
              <w:rPr>
                <w:rFonts w:hint="eastAsia" w:ascii="Times New Roman" w:hAnsi="Times New Roman" w:cs="Times New Roman"/>
                <w:bCs/>
                <w:color w:val="000000" w:themeColor="text1"/>
                <w:lang w:val="en-US" w:eastAsia="zh-CN"/>
                <w14:textFill>
                  <w14:solidFill>
                    <w14:schemeClr w14:val="tx1"/>
                  </w14:solidFill>
                </w14:textFill>
              </w:rPr>
              <w:t>《海门区关于加强减污降碳协同推进重点行业绿色发展的实施方案》（海政办发〔2024〕27 号）：</w:t>
            </w:r>
            <w:r>
              <w:rPr>
                <w:rFonts w:hint="default" w:ascii="Times New Roman" w:hAnsi="Times New Roman" w:eastAsia="宋体" w:cs="Times New Roman"/>
                <w:snapToGrid w:val="0"/>
                <w:color w:val="000000" w:themeColor="text1"/>
                <w:sz w:val="21"/>
                <w:szCs w:val="21"/>
                <w14:textFill>
                  <w14:solidFill>
                    <w14:schemeClr w14:val="tx1"/>
                  </w14:solidFill>
                </w14:textFill>
              </w:rPr>
              <w:t>到2025年，全区产业结构和能源消费结构明显优化，绿色发展水平显著提升，产业链耦合共生、资源能源高效利用的绿色低碳循环体系初步建立，产业绿色发展的体制机制逐步完善，主要污染物排放总量明显减少，碳排放强度合理优化，生态环境持续改善，美丽海门建设成效初步显现。</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此文件主要针对纺织印染、装备制造、电子信息、船舶海工、非金属矿物制品、生物医药、电力与热力供应七大重点行业推进绿色发展。</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本项目属于</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本项目</w:t>
            </w:r>
            <w:r>
              <w:rPr>
                <w:rFonts w:hint="default" w:ascii="Times New Roman" w:hAnsi="Times New Roman" w:cs="Times New Roman"/>
                <w:bCs/>
                <w:color w:val="000000" w:themeColor="text1"/>
                <w:sz w:val="21"/>
                <w:szCs w:val="21"/>
                <w:lang w:val="en-US" w:eastAsia="zh-CN"/>
                <w14:textFill>
                  <w14:solidFill>
                    <w14:schemeClr w14:val="tx1"/>
                  </w14:solidFill>
                </w14:textFill>
              </w:rPr>
              <w:t>利用自有土地和</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厂房从事生产，提高工艺技术，减少污染物的排放；此外项目生产过程中产生的</w:t>
            </w:r>
            <w:r>
              <w:rPr>
                <w:rFonts w:hint="default" w:ascii="Times New Roman" w:hAnsi="Times New Roman" w:cs="Times New Roman"/>
                <w:bCs/>
                <w:color w:val="000000" w:themeColor="text1"/>
                <w:sz w:val="21"/>
                <w:szCs w:val="21"/>
                <w:lang w:val="en-US" w:eastAsia="zh-CN"/>
                <w14:textFill>
                  <w14:solidFill>
                    <w14:schemeClr w14:val="tx1"/>
                  </w14:solidFill>
                </w14:textFill>
              </w:rPr>
              <w:t>天然气燃烧废气经低氮燃烧装置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处理后通过</w:t>
            </w:r>
            <w:r>
              <w:rPr>
                <w:rFonts w:hint="default" w:ascii="Times New Roman" w:hAnsi="Times New Roman" w:cs="Times New Roman"/>
                <w:bCs/>
                <w:color w:val="000000" w:themeColor="text1"/>
                <w:sz w:val="21"/>
                <w:szCs w:val="21"/>
                <w:lang w:val="en-US" w:eastAsia="zh-CN"/>
                <w14:textFill>
                  <w14:solidFill>
                    <w14:schemeClr w14:val="tx1"/>
                  </w14:solidFill>
                </w14:textFill>
              </w:rPr>
              <w:t>高空</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排放；生活污水依托厂区化粪池预处理后接管排入</w:t>
            </w:r>
            <w:r>
              <w:rPr>
                <w:rFonts w:hint="eastAsia" w:ascii="Times New Roman" w:hAnsi="Times New Roman" w:cs="Times New Roman"/>
                <w:bCs/>
                <w:color w:val="000000" w:themeColor="text1"/>
                <w:sz w:val="21"/>
                <w:szCs w:val="21"/>
                <w:lang w:val="en-US" w:eastAsia="zh-CN"/>
                <w14:textFill>
                  <w14:solidFill>
                    <w14:schemeClr w14:val="tx1"/>
                  </w14:solidFill>
                </w14:textFill>
              </w:rPr>
              <w:t>污水处理厂</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处理；固废均采取有效措施处理，生活垃圾统一收集无害化处置，不会污染外环境。</w:t>
            </w:r>
            <w:r>
              <w:rPr>
                <w:rFonts w:hint="eastAsia" w:ascii="Times New Roman" w:hAnsi="Times New Roman" w:cs="Times New Roman"/>
                <w:bCs/>
                <w:color w:val="000000" w:themeColor="text1"/>
                <w14:textFill>
                  <w14:solidFill>
                    <w14:schemeClr w14:val="tx1"/>
                  </w14:solidFill>
                </w14:textFill>
              </w:rPr>
              <w:t>因此，本项目与</w:t>
            </w:r>
            <w:r>
              <w:rPr>
                <w:rFonts w:hint="eastAsia" w:ascii="Times New Roman" w:hAnsi="Times New Roman" w:cs="Times New Roman"/>
                <w:bCs/>
                <w:color w:val="000000" w:themeColor="text1"/>
                <w:lang w:val="en-US" w:eastAsia="zh-CN"/>
                <w14:textFill>
                  <w14:solidFill>
                    <w14:schemeClr w14:val="tx1"/>
                  </w14:solidFill>
                </w14:textFill>
              </w:rPr>
              <w:t>《海门区关于加强减污降碳协同推进重点行业绿色发展的实施方案》（海政办发〔2024〕27 号）相符。</w:t>
            </w:r>
          </w:p>
          <w:p w14:paraId="000FAC3B">
            <w:pPr>
              <w:snapToGrid w:val="0"/>
              <w:spacing w:line="360" w:lineRule="auto"/>
              <w:ind w:firstLine="422" w:firstLineChars="200"/>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4、与《关于加强高耗能、高排放建设项目生态环境源头防控的指导意见》（环环评</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〔2021〕45号</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）相符性分析</w:t>
            </w:r>
          </w:p>
          <w:p w14:paraId="2B8A7E43">
            <w:pPr>
              <w:snapToGrid w:val="0"/>
              <w:spacing w:line="360" w:lineRule="auto"/>
              <w:ind w:firstLine="420" w:firstLineChars="200"/>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本项目属于</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，不属于《关于加强高耗能、高排放建设项目生态环境源头防控的指导意见》（环环评</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〔2021〕45号</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）管控的两高行业，对照《省生态环境厅报送高耗能、高排放项目清单的通知》，本项目不属于两高项目清单范畴。</w:t>
            </w:r>
          </w:p>
          <w:p w14:paraId="14D590B7">
            <w:pPr>
              <w:pStyle w:val="51"/>
              <w:keepNext w:val="0"/>
              <w:keepLines w:val="0"/>
              <w:pageBreakBefore w:val="0"/>
              <w:widowControl/>
              <w:kinsoku/>
              <w:wordWrap/>
              <w:overflowPunct/>
              <w:topLinePunct w:val="0"/>
              <w:autoSpaceDE w:val="0"/>
              <w:autoSpaceDN w:val="0"/>
              <w:bidi w:val="0"/>
              <w:adjustRightInd w:val="0"/>
              <w:snapToGrid/>
              <w:spacing w:line="360" w:lineRule="auto"/>
              <w:ind w:firstLine="422" w:firstLineChars="200"/>
              <w:jc w:val="both"/>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、与</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《南通市地表水工业特征污染物专项整治工作实施方案》</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通环办〔2023〕48号</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相符性分析</w:t>
            </w:r>
          </w:p>
          <w:p w14:paraId="4B192346">
            <w:pPr>
              <w:snapToGrid w:val="0"/>
              <w:spacing w:line="360" w:lineRule="auto"/>
              <w:ind w:firstLine="420" w:firstLineChars="200"/>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本项目厂区内已做到“雨污分流、清污分流”，企业“一企一管，明管（专管）输送”，并且本项目产生的废水为生活污水</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和锅炉废水</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实施方案中涉及的工业特征污染物</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，因此，本项目与实施方案环保要求相符。</w:t>
            </w:r>
          </w:p>
          <w:p w14:paraId="4B4C2469">
            <w:pPr>
              <w:spacing w:line="360" w:lineRule="auto"/>
              <w:ind w:firstLine="422" w:firstLineChars="200"/>
              <w:rPr>
                <w:rFonts w:hint="default" w:ascii="Times New Roman" w:hAnsi="Times New Roman" w:eastAsia="宋体" w:cs="Times New Roman"/>
                <w:b/>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bCs w:val="0"/>
                <w:color w:val="000000" w:themeColor="text1"/>
                <w:kern w:val="0"/>
                <w:sz w:val="21"/>
                <w:szCs w:val="21"/>
                <w:lang w:val="en-US" w:eastAsia="zh-CN" w:bidi="ar-SA"/>
                <w14:textFill>
                  <w14:solidFill>
                    <w14:schemeClr w14:val="tx1"/>
                  </w14:solidFill>
                </w14:textFill>
              </w:rPr>
              <w:t>6</w:t>
            </w:r>
            <w:r>
              <w:rPr>
                <w:rFonts w:hint="default" w:ascii="Times New Roman" w:hAnsi="Times New Roman" w:eastAsia="宋体" w:cs="Times New Roman"/>
                <w:b/>
                <w:bCs w:val="0"/>
                <w:color w:val="000000" w:themeColor="text1"/>
                <w:kern w:val="0"/>
                <w:sz w:val="21"/>
                <w:szCs w:val="21"/>
                <w:lang w:val="en-US" w:eastAsia="zh-CN" w:bidi="ar-SA"/>
                <w14:textFill>
                  <w14:solidFill>
                    <w14:schemeClr w14:val="tx1"/>
                  </w14:solidFill>
                </w14:textFill>
              </w:rPr>
              <w:t>、《南通市“十四五”生态环境保护规划》相符性分析</w:t>
            </w:r>
          </w:p>
          <w:p w14:paraId="02C55970">
            <w:pPr>
              <w:spacing w:line="360" w:lineRule="auto"/>
              <w:ind w:firstLine="420" w:firstLineChars="200"/>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不占据生态空间、农业空间和城镇空间，不属于永久基本农田，不属于生态保护红线范围，位于城镇开发边界以内；本项目不属于管控的两高行业；本项目</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不属于电镀项目，无涂料使用，</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因此与《</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南通市“十四五”生态环境保护规划</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》中推进的重点任务要求相符。</w:t>
            </w:r>
          </w:p>
          <w:p w14:paraId="61463728">
            <w:pPr>
              <w:spacing w:line="360" w:lineRule="auto"/>
              <w:ind w:firstLine="422" w:firstLineChars="200"/>
              <w:rPr>
                <w:rFonts w:hint="eastAsia" w:ascii="Times New Roman" w:hAnsi="Times New Roman"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lang w:val="en-US" w:eastAsia="zh-CN"/>
                <w14:textFill>
                  <w14:solidFill>
                    <w14:schemeClr w14:val="tx1"/>
                  </w14:solidFill>
                </w14:textFill>
              </w:rPr>
              <w:t>7、《南通市空气质量持续改善行动计划实施方案》（通政发</w:t>
            </w:r>
            <w:r>
              <w:rPr>
                <w:rFonts w:hint="eastAsia" w:ascii="Times New Roman" w:hAnsi="Times New Roman" w:cs="Times New Roman"/>
                <w:b/>
                <w:bCs w:val="0"/>
                <w:color w:val="000000" w:themeColor="text1"/>
                <w:lang w:val="en-US" w:eastAsia="zh-CN"/>
                <w14:textFill>
                  <w14:solidFill>
                    <w14:schemeClr w14:val="tx1"/>
                  </w14:solidFill>
                </w14:textFill>
              </w:rPr>
              <w:t>〔2024〕</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24号）相符性分析</w:t>
            </w:r>
          </w:p>
          <w:p w14:paraId="4389CA14">
            <w:pPr>
              <w:spacing w:line="360" w:lineRule="auto"/>
              <w:ind w:firstLine="422" w:firstLineChars="200"/>
              <w:jc w:val="cente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lang w:val="en-US" w:eastAsia="zh-CN"/>
                <w14:textFill>
                  <w14:solidFill>
                    <w14:schemeClr w14:val="tx1"/>
                  </w14:solidFill>
                </w14:textFill>
              </w:rPr>
              <w:t>表1-9 本项目与南通市空气质量持续改善行动计划实施方案相符性分析</w:t>
            </w:r>
          </w:p>
          <w:tbl>
            <w:tblPr>
              <w:tblStyle w:val="4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3695"/>
              <w:gridCol w:w="2230"/>
              <w:gridCol w:w="697"/>
            </w:tblGrid>
            <w:tr w14:paraId="41F59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tcBorders>
                    <w:tl2br w:val="nil"/>
                    <w:tr2bl w:val="nil"/>
                  </w:tcBorders>
                  <w:vAlign w:val="center"/>
                </w:tcPr>
                <w:p w14:paraId="2EFD3077">
                  <w:pPr>
                    <w:spacing w:line="240" w:lineRule="auto"/>
                    <w:jc w:val="cente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相关要求</w:t>
                  </w:r>
                </w:p>
              </w:tc>
              <w:tc>
                <w:tcPr>
                  <w:tcW w:w="3695" w:type="dxa"/>
                  <w:tcBorders>
                    <w:tl2br w:val="nil"/>
                    <w:tr2bl w:val="nil"/>
                  </w:tcBorders>
                  <w:vAlign w:val="center"/>
                </w:tcPr>
                <w:p w14:paraId="766DC0A9">
                  <w:pPr>
                    <w:spacing w:line="240" w:lineRule="auto"/>
                    <w:jc w:val="cente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项目情况</w:t>
                  </w:r>
                </w:p>
              </w:tc>
              <w:tc>
                <w:tcPr>
                  <w:tcW w:w="2230" w:type="dxa"/>
                  <w:tcBorders>
                    <w:tl2br w:val="nil"/>
                    <w:tr2bl w:val="nil"/>
                  </w:tcBorders>
                  <w:vAlign w:val="center"/>
                </w:tcPr>
                <w:p w14:paraId="14973A82">
                  <w:pPr>
                    <w:spacing w:line="240" w:lineRule="auto"/>
                    <w:jc w:val="cente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相符性</w:t>
                  </w:r>
                </w:p>
              </w:tc>
              <w:tc>
                <w:tcPr>
                  <w:tcW w:w="697" w:type="dxa"/>
                  <w:tcBorders>
                    <w:tl2br w:val="nil"/>
                    <w:tr2bl w:val="nil"/>
                  </w:tcBorders>
                  <w:vAlign w:val="center"/>
                </w:tcPr>
                <w:p w14:paraId="2C279AD1">
                  <w:pPr>
                    <w:spacing w:line="240" w:lineRule="auto"/>
                    <w:jc w:val="cente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是否相符</w:t>
                  </w:r>
                </w:p>
              </w:tc>
            </w:tr>
            <w:tr w14:paraId="66C21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vMerge w:val="restart"/>
                  <w:tcBorders>
                    <w:tl2br w:val="nil"/>
                    <w:tr2bl w:val="nil"/>
                  </w:tcBorders>
                  <w:vAlign w:val="center"/>
                </w:tcPr>
                <w:p w14:paraId="491C8EBD">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优化产业结构，促进产业产品绿色升级</w:t>
                  </w:r>
                </w:p>
              </w:tc>
              <w:tc>
                <w:tcPr>
                  <w:tcW w:w="3695" w:type="dxa"/>
                  <w:tcBorders>
                    <w:tl2br w:val="nil"/>
                    <w:tr2bl w:val="nil"/>
                  </w:tcBorders>
                  <w:vAlign w:val="center"/>
                </w:tcPr>
                <w:p w14:paraId="56A97731">
                  <w:pPr>
                    <w:spacing w:line="240" w:lineRule="auto"/>
                    <w:jc w:val="both"/>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坚决遏制“两高一低”项目盲目上马。按照省统一部署，落实“两高”项目管理目录，对“两高一低”项目实行清单管理、分类处置、动态监控。严禁核准或备案焦化、电解铝、水泥（熟料）、平板玻璃（不含光伏平板玻璃）和炼化（纳入国家产业规划除外）等行业新增产能的项目，严格钢铁冶炼项目备案管理。</w:t>
                  </w:r>
                </w:p>
              </w:tc>
              <w:tc>
                <w:tcPr>
                  <w:tcW w:w="2230" w:type="dxa"/>
                  <w:tcBorders>
                    <w:tl2br w:val="nil"/>
                    <w:tr2bl w:val="nil"/>
                  </w:tcBorders>
                  <w:vAlign w:val="center"/>
                </w:tcPr>
                <w:p w14:paraId="7BADEDD2">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本项目属于</w:t>
                  </w: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D4430 热力生产和供应</w:t>
                  </w: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，不属于上述两高行业</w:t>
                  </w:r>
                </w:p>
              </w:tc>
              <w:tc>
                <w:tcPr>
                  <w:tcW w:w="697" w:type="dxa"/>
                  <w:tcBorders>
                    <w:tl2br w:val="nil"/>
                    <w:tr2bl w:val="nil"/>
                  </w:tcBorders>
                  <w:vAlign w:val="center"/>
                </w:tcPr>
                <w:p w14:paraId="09BEAE78">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相符</w:t>
                  </w:r>
                </w:p>
              </w:tc>
            </w:tr>
            <w:tr w14:paraId="524BC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vMerge w:val="continue"/>
                  <w:tcBorders>
                    <w:tl2br w:val="nil"/>
                    <w:tr2bl w:val="nil"/>
                  </w:tcBorders>
                  <w:vAlign w:val="center"/>
                </w:tcPr>
                <w:p w14:paraId="179083C4">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3695" w:type="dxa"/>
                  <w:tcBorders>
                    <w:tl2br w:val="nil"/>
                    <w:tr2bl w:val="nil"/>
                  </w:tcBorders>
                  <w:vAlign w:val="center"/>
                </w:tcPr>
                <w:p w14:paraId="09AA8CF5">
                  <w:pPr>
                    <w:spacing w:line="240" w:lineRule="auto"/>
                    <w:jc w:val="both"/>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加快退出重点行业落后产能。落实《产业结构调整指导目录（2024年本）》，依法依规关停淘汰类落后生产工艺装备，推进全市每小时2吨蒸汽及以下生物质锅炉尽快淘汰。</w:t>
                  </w:r>
                </w:p>
              </w:tc>
              <w:tc>
                <w:tcPr>
                  <w:tcW w:w="2230" w:type="dxa"/>
                  <w:tcBorders>
                    <w:tl2br w:val="nil"/>
                    <w:tr2bl w:val="nil"/>
                  </w:tcBorders>
                  <w:vAlign w:val="center"/>
                </w:tcPr>
                <w:p w14:paraId="2A24D100">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本项目属于</w:t>
                  </w:r>
                  <w:r>
                    <w:rPr>
                      <w:rFonts w:hint="eastAsia" w:ascii="Times New Roman" w:hAnsi="Times New Roman" w:cs="Times New Roman"/>
                      <w:color w:val="000000" w:themeColor="text1"/>
                      <w:kern w:val="2"/>
                      <w:sz w:val="21"/>
                      <w:szCs w:val="21"/>
                      <w:lang w:val="en-US" w:eastAsia="zh-CN"/>
                      <w14:textFill>
                        <w14:solidFill>
                          <w14:schemeClr w14:val="tx1"/>
                        </w14:solidFill>
                      </w14:textFill>
                    </w:rPr>
                    <w:t>D4430 热力生产和供应，对照《产业结构调整指导目录（2024年）》，不属于淘汰类项目，本项目使用3台3t/h蒸汽锅炉。</w:t>
                  </w:r>
                </w:p>
              </w:tc>
              <w:tc>
                <w:tcPr>
                  <w:tcW w:w="697" w:type="dxa"/>
                  <w:tcBorders>
                    <w:tl2br w:val="nil"/>
                    <w:tr2bl w:val="nil"/>
                  </w:tcBorders>
                  <w:vAlign w:val="center"/>
                </w:tcPr>
                <w:p w14:paraId="4D8E29B0">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相符</w:t>
                  </w:r>
                </w:p>
              </w:tc>
            </w:tr>
            <w:tr w14:paraId="7421A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vMerge w:val="continue"/>
                  <w:tcBorders>
                    <w:tl2br w:val="nil"/>
                    <w:tr2bl w:val="nil"/>
                  </w:tcBorders>
                  <w:vAlign w:val="center"/>
                </w:tcPr>
                <w:p w14:paraId="37C8A601">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3695" w:type="dxa"/>
                  <w:tcBorders>
                    <w:tl2br w:val="nil"/>
                    <w:tr2bl w:val="nil"/>
                  </w:tcBorders>
                  <w:vAlign w:val="center"/>
                </w:tcPr>
                <w:p w14:paraId="6B3BD786">
                  <w:pPr>
                    <w:spacing w:line="240" w:lineRule="auto"/>
                    <w:jc w:val="both"/>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优化含VOCs原辅材料和产品结构，严格控制生产和使用高VOCs含量涂料、油墨、胶粘剂、清洗剂等项目。在家具、汽车零部件、工程机械、钢结构、船舶制造等工业涂装、包装印刷和电子等行业工艺环节中，大力推广使用低VOCs含量涂料，鼓励和推进全市汽车4S店、大型汽修厂实施全水性涂料替代。</w:t>
                  </w:r>
                </w:p>
              </w:tc>
              <w:tc>
                <w:tcPr>
                  <w:tcW w:w="2230" w:type="dxa"/>
                  <w:tcBorders>
                    <w:tl2br w:val="nil"/>
                    <w:tr2bl w:val="nil"/>
                  </w:tcBorders>
                  <w:vAlign w:val="center"/>
                </w:tcPr>
                <w:p w14:paraId="1144B548">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本项目不涉及</w:t>
                  </w:r>
                </w:p>
              </w:tc>
              <w:tc>
                <w:tcPr>
                  <w:tcW w:w="697" w:type="dxa"/>
                  <w:tcBorders>
                    <w:tl2br w:val="nil"/>
                    <w:tr2bl w:val="nil"/>
                  </w:tcBorders>
                  <w:vAlign w:val="center"/>
                </w:tcPr>
                <w:p w14:paraId="1B06DFDE">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相符</w:t>
                  </w:r>
                </w:p>
              </w:tc>
            </w:tr>
            <w:tr w14:paraId="5360B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vMerge w:val="restart"/>
                  <w:tcBorders>
                    <w:tl2br w:val="nil"/>
                    <w:tr2bl w:val="nil"/>
                  </w:tcBorders>
                  <w:vAlign w:val="center"/>
                </w:tcPr>
                <w:p w14:paraId="04F0352B">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优化能源结构，加速能源清洁低碳高效发展</w:t>
                  </w:r>
                </w:p>
              </w:tc>
              <w:tc>
                <w:tcPr>
                  <w:tcW w:w="3695" w:type="dxa"/>
                  <w:tcBorders>
                    <w:tl2br w:val="nil"/>
                    <w:tr2bl w:val="nil"/>
                  </w:tcBorders>
                  <w:vAlign w:val="center"/>
                </w:tcPr>
                <w:p w14:paraId="16E267ED">
                  <w:pPr>
                    <w:spacing w:line="240" w:lineRule="auto"/>
                    <w:jc w:val="both"/>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严格合理控制煤炭消费总量。合理控制煤炭消费增长，鼓励发电向高效、清洁机组倾斜。到2025年，全市煤炭消费占比55%左右。原则上不再新增自备燃煤机组，支持自备燃煤机组实施清洁能源替代。</w:t>
                  </w:r>
                </w:p>
              </w:tc>
              <w:tc>
                <w:tcPr>
                  <w:tcW w:w="2230" w:type="dxa"/>
                  <w:tcBorders>
                    <w:tl2br w:val="nil"/>
                    <w:tr2bl w:val="nil"/>
                  </w:tcBorders>
                  <w:vAlign w:val="center"/>
                </w:tcPr>
                <w:p w14:paraId="2C6B12E5">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本项目不涉及</w:t>
                  </w:r>
                </w:p>
              </w:tc>
              <w:tc>
                <w:tcPr>
                  <w:tcW w:w="697" w:type="dxa"/>
                  <w:tcBorders>
                    <w:tl2br w:val="nil"/>
                    <w:tr2bl w:val="nil"/>
                  </w:tcBorders>
                  <w:vAlign w:val="center"/>
                </w:tcPr>
                <w:p w14:paraId="58E27622">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相符</w:t>
                  </w:r>
                </w:p>
              </w:tc>
            </w:tr>
            <w:tr w14:paraId="41330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vMerge w:val="continue"/>
                  <w:tcBorders>
                    <w:tl2br w:val="nil"/>
                    <w:tr2bl w:val="nil"/>
                  </w:tcBorders>
                  <w:vAlign w:val="center"/>
                </w:tcPr>
                <w:p w14:paraId="2734BA65">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3695" w:type="dxa"/>
                  <w:tcBorders>
                    <w:tl2br w:val="nil"/>
                    <w:tr2bl w:val="nil"/>
                  </w:tcBorders>
                  <w:vAlign w:val="center"/>
                </w:tcPr>
                <w:p w14:paraId="12E23AAB">
                  <w:pPr>
                    <w:spacing w:line="240" w:lineRule="auto"/>
                    <w:jc w:val="both"/>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推进燃煤锅炉关新整合和工业炉窑清洁能源替代。全面开展锅炉和工业炉窑简易低效污染治理设施排查，通过清洁能源替代、升级改造、整合退出等方式分类处置。到2025年，淘汰每小时35蒸吨及以下的燃煤锅炉，基本淘汰茶水炉、经营性炉灶、储粮烘干设备、农产品加工等燃煤设施。原则上不再新建除集中供暖外的燃煤锅炉，不再新增燃料类煤气发生炉。</w:t>
                  </w:r>
                </w:p>
              </w:tc>
              <w:tc>
                <w:tcPr>
                  <w:tcW w:w="2230" w:type="dxa"/>
                  <w:tcBorders>
                    <w:tl2br w:val="nil"/>
                    <w:tr2bl w:val="nil"/>
                  </w:tcBorders>
                  <w:vAlign w:val="center"/>
                </w:tcPr>
                <w:p w14:paraId="6B5196A5">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本项目使用3台3t/h蒸汽锅炉，使用燃料为天然气，符合清洁能源要求</w:t>
                  </w:r>
                </w:p>
              </w:tc>
              <w:tc>
                <w:tcPr>
                  <w:tcW w:w="697" w:type="dxa"/>
                  <w:tcBorders>
                    <w:tl2br w:val="nil"/>
                    <w:tr2bl w:val="nil"/>
                  </w:tcBorders>
                  <w:vAlign w:val="center"/>
                </w:tcPr>
                <w:p w14:paraId="1E6CD149">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相符</w:t>
                  </w:r>
                </w:p>
              </w:tc>
            </w:tr>
            <w:tr w14:paraId="224D6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tcBorders>
                    <w:tl2br w:val="nil"/>
                    <w:tr2bl w:val="nil"/>
                  </w:tcBorders>
                  <w:vAlign w:val="center"/>
                </w:tcPr>
                <w:p w14:paraId="6625FA68">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强化多污染物减排，切实降低排放强度</w:t>
                  </w:r>
                </w:p>
              </w:tc>
              <w:tc>
                <w:tcPr>
                  <w:tcW w:w="3695" w:type="dxa"/>
                  <w:tcBorders>
                    <w:tl2br w:val="nil"/>
                    <w:tr2bl w:val="nil"/>
                  </w:tcBorders>
                  <w:vAlign w:val="center"/>
                </w:tcPr>
                <w:p w14:paraId="130E25CC">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推进重点行业超低排放与提标改造。有序推进铸造垃圾焚烧发电、玻璃、有色、砖瓦、水泥等行业深度治理。到2024年底，全市水泥和焦化企业基本完成超低排放改造。实施重点行业绩效等级提升行动。推进燃气锅炉低氮燃烧改造</w:t>
                  </w:r>
                </w:p>
              </w:tc>
              <w:tc>
                <w:tcPr>
                  <w:tcW w:w="2230" w:type="dxa"/>
                  <w:tcBorders>
                    <w:tl2br w:val="nil"/>
                    <w:tr2bl w:val="nil"/>
                  </w:tcBorders>
                  <w:vAlign w:val="center"/>
                </w:tcPr>
                <w:p w14:paraId="29522923">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本项目属于D4430 热力生产和供应，不属于上述重点行业，项目使用蒸汽锅炉配备有低氮燃烧装置。</w:t>
                  </w:r>
                </w:p>
              </w:tc>
              <w:tc>
                <w:tcPr>
                  <w:tcW w:w="697" w:type="dxa"/>
                  <w:tcBorders>
                    <w:tl2br w:val="nil"/>
                    <w:tr2bl w:val="nil"/>
                  </w:tcBorders>
                  <w:vAlign w:val="center"/>
                </w:tcPr>
                <w:p w14:paraId="553D36FF">
                  <w:pPr>
                    <w:spacing w:line="240" w:lineRule="auto"/>
                    <w:jc w:val="cente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相符</w:t>
                  </w:r>
                </w:p>
              </w:tc>
            </w:tr>
          </w:tbl>
          <w:p w14:paraId="26883013">
            <w:pPr>
              <w:spacing w:line="360" w:lineRule="auto"/>
              <w:ind w:firstLine="420" w:firstLineChars="200"/>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r>
    </w:tbl>
    <w:p w14:paraId="6B709B95">
      <w:pPr>
        <w:pStyle w:val="37"/>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二、建设项目工程分析</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14:paraId="22EC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Align w:val="center"/>
          </w:tcPr>
          <w:p w14:paraId="39A88DE5">
            <w:pPr>
              <w:spacing w:line="240" w:lineRule="auto"/>
              <w:jc w:val="center"/>
              <w:outlineLvl w:val="0"/>
              <w:rPr>
                <w:rFonts w:hint="default" w:ascii="Times New Roman" w:hAnsi="Times New Roman" w:eastAsia="黑体" w:cs="Times New Roman"/>
                <w:color w:val="000000" w:themeColor="text1"/>
                <w:sz w:val="30"/>
                <w:vertAlign w:val="baseline"/>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建设内</w:t>
            </w:r>
            <w:r>
              <w:rPr>
                <w:rFonts w:hint="eastAsia" w:ascii="Times New Roman" w:hAnsi="Times New Roman" w:cs="Times New Roman"/>
                <w:color w:val="000000" w:themeColor="text1"/>
                <w:sz w:val="21"/>
                <w:szCs w:val="21"/>
                <w:lang w:val="en-US" w:eastAsia="zh-CN"/>
                <w14:textFill>
                  <w14:solidFill>
                    <w14:schemeClr w14:val="tx1"/>
                  </w14:solidFill>
                </w14:textFill>
              </w:rPr>
              <w:t>容</w:t>
            </w:r>
          </w:p>
        </w:tc>
        <w:tc>
          <w:tcPr>
            <w:tcW w:w="8642" w:type="dxa"/>
          </w:tcPr>
          <w:p w14:paraId="488BA44E">
            <w:pPr>
              <w:spacing w:line="360" w:lineRule="auto"/>
              <w:ind w:left="434"/>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1、项目由来</w:t>
            </w:r>
          </w:p>
          <w:p w14:paraId="2B423DD6">
            <w:pPr>
              <w:adjustRightInd w:val="0"/>
              <w:snapToGrid w:val="0"/>
              <w:spacing w:line="360" w:lineRule="auto"/>
              <w:ind w:firstLine="420" w:firstLineChars="20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南通之禾时装有限公司（以下简称之禾公司）始建于2013年，之禾公司老厂区位于南通市海门区海门街道通源路631号，2020年，之禾公司在原有地址（老厂区）北侧取得土地面积15243平方米，</w:t>
            </w:r>
            <w:r>
              <w:rPr>
                <w:rFonts w:hint="eastAsia" w:ascii="Times New Roman" w:hAnsi="Times New Roman" w:cs="Times New Roman"/>
                <w:color w:val="000000" w:themeColor="text1"/>
                <w:sz w:val="21"/>
                <w:szCs w:val="21"/>
                <w:lang w:val="en-US" w:eastAsia="zh-CN"/>
                <w14:textFill>
                  <w14:solidFill>
                    <w14:schemeClr w14:val="tx1"/>
                  </w14:solidFill>
                </w14:textFill>
              </w:rPr>
              <w:t>投资4亿元人民币，</w:t>
            </w:r>
            <w:r>
              <w:rPr>
                <w:rFonts w:hint="default" w:ascii="Times New Roman" w:hAnsi="Times New Roman" w:cs="Times New Roman"/>
                <w:color w:val="000000" w:themeColor="text1"/>
                <w:sz w:val="21"/>
                <w:szCs w:val="21"/>
                <w:lang w:val="en-US" w:eastAsia="zh-CN"/>
                <w14:textFill>
                  <w14:solidFill>
                    <w14:schemeClr w14:val="tx1"/>
                  </w14:solidFill>
                </w14:textFill>
              </w:rPr>
              <w:t>新建</w:t>
            </w:r>
            <w:r>
              <w:rPr>
                <w:rFonts w:hint="eastAsia" w:ascii="Times New Roman" w:hAnsi="Times New Roman" w:cs="Times New Roman"/>
                <w:color w:val="000000" w:themeColor="text1"/>
                <w:sz w:val="21"/>
                <w:szCs w:val="21"/>
                <w:lang w:val="en-US" w:eastAsia="zh-CN"/>
                <w14:textFill>
                  <w14:solidFill>
                    <w14:schemeClr w14:val="tx1"/>
                  </w14:solidFill>
                </w14:textFill>
              </w:rPr>
              <w:t>厂房</w:t>
            </w:r>
            <w:r>
              <w:rPr>
                <w:rFonts w:hint="default" w:ascii="Times New Roman" w:hAnsi="Times New Roman" w:cs="Times New Roman"/>
                <w:color w:val="000000" w:themeColor="text1"/>
                <w:sz w:val="21"/>
                <w:szCs w:val="21"/>
                <w:lang w:val="en-US" w:eastAsia="zh-CN"/>
                <w14:textFill>
                  <w14:solidFill>
                    <w14:schemeClr w14:val="tx1"/>
                  </w14:solidFill>
                </w14:textFill>
              </w:rPr>
              <w:t>建筑面积约64000平方米</w:t>
            </w:r>
            <w:r>
              <w:rPr>
                <w:rFonts w:hint="eastAsia" w:ascii="Times New Roman" w:hAnsi="Times New Roman" w:cs="Times New Roman"/>
                <w:color w:val="000000" w:themeColor="text1"/>
                <w:sz w:val="21"/>
                <w:szCs w:val="21"/>
                <w:lang w:val="en-US" w:eastAsia="zh-CN"/>
                <w14:textFill>
                  <w14:solidFill>
                    <w14:schemeClr w14:val="tx1"/>
                  </w14:solidFill>
                </w14:textFill>
              </w:rPr>
              <w:t>，项目用地投资强度1000万元/亩，拟购置设备平车、双针车等进行服装项目生产，主要生产工艺为验布、预缩、裁剪、缝制、检验、整烫、包装入库等，待项目全面达产后，在本区年应税销售额达到2亿元，年纳税总额2000万元。根据建设项目环境影响评价分类管理名录（2021年版），十五、纺织服装、服饰业18，《南通之禾时装有限公司生产时装新建项目》（项目代码：2101-320684-89-01-881363）不涉及染色、印花、喷墨印花、数码印花、洗水及砂洗工序，无需编制建设项目环境影响报告书、环境影响报告表或者填报环境影响登记表，无需办理环境影响评价、竣工环保验收、排污许可证申领手续。该项目建成后尚未投入生产。</w:t>
            </w:r>
          </w:p>
          <w:p w14:paraId="083C8D68">
            <w:pPr>
              <w:adjustRightInd w:val="0"/>
              <w:snapToGrid w:val="0"/>
              <w:spacing w:line="360" w:lineRule="auto"/>
              <w:ind w:firstLine="420" w:firstLineChars="20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之禾公司</w:t>
            </w:r>
            <w:r>
              <w:rPr>
                <w:rFonts w:hint="default" w:ascii="Times New Roman" w:hAnsi="Times New Roman" w:cs="Times New Roman"/>
                <w:color w:val="000000" w:themeColor="text1"/>
                <w:sz w:val="21"/>
                <w:szCs w:val="21"/>
                <w:lang w:val="en-US" w:eastAsia="zh-CN"/>
                <w14:textFill>
                  <w14:solidFill>
                    <w14:schemeClr w14:val="tx1"/>
                  </w14:solidFill>
                </w14:textFill>
              </w:rPr>
              <w:t>老厂区在生产中需要蒸汽整理面料和整烫产品，但由于处于南通海门鑫源热电有限公司（以下简称鑫源热电）的</w:t>
            </w:r>
            <w:r>
              <w:rPr>
                <w:rFonts w:hint="eastAsia" w:ascii="Times New Roman" w:hAnsi="Times New Roman" w:cs="Times New Roman"/>
                <w:color w:val="000000" w:themeColor="text1"/>
                <w:sz w:val="21"/>
                <w:szCs w:val="21"/>
                <w:lang w:val="en-US" w:eastAsia="zh-CN"/>
                <w14:textFill>
                  <w14:solidFill>
                    <w14:schemeClr w14:val="tx1"/>
                  </w14:solidFill>
                </w14:textFill>
              </w:rPr>
              <w:t>供汽</w:t>
            </w:r>
            <w:r>
              <w:rPr>
                <w:rFonts w:hint="default" w:ascii="Times New Roman" w:hAnsi="Times New Roman" w:cs="Times New Roman"/>
                <w:color w:val="000000" w:themeColor="text1"/>
                <w:sz w:val="21"/>
                <w:szCs w:val="21"/>
                <w:lang w:val="en-US" w:eastAsia="zh-CN"/>
                <w14:textFill>
                  <w14:solidFill>
                    <w14:schemeClr w14:val="tx1"/>
                  </w14:solidFill>
                </w14:textFill>
              </w:rPr>
              <w:t>末端，蒸汽供给十分不稳定，含水量太大，蒸汽质量达不到产品质量的要求，</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且在开始生产前必须对蒸汽管道进行放水放汽处理，造成了资源浪费，</w:t>
            </w:r>
            <w:r>
              <w:rPr>
                <w:rFonts w:hint="default" w:ascii="Times New Roman" w:hAnsi="Times New Roman" w:cs="Times New Roman"/>
                <w:color w:val="000000" w:themeColor="text1"/>
                <w:sz w:val="21"/>
                <w:szCs w:val="21"/>
                <w:lang w:val="en-US" w:eastAsia="zh-CN"/>
                <w14:textFill>
                  <w14:solidFill>
                    <w14:schemeClr w14:val="tx1"/>
                  </w14:solidFill>
                </w14:textFill>
              </w:rPr>
              <w:t>严重影响到生产及成品销售，也间接影响公司的销售额。另由于鑫源热电经常检修和放假而停止</w:t>
            </w:r>
            <w:r>
              <w:rPr>
                <w:rFonts w:hint="eastAsia" w:ascii="Times New Roman" w:hAnsi="Times New Roman" w:cs="Times New Roman"/>
                <w:color w:val="000000" w:themeColor="text1"/>
                <w:sz w:val="21"/>
                <w:szCs w:val="21"/>
                <w:lang w:val="en-US" w:eastAsia="zh-CN"/>
                <w14:textFill>
                  <w14:solidFill>
                    <w14:schemeClr w14:val="tx1"/>
                  </w14:solidFill>
                </w14:textFill>
              </w:rPr>
              <w:t>供汽</w:t>
            </w:r>
            <w:r>
              <w:rPr>
                <w:rFonts w:hint="default" w:ascii="Times New Roman" w:hAnsi="Times New Roman" w:cs="Times New Roman"/>
                <w:color w:val="000000" w:themeColor="text1"/>
                <w:sz w:val="21"/>
                <w:szCs w:val="21"/>
                <w:lang w:val="en-US" w:eastAsia="zh-CN"/>
                <w14:textFill>
                  <w14:solidFill>
                    <w14:schemeClr w14:val="tx1"/>
                  </w14:solidFill>
                </w14:textFill>
              </w:rPr>
              <w:t>，严重影响老厂区的正常生产计划和工作进度。新厂区（本项目所在地）的生产工艺、原辅材料等与老厂区一致，规模是老厂区的一倍，同样会出现这种情况，甚至因蒸汽质量而引发的问题会更加突出。</w:t>
            </w:r>
          </w:p>
          <w:p w14:paraId="2802F49C">
            <w:pPr>
              <w:adjustRightInd w:val="0"/>
              <w:snapToGrid w:val="0"/>
              <w:spacing w:line="360" w:lineRule="auto"/>
              <w:ind w:firstLine="420" w:firstLineChars="20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为此，之禾公司申请本次技改，在新厂区（本项目所在地）安装低氮节能低于国家排放标准的环保天然气锅炉：3台3吨蒸汽锅炉，保障项目的正常高效运营，并承诺不使用国家淘汰类、限制类设备，且使用二级及以上能效设备。</w:t>
            </w:r>
          </w:p>
          <w:p w14:paraId="31AC0934">
            <w:pPr>
              <w:adjustRightInd w:val="0"/>
              <w:snapToGrid w:val="0"/>
              <w:spacing w:line="360" w:lineRule="auto"/>
              <w:ind w:firstLine="420" w:firstLineChars="20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海门经济技术开发区管理委员会、海门经济技术开发区安全生产监督管理局、海门街道生态环境办公室、海门经济技术开发区管理委员会发展局、南通市海门生态环境局、南通市海门区发展和改革委员会等相关部门针对之禾公司的申请出具了反馈意见函（见附件），建议之禾公司出具相关证明材料并经专业论证后即可通过该申请。之禾公司组织编制了《南通之禾时装有限公司生产时装技改项目可行性研究报告》并</w:t>
            </w:r>
            <w:r>
              <w:rPr>
                <w:rFonts w:hint="eastAsia" w:ascii="Times New Roman" w:hAnsi="Times New Roman" w:cs="Times New Roman"/>
                <w:color w:val="000000" w:themeColor="text1"/>
                <w:sz w:val="21"/>
                <w:szCs w:val="21"/>
                <w:lang w:val="en-US" w:eastAsia="zh-CN"/>
                <w14:textFill>
                  <w14:solidFill>
                    <w14:schemeClr w14:val="tx1"/>
                  </w14:solidFill>
                </w14:textFill>
              </w:rPr>
              <w:t>通过了</w:t>
            </w:r>
            <w:r>
              <w:rPr>
                <w:rFonts w:hint="default" w:ascii="Times New Roman" w:hAnsi="Times New Roman" w:cs="Times New Roman"/>
                <w:color w:val="000000" w:themeColor="text1"/>
                <w:sz w:val="21"/>
                <w:szCs w:val="21"/>
                <w:lang w:val="en-US" w:eastAsia="zh-CN"/>
                <w14:textFill>
                  <w14:solidFill>
                    <w14:schemeClr w14:val="tx1"/>
                  </w14:solidFill>
                </w14:textFill>
              </w:rPr>
              <w:t>专家评审（相关材料见附件）。</w:t>
            </w:r>
          </w:p>
          <w:p w14:paraId="68A7CD16">
            <w:pPr>
              <w:adjustRightInd w:val="0"/>
              <w:snapToGrid w:val="0"/>
              <w:spacing w:line="360" w:lineRule="auto"/>
              <w:ind w:firstLine="420" w:firstLineChars="20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之禾公司投资1000万元，</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利用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新厂区现有土地</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进行技改，</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技改项目不新增用地</w:t>
            </w:r>
            <w:r>
              <w:rPr>
                <w:rFonts w:hint="default" w:ascii="Times New Roman" w:hAnsi="Times New Roman" w:cs="Times New Roman"/>
                <w:color w:val="000000" w:themeColor="text1"/>
                <w:sz w:val="21"/>
                <w:szCs w:val="21"/>
                <w:lang w:val="en-US" w:eastAsia="zh-CN"/>
                <w14:textFill>
                  <w14:solidFill>
                    <w14:schemeClr w14:val="tx1"/>
                  </w14:solidFill>
                </w14:textFill>
              </w:rPr>
              <w:t>，购置三台</w:t>
            </w:r>
            <w:r>
              <w:rPr>
                <w:rFonts w:hint="eastAsia" w:ascii="Times New Roman" w:hAnsi="Times New Roman" w:cs="Times New Roman"/>
                <w:color w:val="000000" w:themeColor="text1"/>
                <w:sz w:val="21"/>
                <w:szCs w:val="21"/>
                <w:lang w:val="en-US" w:eastAsia="zh-CN"/>
                <w14:textFill>
                  <w14:solidFill>
                    <w14:schemeClr w14:val="tx1"/>
                  </w14:solidFill>
                </w14:textFill>
              </w:rPr>
              <w:t>3T/H</w:t>
            </w:r>
            <w:r>
              <w:rPr>
                <w:rFonts w:hint="default" w:ascii="Times New Roman" w:hAnsi="Times New Roman" w:cs="Times New Roman"/>
                <w:color w:val="000000" w:themeColor="text1"/>
                <w:sz w:val="21"/>
                <w:szCs w:val="21"/>
                <w:lang w:val="en-US" w:eastAsia="zh-CN"/>
                <w14:textFill>
                  <w14:solidFill>
                    <w14:schemeClr w14:val="tx1"/>
                  </w14:solidFill>
                </w14:textFill>
              </w:rPr>
              <w:t>蒸汽锅炉及辅助设施设备</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生产中整理面料和整烫产品</w:t>
            </w:r>
            <w:r>
              <w:rPr>
                <w:rFonts w:hint="eastAsia" w:ascii="Times New Roman" w:hAnsi="Times New Roman" w:cs="Times New Roman"/>
                <w:color w:val="000000" w:themeColor="text1"/>
                <w:sz w:val="21"/>
                <w:szCs w:val="21"/>
                <w:lang w:val="en-US" w:eastAsia="zh-CN"/>
                <w14:textFill>
                  <w14:solidFill>
                    <w14:schemeClr w14:val="tx1"/>
                  </w14:solidFill>
                </w14:textFill>
              </w:rPr>
              <w:t>使用的蒸汽由原来的鑫源热电管道蒸汽改为自建锅炉供汽</w:t>
            </w:r>
            <w:r>
              <w:rPr>
                <w:rFonts w:hint="default" w:ascii="Times New Roman" w:hAnsi="Times New Roman" w:cs="Times New Roman"/>
                <w:color w:val="000000" w:themeColor="text1"/>
                <w:sz w:val="21"/>
                <w:szCs w:val="21"/>
                <w:lang w:val="en-US" w:eastAsia="zh-CN"/>
                <w14:textFill>
                  <w14:solidFill>
                    <w14:schemeClr w14:val="tx1"/>
                  </w14:solidFill>
                </w14:textFill>
              </w:rPr>
              <w:t>。项目已于海门经济技术开发区行政审批局备案，项目代码为2403-320657-89-02-876221。</w:t>
            </w:r>
          </w:p>
          <w:p w14:paraId="495EE0E3">
            <w:pPr>
              <w:adjustRightInd w:val="0"/>
              <w:snapToGrid w:val="0"/>
              <w:spacing w:line="360" w:lineRule="auto"/>
              <w:ind w:firstLine="420" w:firstLineChars="200"/>
              <w:jc w:val="left"/>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lang w:val="en-US" w:eastAsia="zh-CN"/>
                <w14:textFill>
                  <w14:solidFill>
                    <w14:schemeClr w14:val="tx1"/>
                  </w14:solidFill>
                </w14:textFill>
              </w:rPr>
              <w:t>根据《中华人民共和国环境保护法》、《中华人民共和国环境影响评价法》、《建设项目环境保护管理条例》等文件的规定，建设项目应当在开工建设前进行环境影响评价。对照《国民经济行业分类》（GB/T 4754-2017）</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项目属于</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D4430 热力生产和供应</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；对照《建设项目环境影响评价分类管理名录》，本项目属于“四十一、电力、热力生产和供应业 热力生产和供应工程（包括建设单位自建自用的供热工程）”，因此本项目需编制环境影响报告表。我公司接受委托</w:t>
            </w:r>
            <w:r>
              <w:rPr>
                <w:rFonts w:hint="default" w:ascii="Times New Roman" w:hAnsi="Times New Roman" w:eastAsia="宋体" w:cs="Times New Roman"/>
                <w:color w:val="000000" w:themeColor="text1"/>
                <w:szCs w:val="24"/>
                <w:lang w:val="en-US" w:eastAsia="zh-CN"/>
                <w14:textFill>
                  <w14:solidFill>
                    <w14:schemeClr w14:val="tx1"/>
                  </w14:solidFill>
                </w14:textFill>
              </w:rPr>
              <w:t>后，环评工作组进行了实地踏勘和资料收集，在工程分析的基础上，编制了本环境影响报告表。我单位接受委托后，认真研究了该项目的有关资料，在踏勘现场的社会、自然环境状况，调查、收集有关资料的基础上，根据项目所在区域的环境特征、结合工程污染特性等因素，编制了本项目环境影响报告表。通过环境影响评价，阐明本项目对周围环境影响的程度和范围，并提出环境污染控制措施，为项目的工程设计和环境管理提供科学依据，报请审批部门审批。</w:t>
            </w:r>
          </w:p>
          <w:p w14:paraId="138B9F81">
            <w:pPr>
              <w:spacing w:line="360" w:lineRule="auto"/>
              <w:ind w:left="434"/>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2、项目工程组成表</w:t>
            </w:r>
          </w:p>
          <w:p w14:paraId="71D05EB4">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表2-1  </w:t>
            </w:r>
            <w:r>
              <w:rPr>
                <w:rFonts w:hint="default" w:ascii="Times New Roman" w:hAnsi="Times New Roman" w:cs="Times New Roman"/>
                <w:b/>
                <w:color w:val="000000" w:themeColor="text1"/>
                <w:sz w:val="21"/>
                <w:szCs w:val="21"/>
                <w14:textFill>
                  <w14:solidFill>
                    <w14:schemeClr w14:val="tx1"/>
                  </w14:solidFill>
                </w14:textFill>
              </w:rPr>
              <w:t>项目主要工程建设内容</w:t>
            </w:r>
          </w:p>
          <w:tbl>
            <w:tblPr>
              <w:tblStyle w:val="42"/>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587"/>
              <w:gridCol w:w="352"/>
              <w:gridCol w:w="830"/>
              <w:gridCol w:w="1707"/>
              <w:gridCol w:w="1665"/>
              <w:gridCol w:w="1392"/>
              <w:gridCol w:w="1882"/>
            </w:tblGrid>
            <w:tr w14:paraId="3E7D78D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61" w:hRule="atLeast"/>
              </w:trPr>
              <w:tc>
                <w:tcPr>
                  <w:tcW w:w="349" w:type="pct"/>
                  <w:vMerge w:val="restart"/>
                  <w:noWrap w:val="0"/>
                  <w:vAlign w:val="center"/>
                </w:tcPr>
                <w:p w14:paraId="28324C54">
                  <w:pPr>
                    <w:pStyle w:val="239"/>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val="en-US"/>
                      <w14:textFill>
                        <w14:solidFill>
                          <w14:schemeClr w14:val="tx1"/>
                        </w14:solidFill>
                      </w14:textFill>
                    </w:rPr>
                    <w:t>工程</w:t>
                  </w:r>
                  <w:r>
                    <w:rPr>
                      <w:rFonts w:hint="default" w:ascii="Times New Roman" w:hAnsi="Times New Roman" w:cs="Times New Roman"/>
                      <w:b/>
                      <w:color w:val="000000" w:themeColor="text1"/>
                      <w:sz w:val="21"/>
                      <w:szCs w:val="21"/>
                      <w14:textFill>
                        <w14:solidFill>
                          <w14:schemeClr w14:val="tx1"/>
                        </w14:solidFill>
                      </w14:textFill>
                    </w:rPr>
                    <w:t>类别</w:t>
                  </w:r>
                </w:p>
              </w:tc>
              <w:tc>
                <w:tcPr>
                  <w:tcW w:w="702" w:type="pct"/>
                  <w:gridSpan w:val="2"/>
                  <w:vMerge w:val="restart"/>
                  <w:noWrap w:val="0"/>
                  <w:vAlign w:val="center"/>
                </w:tcPr>
                <w:p w14:paraId="2EEFB57C">
                  <w:pPr>
                    <w:pStyle w:val="239"/>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val="en-US"/>
                      <w14:textFill>
                        <w14:solidFill>
                          <w14:schemeClr w14:val="tx1"/>
                        </w14:solidFill>
                      </w14:textFill>
                    </w:rPr>
                    <w:t>工程</w:t>
                  </w:r>
                  <w:r>
                    <w:rPr>
                      <w:rFonts w:hint="default" w:ascii="Times New Roman" w:hAnsi="Times New Roman" w:cs="Times New Roman"/>
                      <w:b/>
                      <w:color w:val="000000" w:themeColor="text1"/>
                      <w:sz w:val="21"/>
                      <w:szCs w:val="21"/>
                      <w14:textFill>
                        <w14:solidFill>
                          <w14:schemeClr w14:val="tx1"/>
                        </w14:solidFill>
                      </w14:textFill>
                    </w:rPr>
                    <w:t>名称</w:t>
                  </w:r>
                </w:p>
              </w:tc>
              <w:tc>
                <w:tcPr>
                  <w:tcW w:w="2830" w:type="pct"/>
                  <w:gridSpan w:val="3"/>
                  <w:tcBorders>
                    <w:bottom w:val="single" w:color="auto" w:sz="4" w:space="0"/>
                  </w:tcBorders>
                  <w:noWrap w:val="0"/>
                  <w:vAlign w:val="center"/>
                </w:tcPr>
                <w:p w14:paraId="394D969D">
                  <w:pPr>
                    <w:pStyle w:val="239"/>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val="en-US" w:eastAsia="zh-CN"/>
                      <w14:textFill>
                        <w14:solidFill>
                          <w14:schemeClr w14:val="tx1"/>
                        </w14:solidFill>
                      </w14:textFill>
                    </w:rPr>
                    <w:t>新厂区</w:t>
                  </w:r>
                  <w:r>
                    <w:rPr>
                      <w:rFonts w:hint="default" w:ascii="Times New Roman" w:hAnsi="Times New Roman" w:cs="Times New Roman"/>
                      <w:b/>
                      <w:color w:val="000000" w:themeColor="text1"/>
                      <w:sz w:val="21"/>
                      <w:szCs w:val="21"/>
                      <w:lang w:val="en-US"/>
                      <w14:textFill>
                        <w14:solidFill>
                          <w14:schemeClr w14:val="tx1"/>
                        </w14:solidFill>
                      </w14:textFill>
                    </w:rPr>
                    <w:t>建设内容及规模</w:t>
                  </w:r>
                </w:p>
              </w:tc>
              <w:tc>
                <w:tcPr>
                  <w:tcW w:w="1118" w:type="pct"/>
                  <w:vMerge w:val="restart"/>
                  <w:noWrap w:val="0"/>
                  <w:vAlign w:val="center"/>
                </w:tcPr>
                <w:p w14:paraId="2A2A681A">
                  <w:pPr>
                    <w:pStyle w:val="239"/>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备注</w:t>
                  </w:r>
                </w:p>
              </w:tc>
            </w:tr>
            <w:tr w14:paraId="76FB318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48" w:hRule="atLeast"/>
              </w:trPr>
              <w:tc>
                <w:tcPr>
                  <w:tcW w:w="349" w:type="pct"/>
                  <w:vMerge w:val="continue"/>
                  <w:noWrap w:val="0"/>
                  <w:vAlign w:val="center"/>
                </w:tcPr>
                <w:p w14:paraId="3BDC2F7D">
                  <w:pPr>
                    <w:pStyle w:val="239"/>
                    <w:jc w:val="center"/>
                    <w:rPr>
                      <w:rFonts w:hint="default" w:ascii="Times New Roman" w:hAnsi="Times New Roman" w:cs="Times New Roman"/>
                      <w:b/>
                      <w:color w:val="000000" w:themeColor="text1"/>
                      <w:sz w:val="21"/>
                      <w:szCs w:val="21"/>
                      <w:lang w:val="en-US"/>
                      <w14:textFill>
                        <w14:solidFill>
                          <w14:schemeClr w14:val="tx1"/>
                        </w14:solidFill>
                      </w14:textFill>
                    </w:rPr>
                  </w:pPr>
                </w:p>
              </w:tc>
              <w:tc>
                <w:tcPr>
                  <w:tcW w:w="702" w:type="pct"/>
                  <w:gridSpan w:val="2"/>
                  <w:vMerge w:val="continue"/>
                  <w:noWrap w:val="0"/>
                  <w:vAlign w:val="center"/>
                </w:tcPr>
                <w:p w14:paraId="2F416E54">
                  <w:pPr>
                    <w:pStyle w:val="239"/>
                    <w:jc w:val="center"/>
                    <w:rPr>
                      <w:rFonts w:hint="default" w:ascii="Times New Roman" w:hAnsi="Times New Roman" w:cs="Times New Roman"/>
                      <w:b/>
                      <w:color w:val="000000" w:themeColor="text1"/>
                      <w:sz w:val="21"/>
                      <w:szCs w:val="21"/>
                      <w:lang w:val="en-US"/>
                      <w14:textFill>
                        <w14:solidFill>
                          <w14:schemeClr w14:val="tx1"/>
                        </w14:solidFill>
                      </w14:textFill>
                    </w:rPr>
                  </w:pPr>
                </w:p>
              </w:tc>
              <w:tc>
                <w:tcPr>
                  <w:tcW w:w="1014" w:type="pct"/>
                  <w:tcBorders>
                    <w:top w:val="single" w:color="auto" w:sz="4" w:space="0"/>
                    <w:right w:val="single" w:color="auto" w:sz="4" w:space="0"/>
                  </w:tcBorders>
                  <w:noWrap w:val="0"/>
                  <w:vAlign w:val="center"/>
                </w:tcPr>
                <w:p w14:paraId="741A6AA1">
                  <w:pPr>
                    <w:pStyle w:val="239"/>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改</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建前</w:t>
                  </w:r>
                </w:p>
              </w:tc>
              <w:tc>
                <w:tcPr>
                  <w:tcW w:w="989" w:type="pct"/>
                  <w:tcBorders>
                    <w:top w:val="single" w:color="auto" w:sz="4" w:space="0"/>
                    <w:left w:val="single" w:color="auto" w:sz="4" w:space="0"/>
                    <w:right w:val="single" w:color="auto" w:sz="4" w:space="0"/>
                  </w:tcBorders>
                  <w:noWrap w:val="0"/>
                  <w:vAlign w:val="center"/>
                </w:tcPr>
                <w:p w14:paraId="139E58A1">
                  <w:pPr>
                    <w:pStyle w:val="239"/>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改</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建后</w:t>
                  </w:r>
                </w:p>
              </w:tc>
              <w:tc>
                <w:tcPr>
                  <w:tcW w:w="826" w:type="pct"/>
                  <w:tcBorders>
                    <w:top w:val="single" w:color="auto" w:sz="4" w:space="0"/>
                    <w:left w:val="single" w:color="auto" w:sz="4" w:space="0"/>
                  </w:tcBorders>
                  <w:noWrap w:val="0"/>
                  <w:vAlign w:val="center"/>
                </w:tcPr>
                <w:p w14:paraId="5809D73C">
                  <w:pPr>
                    <w:pStyle w:val="239"/>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变化情况</w:t>
                  </w:r>
                </w:p>
              </w:tc>
              <w:tc>
                <w:tcPr>
                  <w:tcW w:w="1118" w:type="pct"/>
                  <w:vMerge w:val="continue"/>
                  <w:noWrap w:val="0"/>
                  <w:vAlign w:val="center"/>
                </w:tcPr>
                <w:p w14:paraId="0ACFFB4B">
                  <w:pPr>
                    <w:pStyle w:val="239"/>
                    <w:jc w:val="center"/>
                    <w:rPr>
                      <w:rFonts w:hint="default" w:ascii="Times New Roman" w:hAnsi="Times New Roman" w:cs="Times New Roman"/>
                      <w:b/>
                      <w:color w:val="000000" w:themeColor="text1"/>
                      <w:sz w:val="21"/>
                      <w:szCs w:val="21"/>
                      <w14:textFill>
                        <w14:solidFill>
                          <w14:schemeClr w14:val="tx1"/>
                        </w14:solidFill>
                      </w14:textFill>
                    </w:rPr>
                  </w:pPr>
                </w:p>
              </w:tc>
            </w:tr>
            <w:tr w14:paraId="57E7507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14" w:hRule="atLeast"/>
              </w:trPr>
              <w:tc>
                <w:tcPr>
                  <w:tcW w:w="349" w:type="pct"/>
                  <w:vMerge w:val="restart"/>
                  <w:tcBorders>
                    <w:top w:val="single" w:color="auto" w:sz="4" w:space="0"/>
                  </w:tcBorders>
                  <w:noWrap w:val="0"/>
                  <w:vAlign w:val="center"/>
                </w:tcPr>
                <w:p w14:paraId="2999744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主体</w:t>
                  </w:r>
                </w:p>
                <w:p w14:paraId="08B41DC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702" w:type="pct"/>
                  <w:gridSpan w:val="2"/>
                  <w:tcBorders>
                    <w:top w:val="single" w:color="auto" w:sz="4" w:space="0"/>
                  </w:tcBorders>
                  <w:noWrap w:val="0"/>
                  <w:vAlign w:val="center"/>
                </w:tcPr>
                <w:p w14:paraId="2F6C8743">
                  <w:pPr>
                    <w:adjustRightInd w:val="0"/>
                    <w:snapToGrid w:val="0"/>
                    <w:jc w:val="center"/>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生产</w:t>
                  </w:r>
                  <w:r>
                    <w:rPr>
                      <w:rFonts w:hint="eastAsia" w:ascii="Times New Roman" w:hAnsi="Times New Roman" w:cs="Times New Roman"/>
                      <w:color w:val="000000" w:themeColor="text1"/>
                      <w:sz w:val="21"/>
                      <w:szCs w:val="21"/>
                      <w:lang w:val="en-US" w:eastAsia="zh-CN"/>
                      <w14:textFill>
                        <w14:solidFill>
                          <w14:schemeClr w14:val="tx1"/>
                        </w14:solidFill>
                      </w14:textFill>
                    </w:rPr>
                    <w:t>大楼</w:t>
                  </w:r>
                </w:p>
              </w:tc>
              <w:tc>
                <w:tcPr>
                  <w:tcW w:w="1014" w:type="pct"/>
                  <w:tcBorders>
                    <w:top w:val="single" w:color="auto" w:sz="4" w:space="0"/>
                    <w:bottom w:val="single" w:color="auto" w:sz="4" w:space="0"/>
                    <w:right w:val="single" w:color="auto" w:sz="4" w:space="0"/>
                  </w:tcBorders>
                  <w:noWrap w:val="0"/>
                  <w:vAlign w:val="center"/>
                </w:tcPr>
                <w:p w14:paraId="478AEE2C">
                  <w:pPr>
                    <w:pStyle w:val="239"/>
                    <w:jc w:val="center"/>
                    <w:rPr>
                      <w:rFonts w:hint="default" w:ascii="Times New Roman" w:hAnsi="Times New Roman" w:cs="Times New Roman"/>
                      <w:b w:val="0"/>
                      <w:bCs/>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32000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平方米</w:t>
                  </w:r>
                </w:p>
              </w:tc>
              <w:tc>
                <w:tcPr>
                  <w:tcW w:w="989" w:type="pct"/>
                  <w:tcBorders>
                    <w:top w:val="single" w:color="auto" w:sz="4" w:space="0"/>
                    <w:left w:val="single" w:color="auto" w:sz="4" w:space="0"/>
                    <w:bottom w:val="single" w:color="auto" w:sz="4" w:space="0"/>
                    <w:right w:val="single" w:color="auto" w:sz="4" w:space="0"/>
                  </w:tcBorders>
                  <w:noWrap w:val="0"/>
                  <w:vAlign w:val="center"/>
                </w:tcPr>
                <w:p w14:paraId="5B742092">
                  <w:pPr>
                    <w:jc w:val="center"/>
                    <w:rPr>
                      <w:rFonts w:hint="default" w:ascii="Times New Roman" w:hAnsi="Times New Roman" w:cs="Times New Roman"/>
                      <w:b w:val="0"/>
                      <w:bCs/>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32000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平方米</w:t>
                  </w:r>
                </w:p>
              </w:tc>
              <w:tc>
                <w:tcPr>
                  <w:tcW w:w="826" w:type="pct"/>
                  <w:tcBorders>
                    <w:top w:val="single" w:color="auto" w:sz="4" w:space="0"/>
                    <w:left w:val="single" w:color="auto" w:sz="4" w:space="0"/>
                    <w:bottom w:val="single" w:color="auto" w:sz="4" w:space="0"/>
                  </w:tcBorders>
                  <w:noWrap w:val="0"/>
                  <w:vAlign w:val="center"/>
                </w:tcPr>
                <w:p w14:paraId="3314F8AD">
                  <w:pPr>
                    <w:jc w:val="center"/>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不变</w:t>
                  </w:r>
                </w:p>
              </w:tc>
              <w:tc>
                <w:tcPr>
                  <w:tcW w:w="1118" w:type="pct"/>
                  <w:tcBorders>
                    <w:top w:val="single" w:color="auto" w:sz="4" w:space="0"/>
                  </w:tcBorders>
                  <w:noWrap w:val="0"/>
                  <w:vAlign w:val="center"/>
                </w:tcPr>
                <w:p w14:paraId="546B2A8F">
                  <w:pPr>
                    <w:jc w:val="center"/>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eastAsia" w:ascii="Times New Roman" w:hAnsi="Times New Roman" w:cs="Times New Roman"/>
                      <w:b w:val="0"/>
                      <w:bCs/>
                      <w:color w:val="000000" w:themeColor="text1"/>
                      <w:szCs w:val="21"/>
                      <w:lang w:val="en-US" w:eastAsia="zh-CN"/>
                      <w14:textFill>
                        <w14:solidFill>
                          <w14:schemeClr w14:val="tx1"/>
                        </w14:solidFill>
                      </w14:textFill>
                    </w:rPr>
                    <w:t>/</w:t>
                  </w:r>
                </w:p>
              </w:tc>
            </w:tr>
            <w:tr w14:paraId="4B0A978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77" w:hRule="atLeast"/>
              </w:trPr>
              <w:tc>
                <w:tcPr>
                  <w:tcW w:w="349" w:type="pct"/>
                  <w:vMerge w:val="continue"/>
                  <w:noWrap w:val="0"/>
                  <w:vAlign w:val="center"/>
                </w:tcPr>
                <w:p w14:paraId="198F4229">
                  <w:pPr>
                    <w:jc w:val="center"/>
                    <w:rPr>
                      <w:rFonts w:hint="default" w:ascii="Times New Roman" w:hAnsi="Times New Roman" w:cs="Times New Roman"/>
                      <w:color w:val="000000" w:themeColor="text1"/>
                      <w:szCs w:val="21"/>
                      <w14:textFill>
                        <w14:solidFill>
                          <w14:schemeClr w14:val="tx1"/>
                        </w14:solidFill>
                      </w14:textFill>
                    </w:rPr>
                  </w:pPr>
                </w:p>
              </w:tc>
              <w:tc>
                <w:tcPr>
                  <w:tcW w:w="702" w:type="pct"/>
                  <w:gridSpan w:val="2"/>
                  <w:noWrap w:val="0"/>
                  <w:vAlign w:val="center"/>
                </w:tcPr>
                <w:p w14:paraId="4262D08E">
                  <w:pPr>
                    <w:pStyle w:val="239"/>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研发中心</w:t>
                  </w:r>
                </w:p>
              </w:tc>
              <w:tc>
                <w:tcPr>
                  <w:tcW w:w="1014" w:type="pct"/>
                  <w:tcBorders>
                    <w:top w:val="single" w:color="auto" w:sz="4" w:space="0"/>
                    <w:bottom w:val="single" w:color="auto" w:sz="4" w:space="0"/>
                    <w:right w:val="single" w:color="auto" w:sz="4" w:space="0"/>
                  </w:tcBorders>
                  <w:noWrap w:val="0"/>
                  <w:vAlign w:val="center"/>
                </w:tcPr>
                <w:p w14:paraId="4A80BD5E">
                  <w:pPr>
                    <w:pStyle w:val="239"/>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16000</w:t>
                  </w:r>
                  <w:r>
                    <w:rPr>
                      <w:rFonts w:hint="default" w:ascii="Times New Roman" w:hAnsi="Times New Roman" w:cs="Times New Roman"/>
                      <w:color w:val="000000" w:themeColor="text1"/>
                      <w:sz w:val="21"/>
                      <w:szCs w:val="21"/>
                      <w:lang w:val="en-US" w:eastAsia="zh-CN"/>
                      <w14:textFill>
                        <w14:solidFill>
                          <w14:schemeClr w14:val="tx1"/>
                        </w14:solidFill>
                      </w14:textFill>
                    </w:rPr>
                    <w:t>平方米</w:t>
                  </w:r>
                </w:p>
              </w:tc>
              <w:tc>
                <w:tcPr>
                  <w:tcW w:w="989" w:type="pct"/>
                  <w:tcBorders>
                    <w:top w:val="single" w:color="auto" w:sz="4" w:space="0"/>
                    <w:left w:val="single" w:color="auto" w:sz="4" w:space="0"/>
                    <w:bottom w:val="single" w:color="auto" w:sz="4" w:space="0"/>
                    <w:right w:val="single" w:color="auto" w:sz="4" w:space="0"/>
                  </w:tcBorders>
                  <w:noWrap w:val="0"/>
                  <w:vAlign w:val="center"/>
                </w:tcPr>
                <w:p w14:paraId="5645687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16000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平方米</w:t>
                  </w:r>
                </w:p>
              </w:tc>
              <w:tc>
                <w:tcPr>
                  <w:tcW w:w="826" w:type="pct"/>
                  <w:tcBorders>
                    <w:top w:val="single" w:color="auto" w:sz="4" w:space="0"/>
                    <w:left w:val="single" w:color="auto" w:sz="4" w:space="0"/>
                    <w:bottom w:val="single" w:color="auto" w:sz="4" w:space="0"/>
                  </w:tcBorders>
                  <w:noWrap w:val="0"/>
                  <w:vAlign w:val="center"/>
                </w:tcPr>
                <w:p w14:paraId="7D497496">
                  <w:pPr>
                    <w:jc w:val="center"/>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不变</w:t>
                  </w:r>
                </w:p>
              </w:tc>
              <w:tc>
                <w:tcPr>
                  <w:tcW w:w="1118" w:type="pct"/>
                  <w:tcBorders>
                    <w:bottom w:val="single" w:color="auto" w:sz="4" w:space="0"/>
                  </w:tcBorders>
                  <w:noWrap w:val="0"/>
                  <w:vAlign w:val="center"/>
                </w:tcPr>
                <w:p w14:paraId="1E55B043">
                  <w:pPr>
                    <w:jc w:val="center"/>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eastAsia" w:ascii="Times New Roman" w:hAnsi="Times New Roman" w:cs="Times New Roman"/>
                      <w:b w:val="0"/>
                      <w:bCs/>
                      <w:color w:val="000000" w:themeColor="text1"/>
                      <w:szCs w:val="21"/>
                      <w:lang w:val="en-US" w:eastAsia="zh-CN"/>
                      <w14:textFill>
                        <w14:solidFill>
                          <w14:schemeClr w14:val="tx1"/>
                        </w14:solidFill>
                      </w14:textFill>
                    </w:rPr>
                    <w:t>/</w:t>
                  </w:r>
                </w:p>
              </w:tc>
            </w:tr>
            <w:tr w14:paraId="282504B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50" w:hRule="atLeast"/>
              </w:trPr>
              <w:tc>
                <w:tcPr>
                  <w:tcW w:w="349" w:type="pct"/>
                  <w:vMerge w:val="continue"/>
                  <w:noWrap w:val="0"/>
                  <w:vAlign w:val="center"/>
                </w:tcPr>
                <w:p w14:paraId="2B9E8E57">
                  <w:pPr>
                    <w:jc w:val="center"/>
                    <w:rPr>
                      <w:rFonts w:hint="default" w:ascii="Times New Roman" w:hAnsi="Times New Roman" w:cs="Times New Roman"/>
                      <w:color w:val="000000" w:themeColor="text1"/>
                      <w:szCs w:val="21"/>
                      <w14:textFill>
                        <w14:solidFill>
                          <w14:schemeClr w14:val="tx1"/>
                        </w14:solidFill>
                      </w14:textFill>
                    </w:rPr>
                  </w:pPr>
                </w:p>
              </w:tc>
              <w:tc>
                <w:tcPr>
                  <w:tcW w:w="702" w:type="pct"/>
                  <w:gridSpan w:val="2"/>
                  <w:noWrap w:val="0"/>
                  <w:vAlign w:val="center"/>
                </w:tcPr>
                <w:p w14:paraId="1CA41C5C">
                  <w:pPr>
                    <w:pStyle w:val="239"/>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锅炉房</w:t>
                  </w:r>
                </w:p>
              </w:tc>
              <w:tc>
                <w:tcPr>
                  <w:tcW w:w="1014" w:type="pct"/>
                  <w:tcBorders>
                    <w:top w:val="single" w:color="auto" w:sz="4" w:space="0"/>
                    <w:right w:val="single" w:color="auto" w:sz="4" w:space="0"/>
                  </w:tcBorders>
                  <w:noWrap w:val="0"/>
                  <w:vAlign w:val="center"/>
                </w:tcPr>
                <w:p w14:paraId="06245971">
                  <w:pPr>
                    <w:pStyle w:val="239"/>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89" w:type="pct"/>
                  <w:tcBorders>
                    <w:top w:val="single" w:color="auto" w:sz="4" w:space="0"/>
                    <w:left w:val="single" w:color="auto" w:sz="4" w:space="0"/>
                    <w:right w:val="single" w:color="auto" w:sz="4" w:space="0"/>
                  </w:tcBorders>
                  <w:noWrap w:val="0"/>
                  <w:vAlign w:val="center"/>
                </w:tcPr>
                <w:p w14:paraId="05A659D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平方米</w:t>
                  </w:r>
                </w:p>
              </w:tc>
              <w:tc>
                <w:tcPr>
                  <w:tcW w:w="826" w:type="pct"/>
                  <w:tcBorders>
                    <w:top w:val="single" w:color="auto" w:sz="4" w:space="0"/>
                    <w:left w:val="single" w:color="auto" w:sz="4" w:space="0"/>
                  </w:tcBorders>
                  <w:noWrap w:val="0"/>
                  <w:vAlign w:val="center"/>
                </w:tcPr>
                <w:p w14:paraId="18D193F6">
                  <w:pPr>
                    <w:jc w:val="center"/>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eastAsia" w:ascii="Times New Roman" w:hAnsi="Times New Roman" w:cs="Times New Roman"/>
                      <w:b w:val="0"/>
                      <w:bCs/>
                      <w:color w:val="000000" w:themeColor="text1"/>
                      <w:szCs w:val="21"/>
                      <w:lang w:val="en-US" w:eastAsia="zh-CN"/>
                      <w14:textFill>
                        <w14:solidFill>
                          <w14:schemeClr w14:val="tx1"/>
                        </w14:solidFill>
                      </w14:textFill>
                    </w:rPr>
                    <w:t>+306平方米</w:t>
                  </w:r>
                </w:p>
              </w:tc>
              <w:tc>
                <w:tcPr>
                  <w:tcW w:w="1118" w:type="pct"/>
                  <w:tcBorders>
                    <w:top w:val="single" w:color="auto" w:sz="4" w:space="0"/>
                  </w:tcBorders>
                  <w:noWrap w:val="0"/>
                  <w:vAlign w:val="center"/>
                </w:tcPr>
                <w:p w14:paraId="6A4EDE5F">
                  <w:pPr>
                    <w:jc w:val="center"/>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eastAsia" w:ascii="Times New Roman" w:hAnsi="Times New Roman" w:cs="Times New Roman"/>
                      <w:b w:val="0"/>
                      <w:bCs/>
                      <w:color w:val="000000" w:themeColor="text1"/>
                      <w:szCs w:val="21"/>
                      <w:lang w:val="en-US" w:eastAsia="zh-CN"/>
                      <w14:textFill>
                        <w14:solidFill>
                          <w14:schemeClr w14:val="tx1"/>
                        </w14:solidFill>
                      </w14:textFill>
                    </w:rPr>
                    <w:t>位于生产大楼西侧</w:t>
                  </w:r>
                </w:p>
              </w:tc>
            </w:tr>
            <w:tr w14:paraId="4EFAC03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47" w:hRule="atLeast"/>
              </w:trPr>
              <w:tc>
                <w:tcPr>
                  <w:tcW w:w="349" w:type="pct"/>
                  <w:vMerge w:val="restart"/>
                  <w:noWrap w:val="0"/>
                  <w:vAlign w:val="center"/>
                </w:tcPr>
                <w:p w14:paraId="263A171C">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贮运</w:t>
                  </w:r>
                </w:p>
                <w:p w14:paraId="15619711">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工程</w:t>
                  </w:r>
                </w:p>
              </w:tc>
              <w:tc>
                <w:tcPr>
                  <w:tcW w:w="702" w:type="pct"/>
                  <w:gridSpan w:val="2"/>
                  <w:noWrap w:val="0"/>
                  <w:vAlign w:val="center"/>
                </w:tcPr>
                <w:p w14:paraId="1A119D06">
                  <w:pPr>
                    <w:pStyle w:val="239"/>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原料仓库</w:t>
                  </w:r>
                </w:p>
              </w:tc>
              <w:tc>
                <w:tcPr>
                  <w:tcW w:w="1014" w:type="pct"/>
                  <w:noWrap w:val="0"/>
                  <w:vAlign w:val="center"/>
                </w:tcPr>
                <w:p w14:paraId="47F9E1A0">
                  <w:pPr>
                    <w:pStyle w:val="239"/>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平方米</w:t>
                  </w:r>
                </w:p>
              </w:tc>
              <w:tc>
                <w:tcPr>
                  <w:tcW w:w="989" w:type="pct"/>
                  <w:noWrap w:val="0"/>
                  <w:vAlign w:val="center"/>
                </w:tcPr>
                <w:p w14:paraId="207DD16E">
                  <w:pPr>
                    <w:pStyle w:val="239"/>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平方米</w:t>
                  </w:r>
                </w:p>
              </w:tc>
              <w:tc>
                <w:tcPr>
                  <w:tcW w:w="826" w:type="pct"/>
                  <w:noWrap w:val="0"/>
                  <w:vAlign w:val="center"/>
                </w:tcPr>
                <w:p w14:paraId="37C35E20">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不变</w:t>
                  </w:r>
                </w:p>
              </w:tc>
              <w:tc>
                <w:tcPr>
                  <w:tcW w:w="1118" w:type="pct"/>
                  <w:noWrap w:val="0"/>
                  <w:vAlign w:val="center"/>
                </w:tcPr>
                <w:p w14:paraId="5CDFDEA6">
                  <w:pPr>
                    <w:pStyle w:val="239"/>
                    <w:jc w:val="center"/>
                    <w:rPr>
                      <w:rFonts w:hint="default" w:ascii="Times New Roman" w:hAnsi="Times New Roman" w:eastAsia="宋体" w:cs="Times New Roman"/>
                      <w:bCs/>
                      <w:color w:val="000000" w:themeColor="text1"/>
                      <w:kern w:val="0"/>
                      <w:sz w:val="22"/>
                      <w:szCs w:val="21"/>
                      <w:lang w:val="en-US" w:eastAsia="zh-CN" w:bidi="ar-SA"/>
                      <w14:textFill>
                        <w14:solidFill>
                          <w14:schemeClr w14:val="tx1"/>
                        </w14:solidFill>
                      </w14:textFill>
                    </w:rPr>
                  </w:pPr>
                  <w:r>
                    <w:rPr>
                      <w:rFonts w:hint="eastAsia" w:ascii="Times New Roman" w:hAnsi="Times New Roman" w:cs="Times New Roman"/>
                      <w:bCs/>
                      <w:color w:val="000000" w:themeColor="text1"/>
                      <w:kern w:val="0"/>
                      <w:sz w:val="22"/>
                      <w:szCs w:val="21"/>
                      <w:lang w:val="en-US" w:eastAsia="zh-CN" w:bidi="ar-SA"/>
                      <w14:textFill>
                        <w14:solidFill>
                          <w14:schemeClr w14:val="tx1"/>
                        </w14:solidFill>
                      </w14:textFill>
                    </w:rPr>
                    <w:t>/</w:t>
                  </w:r>
                </w:p>
              </w:tc>
            </w:tr>
            <w:tr w14:paraId="650FCD7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47" w:hRule="atLeast"/>
              </w:trPr>
              <w:tc>
                <w:tcPr>
                  <w:tcW w:w="349" w:type="pct"/>
                  <w:vMerge w:val="continue"/>
                  <w:noWrap w:val="0"/>
                  <w:vAlign w:val="center"/>
                </w:tcPr>
                <w:p w14:paraId="4DAD4B9D">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p>
              </w:tc>
              <w:tc>
                <w:tcPr>
                  <w:tcW w:w="702" w:type="pct"/>
                  <w:gridSpan w:val="2"/>
                  <w:noWrap w:val="0"/>
                  <w:vAlign w:val="center"/>
                </w:tcPr>
                <w:p w14:paraId="2BA65C1B">
                  <w:pPr>
                    <w:pStyle w:val="239"/>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成品仓库</w:t>
                  </w:r>
                </w:p>
              </w:tc>
              <w:tc>
                <w:tcPr>
                  <w:tcW w:w="1014" w:type="pct"/>
                  <w:noWrap w:val="0"/>
                  <w:vAlign w:val="center"/>
                </w:tcPr>
                <w:p w14:paraId="218586AC">
                  <w:pPr>
                    <w:pStyle w:val="239"/>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平方米</w:t>
                  </w:r>
                </w:p>
              </w:tc>
              <w:tc>
                <w:tcPr>
                  <w:tcW w:w="989" w:type="pct"/>
                  <w:noWrap w:val="0"/>
                  <w:vAlign w:val="center"/>
                </w:tcPr>
                <w:p w14:paraId="7FD8E969">
                  <w:pPr>
                    <w:pStyle w:val="239"/>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平方米</w:t>
                  </w:r>
                </w:p>
              </w:tc>
              <w:tc>
                <w:tcPr>
                  <w:tcW w:w="826" w:type="pct"/>
                  <w:noWrap w:val="0"/>
                  <w:vAlign w:val="center"/>
                </w:tcPr>
                <w:p w14:paraId="17FA24DB">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不变</w:t>
                  </w:r>
                </w:p>
              </w:tc>
              <w:tc>
                <w:tcPr>
                  <w:tcW w:w="1118" w:type="pct"/>
                  <w:noWrap w:val="0"/>
                  <w:vAlign w:val="center"/>
                </w:tcPr>
                <w:p w14:paraId="22457C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w:t>
                  </w:r>
                </w:p>
              </w:tc>
            </w:tr>
            <w:tr w14:paraId="1BB9888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31" w:hRule="atLeast"/>
              </w:trPr>
              <w:tc>
                <w:tcPr>
                  <w:tcW w:w="349" w:type="pct"/>
                  <w:vMerge w:val="continue"/>
                  <w:noWrap w:val="0"/>
                  <w:vAlign w:val="center"/>
                </w:tcPr>
                <w:p w14:paraId="07015747">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noWrap w:val="0"/>
                  <w:vAlign w:val="center"/>
                </w:tcPr>
                <w:p w14:paraId="3BEAAB75">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运输</w:t>
                  </w:r>
                </w:p>
              </w:tc>
              <w:tc>
                <w:tcPr>
                  <w:tcW w:w="2830" w:type="pct"/>
                  <w:gridSpan w:val="3"/>
                  <w:noWrap w:val="0"/>
                  <w:vAlign w:val="center"/>
                </w:tcPr>
                <w:p w14:paraId="54E17B9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厂内叉车运输，厂外公路运输</w:t>
                  </w:r>
                </w:p>
              </w:tc>
              <w:tc>
                <w:tcPr>
                  <w:tcW w:w="1118" w:type="pct"/>
                  <w:noWrap w:val="0"/>
                  <w:vAlign w:val="center"/>
                </w:tcPr>
                <w:p w14:paraId="1CDB86C1">
                  <w:pPr>
                    <w:spacing w:line="4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14:paraId="6DD801E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2" w:hRule="atLeast"/>
              </w:trPr>
              <w:tc>
                <w:tcPr>
                  <w:tcW w:w="349" w:type="pct"/>
                  <w:vMerge w:val="restart"/>
                  <w:noWrap w:val="0"/>
                  <w:vAlign w:val="center"/>
                </w:tcPr>
                <w:p w14:paraId="47219278">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公用</w:t>
                  </w:r>
                </w:p>
                <w:p w14:paraId="16D9132F">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工程</w:t>
                  </w:r>
                </w:p>
              </w:tc>
              <w:tc>
                <w:tcPr>
                  <w:tcW w:w="702" w:type="pct"/>
                  <w:gridSpan w:val="2"/>
                  <w:noWrap w:val="0"/>
                  <w:vAlign w:val="center"/>
                </w:tcPr>
                <w:p w14:paraId="7F4F56D9">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14:textFill>
                        <w14:solidFill>
                          <w14:schemeClr w14:val="tx1"/>
                        </w14:solidFill>
                      </w14:textFill>
                    </w:rPr>
                    <w:t>给水</w:t>
                  </w:r>
                </w:p>
              </w:tc>
              <w:tc>
                <w:tcPr>
                  <w:tcW w:w="1014" w:type="pct"/>
                  <w:noWrap w:val="0"/>
                  <w:vAlign w:val="center"/>
                </w:tcPr>
                <w:p w14:paraId="6637F6D0">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18600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t/a</w:t>
                  </w:r>
                </w:p>
              </w:tc>
              <w:tc>
                <w:tcPr>
                  <w:tcW w:w="989" w:type="pct"/>
                  <w:noWrap w:val="0"/>
                  <w:vAlign w:val="center"/>
                </w:tcPr>
                <w:p w14:paraId="7939C425">
                  <w:pPr>
                    <w:jc w:val="center"/>
                    <w:outlineLvl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26400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t/a</w:t>
                  </w:r>
                </w:p>
              </w:tc>
              <w:tc>
                <w:tcPr>
                  <w:tcW w:w="826" w:type="pct"/>
                  <w:noWrap w:val="0"/>
                  <w:vAlign w:val="center"/>
                </w:tcPr>
                <w:p w14:paraId="3812CCA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7800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t/a</w:t>
                  </w:r>
                </w:p>
              </w:tc>
              <w:tc>
                <w:tcPr>
                  <w:tcW w:w="1118" w:type="pct"/>
                  <w:noWrap w:val="0"/>
                  <w:vAlign w:val="center"/>
                </w:tcPr>
                <w:p w14:paraId="49D13252">
                  <w:pPr>
                    <w:jc w:val="center"/>
                    <w:outlineLvl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当地自来水管网供给</w:t>
                  </w:r>
                </w:p>
              </w:tc>
            </w:tr>
            <w:tr w14:paraId="62393DE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39" w:hRule="atLeast"/>
              </w:trPr>
              <w:tc>
                <w:tcPr>
                  <w:tcW w:w="349" w:type="pct"/>
                  <w:vMerge w:val="continue"/>
                  <w:noWrap w:val="0"/>
                  <w:vAlign w:val="center"/>
                </w:tcPr>
                <w:p w14:paraId="3066ECFE">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noWrap w:val="0"/>
                  <w:vAlign w:val="center"/>
                </w:tcPr>
                <w:p w14:paraId="5C58358F">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w:t>
                  </w:r>
                </w:p>
              </w:tc>
              <w:tc>
                <w:tcPr>
                  <w:tcW w:w="1014" w:type="pct"/>
                  <w:noWrap w:val="0"/>
                  <w:vAlign w:val="center"/>
                </w:tcPr>
                <w:p w14:paraId="1F36E3A5">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14880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989" w:type="pct"/>
                  <w:noWrap w:val="0"/>
                  <w:vAlign w:val="center"/>
                </w:tcPr>
                <w:p w14:paraId="5B1E010C">
                  <w:pPr>
                    <w:jc w:val="center"/>
                    <w:outlineLvl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15650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t/a</w:t>
                  </w:r>
                </w:p>
              </w:tc>
              <w:tc>
                <w:tcPr>
                  <w:tcW w:w="826" w:type="pct"/>
                  <w:noWrap w:val="0"/>
                  <w:vAlign w:val="center"/>
                </w:tcPr>
                <w:p w14:paraId="19B6C4A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770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t/a</w:t>
                  </w:r>
                </w:p>
              </w:tc>
              <w:tc>
                <w:tcPr>
                  <w:tcW w:w="1118" w:type="pct"/>
                  <w:noWrap w:val="0"/>
                  <w:vAlign w:val="center"/>
                </w:tcPr>
                <w:p w14:paraId="31A28A4B">
                  <w:pPr>
                    <w:jc w:val="center"/>
                    <w:outlineLvl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接管至</w:t>
                  </w:r>
                  <w:r>
                    <w:rPr>
                      <w:rFonts w:hint="eastAsia" w:ascii="Times New Roman" w:hAnsi="Times New Roman" w:cs="Times New Roman"/>
                      <w:bCs/>
                      <w:color w:val="000000" w:themeColor="text1"/>
                      <w14:textFill>
                        <w14:solidFill>
                          <w14:schemeClr w14:val="tx1"/>
                        </w14:solidFill>
                      </w14:textFill>
                    </w:rPr>
                    <w:t>南通</w:t>
                  </w:r>
                  <w:r>
                    <w:rPr>
                      <w:rFonts w:hint="eastAsia" w:ascii="Times New Roman" w:hAnsi="Times New Roman" w:cs="Times New Roman"/>
                      <w:bCs/>
                      <w:color w:val="000000" w:themeColor="text1"/>
                      <w:lang w:val="en-US" w:eastAsia="zh-CN"/>
                      <w14:textFill>
                        <w14:solidFill>
                          <w14:schemeClr w14:val="tx1"/>
                        </w14:solidFill>
                      </w14:textFill>
                    </w:rPr>
                    <w:t>海门东洲水处理</w:t>
                  </w:r>
                  <w:r>
                    <w:rPr>
                      <w:rFonts w:hint="eastAsia" w:ascii="Times New Roman" w:hAnsi="Times New Roman" w:cs="Times New Roman"/>
                      <w:bCs/>
                      <w:color w:val="000000" w:themeColor="text1"/>
                      <w14:textFill>
                        <w14:solidFill>
                          <w14:schemeClr w14:val="tx1"/>
                        </w14:solidFill>
                      </w14:textFill>
                    </w:rPr>
                    <w:t>有限公司</w:t>
                  </w:r>
                </w:p>
              </w:tc>
            </w:tr>
            <w:tr w14:paraId="46CB76B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45" w:hRule="atLeast"/>
              </w:trPr>
              <w:tc>
                <w:tcPr>
                  <w:tcW w:w="349" w:type="pct"/>
                  <w:vMerge w:val="continue"/>
                  <w:noWrap w:val="0"/>
                  <w:vAlign w:val="center"/>
                </w:tcPr>
                <w:p w14:paraId="2D5BE213">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tcBorders>
                    <w:bottom w:val="single" w:color="auto" w:sz="4" w:space="0"/>
                  </w:tcBorders>
                  <w:noWrap w:val="0"/>
                  <w:vAlign w:val="center"/>
                </w:tcPr>
                <w:p w14:paraId="3E6905BB">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1014" w:type="pct"/>
                  <w:noWrap w:val="0"/>
                  <w:vAlign w:val="center"/>
                </w:tcPr>
                <w:p w14:paraId="6BC44B2D">
                  <w:pPr>
                    <w:jc w:val="center"/>
                    <w:outlineLvl w:val="0"/>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万Kwh</w:t>
                  </w:r>
                </w:p>
              </w:tc>
              <w:tc>
                <w:tcPr>
                  <w:tcW w:w="989" w:type="pct"/>
                  <w:noWrap w:val="0"/>
                  <w:vAlign w:val="center"/>
                </w:tcPr>
                <w:p w14:paraId="32666BF9">
                  <w:pPr>
                    <w:jc w:val="center"/>
                    <w:outlineLvl w:val="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万Kwh</w:t>
                  </w:r>
                </w:p>
              </w:tc>
              <w:tc>
                <w:tcPr>
                  <w:tcW w:w="826" w:type="pct"/>
                  <w:noWrap w:val="0"/>
                  <w:vAlign w:val="center"/>
                </w:tcPr>
                <w:p w14:paraId="735B4ED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不变</w:t>
                  </w:r>
                </w:p>
              </w:tc>
              <w:tc>
                <w:tcPr>
                  <w:tcW w:w="1118" w:type="pct"/>
                  <w:noWrap w:val="0"/>
                  <w:vAlign w:val="center"/>
                </w:tcPr>
                <w:p w14:paraId="718E4AF6">
                  <w:pPr>
                    <w:jc w:val="center"/>
                    <w:outlineLvl w:val="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由当地电网集中供电</w:t>
                  </w:r>
                </w:p>
              </w:tc>
            </w:tr>
            <w:tr w14:paraId="4D82FD3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45" w:hRule="atLeast"/>
              </w:trPr>
              <w:tc>
                <w:tcPr>
                  <w:tcW w:w="349" w:type="pct"/>
                  <w:vMerge w:val="continue"/>
                  <w:noWrap w:val="0"/>
                  <w:vAlign w:val="center"/>
                </w:tcPr>
                <w:p w14:paraId="2897284C">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tcBorders>
                    <w:bottom w:val="single" w:color="auto" w:sz="4" w:space="0"/>
                  </w:tcBorders>
                  <w:noWrap w:val="0"/>
                  <w:vAlign w:val="center"/>
                </w:tcPr>
                <w:p w14:paraId="3E8B25E7">
                  <w:pPr>
                    <w:jc w:val="center"/>
                    <w:outlineLvl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供汽</w:t>
                  </w:r>
                </w:p>
              </w:tc>
              <w:tc>
                <w:tcPr>
                  <w:tcW w:w="1014" w:type="pct"/>
                  <w:noWrap w:val="0"/>
                  <w:vAlign w:val="center"/>
                </w:tcPr>
                <w:p w14:paraId="0E017471">
                  <w:pPr>
                    <w:jc w:val="center"/>
                    <w:outlineLvl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7030t/a</w:t>
                  </w:r>
                </w:p>
              </w:tc>
              <w:tc>
                <w:tcPr>
                  <w:tcW w:w="989" w:type="pct"/>
                  <w:noWrap w:val="0"/>
                  <w:vAlign w:val="center"/>
                </w:tcPr>
                <w:p w14:paraId="3EAD8576">
                  <w:pPr>
                    <w:jc w:val="center"/>
                    <w:outlineLvl w:val="0"/>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6327t/a</w:t>
                  </w:r>
                </w:p>
              </w:tc>
              <w:tc>
                <w:tcPr>
                  <w:tcW w:w="826" w:type="pct"/>
                  <w:noWrap w:val="0"/>
                  <w:vAlign w:val="center"/>
                </w:tcPr>
                <w:p w14:paraId="4D88563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-703t/a</w:t>
                  </w:r>
                </w:p>
              </w:tc>
              <w:tc>
                <w:tcPr>
                  <w:tcW w:w="1118" w:type="pct"/>
                  <w:noWrap w:val="0"/>
                  <w:vAlign w:val="center"/>
                </w:tcPr>
                <w:p w14:paraId="5F2FD57D">
                  <w:pPr>
                    <w:jc w:val="center"/>
                    <w:outlineLvl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由于处于鑫源热电供汽末端，蒸汽含水量大，且在开始生产前必须对蒸汽管道进行放水放汽处理，造成了资源浪费，本次技改由使用鑫源热电管道蒸汽改为自建锅炉供汽</w:t>
                  </w:r>
                </w:p>
              </w:tc>
            </w:tr>
            <w:tr w14:paraId="2113B0A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45" w:hRule="atLeast"/>
              </w:trPr>
              <w:tc>
                <w:tcPr>
                  <w:tcW w:w="349" w:type="pct"/>
                  <w:vMerge w:val="continue"/>
                  <w:noWrap w:val="0"/>
                  <w:vAlign w:val="center"/>
                </w:tcPr>
                <w:p w14:paraId="16CEDD9F">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tcBorders>
                    <w:bottom w:val="single" w:color="auto" w:sz="4" w:space="0"/>
                  </w:tcBorders>
                  <w:noWrap w:val="0"/>
                  <w:vAlign w:val="center"/>
                </w:tcPr>
                <w:p w14:paraId="3B3733C4">
                  <w:pPr>
                    <w:jc w:val="center"/>
                    <w:outlineLvl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供气</w:t>
                  </w:r>
                </w:p>
              </w:tc>
              <w:tc>
                <w:tcPr>
                  <w:tcW w:w="1014" w:type="pct"/>
                  <w:noWrap w:val="0"/>
                  <w:vAlign w:val="center"/>
                </w:tcPr>
                <w:p w14:paraId="7EDC4C24">
                  <w:pPr>
                    <w:jc w:val="center"/>
                    <w:outlineLvl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989" w:type="pct"/>
                  <w:noWrap w:val="0"/>
                  <w:vAlign w:val="center"/>
                </w:tcPr>
                <w:p w14:paraId="5F26571B">
                  <w:pPr>
                    <w:jc w:val="center"/>
                    <w:outlineLvl w:val="0"/>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50万m3/a</w:t>
                  </w:r>
                </w:p>
              </w:tc>
              <w:tc>
                <w:tcPr>
                  <w:tcW w:w="826" w:type="pct"/>
                  <w:noWrap w:val="0"/>
                  <w:vAlign w:val="center"/>
                </w:tcPr>
                <w:p w14:paraId="58CE731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50万m3/a</w:t>
                  </w:r>
                </w:p>
              </w:tc>
              <w:tc>
                <w:tcPr>
                  <w:tcW w:w="1118" w:type="pct"/>
                  <w:noWrap w:val="0"/>
                  <w:vAlign w:val="center"/>
                </w:tcPr>
                <w:p w14:paraId="1CAD1D4C">
                  <w:pPr>
                    <w:jc w:val="center"/>
                    <w:outlineLvl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管道天然气</w:t>
                  </w:r>
                </w:p>
              </w:tc>
            </w:tr>
            <w:tr w14:paraId="40485D3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20" w:hRule="atLeast"/>
              </w:trPr>
              <w:tc>
                <w:tcPr>
                  <w:tcW w:w="349" w:type="pct"/>
                  <w:vMerge w:val="restart"/>
                  <w:noWrap w:val="0"/>
                  <w:vAlign w:val="center"/>
                </w:tcPr>
                <w:p w14:paraId="504EBEDE">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环保</w:t>
                  </w:r>
                </w:p>
                <w:p w14:paraId="7CE994DD">
                  <w:pPr>
                    <w:pStyle w:val="239"/>
                    <w:jc w:val="center"/>
                    <w:rPr>
                      <w:rFonts w:hint="default" w:ascii="Times New Roman" w:hAnsi="Times New Roman" w:cs="Times New Roman"/>
                      <w:color w:val="000000" w:themeColor="text1"/>
                      <w:kern w:val="2"/>
                      <w:sz w:val="21"/>
                      <w:szCs w:val="21"/>
                      <w:lang w:val="en-US"/>
                      <w14:textFill>
                        <w14:solidFill>
                          <w14:schemeClr w14:val="tx1"/>
                        </w14:solidFill>
                      </w14:textFill>
                    </w:rPr>
                  </w:pPr>
                  <w:r>
                    <w:rPr>
                      <w:rFonts w:hint="default" w:ascii="Times New Roman" w:hAnsi="Times New Roman" w:cs="Times New Roman"/>
                      <w:color w:val="000000" w:themeColor="text1"/>
                      <w:kern w:val="2"/>
                      <w:sz w:val="21"/>
                      <w:szCs w:val="21"/>
                      <w:lang w:val="en-US"/>
                      <w14:textFill>
                        <w14:solidFill>
                          <w14:schemeClr w14:val="tx1"/>
                        </w14:solidFill>
                      </w14:textFill>
                    </w:rPr>
                    <w:t>工程</w:t>
                  </w:r>
                </w:p>
              </w:tc>
              <w:tc>
                <w:tcPr>
                  <w:tcW w:w="209" w:type="pct"/>
                  <w:tcBorders>
                    <w:top w:val="single" w:color="auto" w:sz="4" w:space="0"/>
                    <w:right w:val="single" w:color="auto" w:sz="4" w:space="0"/>
                  </w:tcBorders>
                  <w:noWrap w:val="0"/>
                  <w:vAlign w:val="center"/>
                </w:tcPr>
                <w:p w14:paraId="77DC2884">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废气处理</w:t>
                  </w:r>
                </w:p>
              </w:tc>
              <w:tc>
                <w:tcPr>
                  <w:tcW w:w="493" w:type="pct"/>
                  <w:tcBorders>
                    <w:top w:val="single" w:color="auto" w:sz="4" w:space="0"/>
                    <w:left w:val="single" w:color="auto" w:sz="4" w:space="0"/>
                    <w:bottom w:val="single" w:color="auto" w:sz="4" w:space="0"/>
                  </w:tcBorders>
                  <w:noWrap w:val="0"/>
                  <w:vAlign w:val="center"/>
                </w:tcPr>
                <w:p w14:paraId="099A3BCF">
                  <w:pPr>
                    <w:pStyle w:val="157"/>
                    <w:spacing w:line="312"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天然气燃烧废气</w:t>
                  </w:r>
                </w:p>
              </w:tc>
              <w:tc>
                <w:tcPr>
                  <w:tcW w:w="1014" w:type="pct"/>
                  <w:tcBorders>
                    <w:bottom w:val="single" w:color="auto" w:sz="4" w:space="0"/>
                  </w:tcBorders>
                  <w:noWrap w:val="0"/>
                  <w:vAlign w:val="center"/>
                </w:tcPr>
                <w:p w14:paraId="6E6240C0">
                  <w:pPr>
                    <w:pStyle w:val="157"/>
                    <w:spacing w:line="312" w:lineRule="exact"/>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989" w:type="pct"/>
                  <w:noWrap w:val="0"/>
                  <w:vAlign w:val="center"/>
                </w:tcPr>
                <w:p w14:paraId="31DEB4F6">
                  <w:pPr>
                    <w:pStyle w:val="157"/>
                    <w:spacing w:line="312"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低氮燃烧+排气筒DA001</w:t>
                  </w:r>
                </w:p>
              </w:tc>
              <w:tc>
                <w:tcPr>
                  <w:tcW w:w="826" w:type="pct"/>
                  <w:tcBorders>
                    <w:bottom w:val="single" w:color="auto" w:sz="4" w:space="0"/>
                  </w:tcBorders>
                  <w:noWrap w:val="0"/>
                  <w:vAlign w:val="center"/>
                </w:tcPr>
                <w:p w14:paraId="4F7C897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新增</w:t>
                  </w:r>
                </w:p>
              </w:tc>
              <w:tc>
                <w:tcPr>
                  <w:tcW w:w="1118" w:type="pct"/>
                  <w:tcBorders>
                    <w:bottom w:val="single" w:color="auto" w:sz="4" w:space="0"/>
                  </w:tcBorders>
                  <w:noWrap w:val="0"/>
                  <w:vAlign w:val="center"/>
                </w:tcPr>
                <w:p w14:paraId="5C79BBC2">
                  <w:pPr>
                    <w:pStyle w:val="23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w:t>
                  </w:r>
                </w:p>
              </w:tc>
            </w:tr>
            <w:tr w14:paraId="07296FA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32" w:hRule="atLeast"/>
              </w:trPr>
              <w:tc>
                <w:tcPr>
                  <w:tcW w:w="349" w:type="pct"/>
                  <w:vMerge w:val="continue"/>
                  <w:noWrap w:val="0"/>
                  <w:vAlign w:val="center"/>
                </w:tcPr>
                <w:p w14:paraId="48CB68BD">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vMerge w:val="restart"/>
                  <w:noWrap w:val="0"/>
                  <w:vAlign w:val="center"/>
                </w:tcPr>
                <w:p w14:paraId="0BBE4848">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废水处理</w:t>
                  </w:r>
                </w:p>
              </w:tc>
              <w:tc>
                <w:tcPr>
                  <w:tcW w:w="1014" w:type="pct"/>
                  <w:noWrap w:val="0"/>
                  <w:vAlign w:val="center"/>
                </w:tcPr>
                <w:p w14:paraId="195F2795">
                  <w:pPr>
                    <w:jc w:val="center"/>
                    <w:outlineLvl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989" w:type="pct"/>
                  <w:noWrap w:val="0"/>
                  <w:vAlign w:val="center"/>
                </w:tcPr>
                <w:p w14:paraId="2BFCCEDC">
                  <w:pPr>
                    <w:jc w:val="center"/>
                    <w:outlineLvl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事故应急池</w:t>
                  </w:r>
                  <w:r>
                    <w:rPr>
                      <w:rFonts w:hint="eastAsia" w:ascii="Times New Roman" w:hAnsi="Times New Roman" w:cs="Times New Roman"/>
                      <w:color w:val="000000" w:themeColor="text1"/>
                      <w:szCs w:val="21"/>
                      <w:lang w:val="en-US" w:eastAsia="zh-CN"/>
                      <w14:textFill>
                        <w14:solidFill>
                          <w14:schemeClr w14:val="tx1"/>
                        </w14:solidFill>
                      </w14:textFill>
                    </w:rPr>
                    <w:t>205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p>
              </w:tc>
              <w:tc>
                <w:tcPr>
                  <w:tcW w:w="826" w:type="pct"/>
                  <w:noWrap w:val="0"/>
                  <w:vAlign w:val="center"/>
                </w:tcPr>
                <w:p w14:paraId="4A987255">
                  <w:pPr>
                    <w:jc w:val="center"/>
                    <w:outlineLvl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w:t>
                  </w:r>
                </w:p>
              </w:tc>
              <w:tc>
                <w:tcPr>
                  <w:tcW w:w="1118" w:type="pct"/>
                  <w:noWrap w:val="0"/>
                  <w:vAlign w:val="center"/>
                </w:tcPr>
                <w:p w14:paraId="32FC546E">
                  <w:pPr>
                    <w:jc w:val="center"/>
                    <w:outlineLvl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拟建</w:t>
                  </w:r>
                </w:p>
              </w:tc>
            </w:tr>
            <w:tr w14:paraId="67A7EA6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32" w:hRule="atLeast"/>
              </w:trPr>
              <w:tc>
                <w:tcPr>
                  <w:tcW w:w="349" w:type="pct"/>
                  <w:vMerge w:val="continue"/>
                  <w:noWrap w:val="0"/>
                  <w:vAlign w:val="center"/>
                </w:tcPr>
                <w:p w14:paraId="039E20F1">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vMerge w:val="continue"/>
                  <w:noWrap w:val="0"/>
                  <w:vAlign w:val="center"/>
                </w:tcPr>
                <w:p w14:paraId="1AD33888">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1014" w:type="pct"/>
                  <w:noWrap w:val="0"/>
                  <w:vAlign w:val="center"/>
                </w:tcPr>
                <w:p w14:paraId="360826ED">
                  <w:pPr>
                    <w:jc w:val="center"/>
                    <w:outlineLvl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989" w:type="pct"/>
                  <w:noWrap w:val="0"/>
                  <w:vAlign w:val="center"/>
                </w:tcPr>
                <w:p w14:paraId="6CCA2D3E">
                  <w:pPr>
                    <w:jc w:val="center"/>
                    <w:outlineLvl w:val="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初期雨水收集池45m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p>
              </w:tc>
              <w:tc>
                <w:tcPr>
                  <w:tcW w:w="826" w:type="pct"/>
                  <w:shd w:val="clear" w:color="auto" w:fill="auto"/>
                  <w:noWrap w:val="0"/>
                  <w:vAlign w:val="center"/>
                </w:tcPr>
                <w:p w14:paraId="2BBF5C85">
                  <w:pPr>
                    <w:jc w:val="center"/>
                    <w:outlineLvl w:val="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w:t>
                  </w:r>
                </w:p>
              </w:tc>
              <w:tc>
                <w:tcPr>
                  <w:tcW w:w="1118" w:type="pct"/>
                  <w:shd w:val="clear" w:color="auto" w:fill="auto"/>
                  <w:noWrap w:val="0"/>
                  <w:vAlign w:val="center"/>
                </w:tcPr>
                <w:p w14:paraId="52C207B7">
                  <w:pPr>
                    <w:jc w:val="center"/>
                    <w:outlineLvl w:val="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拟建</w:t>
                  </w:r>
                </w:p>
              </w:tc>
            </w:tr>
            <w:tr w14:paraId="374E756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41" w:hRule="atLeast"/>
              </w:trPr>
              <w:tc>
                <w:tcPr>
                  <w:tcW w:w="349" w:type="pct"/>
                  <w:vMerge w:val="continue"/>
                  <w:noWrap w:val="0"/>
                  <w:vAlign w:val="center"/>
                </w:tcPr>
                <w:p w14:paraId="67FCB94A">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vMerge w:val="continue"/>
                  <w:noWrap w:val="0"/>
                  <w:vAlign w:val="center"/>
                </w:tcPr>
                <w:p w14:paraId="37EB7F9A">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1014" w:type="pct"/>
                  <w:noWrap w:val="0"/>
                  <w:vAlign w:val="center"/>
                </w:tcPr>
                <w:p w14:paraId="213314AC">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生活污水经化粪池预处理</w:t>
                  </w:r>
                </w:p>
              </w:tc>
              <w:tc>
                <w:tcPr>
                  <w:tcW w:w="989" w:type="pct"/>
                  <w:noWrap w:val="0"/>
                  <w:vAlign w:val="center"/>
                </w:tcPr>
                <w:p w14:paraId="2A95644D">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生活污水经化粪池预处理</w:t>
                  </w:r>
                </w:p>
              </w:tc>
              <w:tc>
                <w:tcPr>
                  <w:tcW w:w="826" w:type="pct"/>
                  <w:noWrap w:val="0"/>
                  <w:vAlign w:val="center"/>
                </w:tcPr>
                <w:p w14:paraId="473CF643">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无变化</w:t>
                  </w:r>
                </w:p>
              </w:tc>
              <w:tc>
                <w:tcPr>
                  <w:tcW w:w="1118" w:type="pct"/>
                  <w:noWrap w:val="0"/>
                  <w:vAlign w:val="center"/>
                </w:tcPr>
                <w:p w14:paraId="2C7972C0">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接管排放</w:t>
                  </w:r>
                </w:p>
              </w:tc>
            </w:tr>
            <w:tr w14:paraId="4873420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0" w:hRule="atLeast"/>
              </w:trPr>
              <w:tc>
                <w:tcPr>
                  <w:tcW w:w="349" w:type="pct"/>
                  <w:vMerge w:val="continue"/>
                  <w:noWrap w:val="0"/>
                  <w:vAlign w:val="center"/>
                </w:tcPr>
                <w:p w14:paraId="5E847031">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noWrap w:val="0"/>
                  <w:vAlign w:val="center"/>
                </w:tcPr>
                <w:p w14:paraId="3BB2E4BC">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固废处理</w:t>
                  </w:r>
                </w:p>
              </w:tc>
              <w:tc>
                <w:tcPr>
                  <w:tcW w:w="1014" w:type="pct"/>
                  <w:tcBorders>
                    <w:bottom w:val="single" w:color="auto" w:sz="4" w:space="0"/>
                  </w:tcBorders>
                  <w:noWrap w:val="0"/>
                  <w:vAlign w:val="center"/>
                </w:tcPr>
                <w:p w14:paraId="5C607DA1">
                  <w:pPr>
                    <w:adjustRightInd w:val="0"/>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一般固废暂存场所</w:t>
                  </w:r>
                  <w:r>
                    <w:rPr>
                      <w:rFonts w:hint="eastAsia" w:ascii="Times New Roman" w:hAnsi="Times New Roman" w:cs="Times New Roman"/>
                      <w:bCs/>
                      <w:color w:val="000000" w:themeColor="text1"/>
                      <w:szCs w:val="21"/>
                      <w:lang w:val="en-US" w:eastAsia="zh-CN"/>
                      <w14:textFill>
                        <w14:solidFill>
                          <w14:schemeClr w14:val="tx1"/>
                        </w14:solidFill>
                      </w14:textFill>
                    </w:rPr>
                    <w:t>100</w:t>
                  </w:r>
                  <w:r>
                    <w:rPr>
                      <w:rFonts w:hint="default" w:ascii="Times New Roman" w:hAnsi="Times New Roman" w:cs="Times New Roman"/>
                      <w:bCs/>
                      <w:color w:val="000000" w:themeColor="text1"/>
                      <w:szCs w:val="21"/>
                      <w14:textFill>
                        <w14:solidFill>
                          <w14:schemeClr w14:val="tx1"/>
                        </w14:solidFill>
                      </w14:textFill>
                    </w:rPr>
                    <w:t>m</w:t>
                  </w:r>
                  <w:r>
                    <w:rPr>
                      <w:rFonts w:hint="default" w:ascii="Times New Roman" w:hAnsi="Times New Roman" w:cs="Times New Roman"/>
                      <w:bCs/>
                      <w:color w:val="000000" w:themeColor="text1"/>
                      <w:szCs w:val="21"/>
                      <w:vertAlign w:val="superscript"/>
                      <w14:textFill>
                        <w14:solidFill>
                          <w14:schemeClr w14:val="tx1"/>
                        </w14:solidFill>
                      </w14:textFill>
                    </w:rPr>
                    <w:t>2</w:t>
                  </w:r>
                </w:p>
              </w:tc>
              <w:tc>
                <w:tcPr>
                  <w:tcW w:w="989" w:type="pct"/>
                  <w:tcBorders>
                    <w:bottom w:val="single" w:color="auto" w:sz="4" w:space="0"/>
                  </w:tcBorders>
                  <w:noWrap w:val="0"/>
                  <w:vAlign w:val="center"/>
                </w:tcPr>
                <w:p w14:paraId="0806F11B">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一般固废暂存场所</w:t>
                  </w:r>
                  <w:r>
                    <w:rPr>
                      <w:rFonts w:hint="eastAsia" w:ascii="Times New Roman" w:hAnsi="Times New Roman" w:cs="Times New Roman"/>
                      <w:bCs/>
                      <w:color w:val="000000" w:themeColor="text1"/>
                      <w:szCs w:val="21"/>
                      <w:lang w:val="en-US" w:eastAsia="zh-CN"/>
                      <w14:textFill>
                        <w14:solidFill>
                          <w14:schemeClr w14:val="tx1"/>
                        </w14:solidFill>
                      </w14:textFill>
                    </w:rPr>
                    <w:t>100</w:t>
                  </w:r>
                  <w:r>
                    <w:rPr>
                      <w:rFonts w:hint="default" w:ascii="Times New Roman" w:hAnsi="Times New Roman" w:cs="Times New Roman"/>
                      <w:bCs/>
                      <w:color w:val="000000" w:themeColor="text1"/>
                      <w:szCs w:val="21"/>
                      <w14:textFill>
                        <w14:solidFill>
                          <w14:schemeClr w14:val="tx1"/>
                        </w14:solidFill>
                      </w14:textFill>
                    </w:rPr>
                    <w:t>m</w:t>
                  </w:r>
                  <w:r>
                    <w:rPr>
                      <w:rFonts w:hint="default" w:ascii="Times New Roman" w:hAnsi="Times New Roman" w:cs="Times New Roman"/>
                      <w:bCs/>
                      <w:color w:val="000000" w:themeColor="text1"/>
                      <w:szCs w:val="21"/>
                      <w:vertAlign w:val="superscript"/>
                      <w14:textFill>
                        <w14:solidFill>
                          <w14:schemeClr w14:val="tx1"/>
                        </w14:solidFill>
                      </w14:textFill>
                    </w:rPr>
                    <w:t>2</w:t>
                  </w:r>
                </w:p>
              </w:tc>
              <w:tc>
                <w:tcPr>
                  <w:tcW w:w="826" w:type="pct"/>
                  <w:tcBorders>
                    <w:bottom w:val="single" w:color="auto" w:sz="4" w:space="0"/>
                  </w:tcBorders>
                  <w:noWrap w:val="0"/>
                  <w:vAlign w:val="center"/>
                </w:tcPr>
                <w:p w14:paraId="501004B7">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无变化</w:t>
                  </w:r>
                </w:p>
              </w:tc>
              <w:tc>
                <w:tcPr>
                  <w:tcW w:w="1118" w:type="pct"/>
                  <w:tcBorders>
                    <w:bottom w:val="single" w:color="auto" w:sz="4" w:space="0"/>
                  </w:tcBorders>
                  <w:noWrap w:val="0"/>
                  <w:vAlign w:val="center"/>
                </w:tcPr>
                <w:p w14:paraId="1BB6E170">
                  <w:pPr>
                    <w:jc w:val="center"/>
                    <w:outlineLvl w:val="0"/>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w:t>
                  </w:r>
                </w:p>
              </w:tc>
            </w:tr>
            <w:tr w14:paraId="795360D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86" w:hRule="atLeast"/>
              </w:trPr>
              <w:tc>
                <w:tcPr>
                  <w:tcW w:w="349" w:type="pct"/>
                  <w:vMerge w:val="continue"/>
                  <w:noWrap w:val="0"/>
                  <w:vAlign w:val="center"/>
                </w:tcPr>
                <w:p w14:paraId="0C5B8C1D">
                  <w:pPr>
                    <w:jc w:val="center"/>
                    <w:outlineLvl w:val="0"/>
                    <w:rPr>
                      <w:rFonts w:hint="default" w:ascii="Times New Roman" w:hAnsi="Times New Roman" w:cs="Times New Roman"/>
                      <w:color w:val="000000" w:themeColor="text1"/>
                      <w:szCs w:val="21"/>
                      <w14:textFill>
                        <w14:solidFill>
                          <w14:schemeClr w14:val="tx1"/>
                        </w14:solidFill>
                      </w14:textFill>
                    </w:rPr>
                  </w:pPr>
                </w:p>
              </w:tc>
              <w:tc>
                <w:tcPr>
                  <w:tcW w:w="702" w:type="pct"/>
                  <w:gridSpan w:val="2"/>
                  <w:noWrap w:val="0"/>
                  <w:vAlign w:val="center"/>
                </w:tcPr>
                <w:p w14:paraId="4F222AD9">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噪声防治</w:t>
                  </w:r>
                </w:p>
              </w:tc>
              <w:tc>
                <w:tcPr>
                  <w:tcW w:w="2830" w:type="pct"/>
                  <w:gridSpan w:val="3"/>
                  <w:noWrap w:val="0"/>
                  <w:vAlign w:val="center"/>
                </w:tcPr>
                <w:p w14:paraId="095B48ED">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厂房隔声、选用低噪声设备，高噪声设备应采取隔声、消声、减振和基础固定等措施</w:t>
                  </w:r>
                </w:p>
              </w:tc>
              <w:tc>
                <w:tcPr>
                  <w:tcW w:w="1118" w:type="pct"/>
                  <w:noWrap w:val="0"/>
                  <w:vAlign w:val="center"/>
                </w:tcPr>
                <w:p w14:paraId="33C310BA">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厂界达标</w:t>
                  </w:r>
                </w:p>
              </w:tc>
            </w:tr>
          </w:tbl>
          <w:p w14:paraId="6B09221F">
            <w:pPr>
              <w:widowControl w:val="0"/>
              <w:spacing w:line="360" w:lineRule="auto"/>
              <w:ind w:firstLine="420" w:firstLineChars="200"/>
              <w:rPr>
                <w:rFonts w:hint="default" w:ascii="Times New Roman" w:hAnsi="Times New Roman"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本项目</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利用自有</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土地</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进行生产</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本项目废水、废气、噪声责任主体为南通之禾时装有限公司，生活污水经化粪池处理后接管至</w:t>
            </w:r>
            <w:r>
              <w:rPr>
                <w:rFonts w:hint="eastAsia" w:ascii="Times New Roman" w:hAnsi="Times New Roman" w:cs="Times New Roman"/>
                <w:bCs/>
                <w:color w:val="000000" w:themeColor="text1"/>
                <w14:textFill>
                  <w14:solidFill>
                    <w14:schemeClr w14:val="tx1"/>
                  </w14:solidFill>
                </w14:textFill>
              </w:rPr>
              <w:t>南通</w:t>
            </w:r>
            <w:r>
              <w:rPr>
                <w:rFonts w:hint="eastAsia" w:ascii="Times New Roman" w:hAnsi="Times New Roman" w:cs="Times New Roman"/>
                <w:bCs/>
                <w:color w:val="000000" w:themeColor="text1"/>
                <w:lang w:val="en-US" w:eastAsia="zh-CN"/>
                <w14:textFill>
                  <w14:solidFill>
                    <w14:schemeClr w14:val="tx1"/>
                  </w14:solidFill>
                </w14:textFill>
              </w:rPr>
              <w:t>海门东洲水处理</w:t>
            </w:r>
            <w:r>
              <w:rPr>
                <w:rFonts w:hint="eastAsia" w:ascii="Times New Roman" w:hAnsi="Times New Roman" w:cs="Times New Roman"/>
                <w:bCs/>
                <w:color w:val="000000" w:themeColor="text1"/>
                <w14:textFill>
                  <w14:solidFill>
                    <w14:schemeClr w14:val="tx1"/>
                  </w14:solidFill>
                </w14:textFill>
              </w:rPr>
              <w:t>有限公司</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，噪声责任主体为本项目四周厂界外1米。</w:t>
            </w:r>
          </w:p>
          <w:p w14:paraId="063339AB">
            <w:pPr>
              <w:spacing w:line="360" w:lineRule="auto"/>
              <w:jc w:val="center"/>
              <w:outlineLvl w:val="0"/>
              <w:rPr>
                <w:rFonts w:hint="default" w:ascii="Times New Roman" w:hAnsi="Times New Roman" w:eastAsia="黑体" w:cs="Times New Roman"/>
                <w:color w:val="000000" w:themeColor="text1"/>
                <w:sz w:val="30"/>
                <w:vertAlign w:val="baseline"/>
                <w14:textFill>
                  <w14:solidFill>
                    <w14:schemeClr w14:val="tx1"/>
                  </w14:solidFill>
                </w14:textFill>
              </w:rPr>
            </w:pPr>
          </w:p>
        </w:tc>
      </w:tr>
    </w:tbl>
    <w:p w14:paraId="583F08C6">
      <w:pPr>
        <w:spacing w:line="360" w:lineRule="auto"/>
        <w:jc w:val="center"/>
        <w:outlineLvl w:val="0"/>
        <w:rPr>
          <w:rFonts w:hint="default" w:ascii="Times New Roman" w:hAnsi="Times New Roman" w:eastAsia="黑体" w:cs="Times New Roman"/>
          <w:color w:val="000000" w:themeColor="text1"/>
          <w:sz w:val="30"/>
          <w14:textFill>
            <w14:solidFill>
              <w14:schemeClr w14:val="tx1"/>
            </w14:solidFill>
          </w14:textFill>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648"/>
      </w:tblGrid>
      <w:tr w14:paraId="14DD8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7" w:hRule="atLeast"/>
          <w:jc w:val="center"/>
        </w:trPr>
        <w:tc>
          <w:tcPr>
            <w:tcW w:w="412" w:type="dxa"/>
            <w:noWrap w:val="0"/>
            <w:vAlign w:val="center"/>
          </w:tcPr>
          <w:p w14:paraId="30CBFECC">
            <w:pPr>
              <w:pStyle w:val="37"/>
              <w:adjustRightInd w:val="0"/>
              <w:snapToGrid w:val="0"/>
              <w:spacing w:before="0" w:beforeAutospacing="0" w:after="0" w:afterAutospacing="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建设内容</w:t>
            </w:r>
          </w:p>
        </w:tc>
        <w:tc>
          <w:tcPr>
            <w:tcW w:w="8648" w:type="dxa"/>
            <w:noWrap w:val="0"/>
            <w:vAlign w:val="top"/>
          </w:tcPr>
          <w:p w14:paraId="2A589C99">
            <w:pPr>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3、主要产品及产能</w:t>
            </w:r>
          </w:p>
          <w:p w14:paraId="51B27C4A">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表2-2 项目主体工程及产品方案表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298"/>
              <w:gridCol w:w="1110"/>
              <w:gridCol w:w="1065"/>
              <w:gridCol w:w="1125"/>
              <w:gridCol w:w="1155"/>
              <w:gridCol w:w="2052"/>
            </w:tblGrid>
            <w:tr w14:paraId="5107F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71" w:type="pct"/>
                  <w:vMerge w:val="restart"/>
                  <w:noWrap w:val="0"/>
                  <w:vAlign w:val="center"/>
                </w:tcPr>
                <w:p w14:paraId="547AF202">
                  <w:pPr>
                    <w:spacing w:line="240" w:lineRule="auto"/>
                    <w:jc w:val="center"/>
                    <w:outlineLvl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769" w:type="pct"/>
                  <w:vMerge w:val="restart"/>
                  <w:noWrap w:val="0"/>
                  <w:vAlign w:val="center"/>
                </w:tcPr>
                <w:p w14:paraId="3589E170">
                  <w:pPr>
                    <w:spacing w:line="240" w:lineRule="auto"/>
                    <w:jc w:val="center"/>
                    <w:outlineLvl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产品名称</w:t>
                  </w:r>
                </w:p>
              </w:tc>
              <w:tc>
                <w:tcPr>
                  <w:tcW w:w="1956" w:type="pct"/>
                  <w:gridSpan w:val="3"/>
                  <w:noWrap w:val="0"/>
                  <w:vAlign w:val="center"/>
                </w:tcPr>
                <w:p w14:paraId="6A4E70EE">
                  <w:pPr>
                    <w:spacing w:line="240" w:lineRule="auto"/>
                    <w:jc w:val="center"/>
                    <w:outlineLvl w:val="0"/>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设计能力</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hint="eastAsia" w:ascii="Times New Roman" w:hAnsi="Times New Roman" w:cs="Times New Roman"/>
                      <w:b/>
                      <w:bCs/>
                      <w:color w:val="000000" w:themeColor="text1"/>
                      <w:sz w:val="21"/>
                      <w:szCs w:val="21"/>
                      <w:lang w:val="en-US" w:eastAsia="zh-CN"/>
                      <w14:textFill>
                        <w14:solidFill>
                          <w14:schemeClr w14:val="tx1"/>
                        </w14:solidFill>
                      </w14:textFill>
                    </w:rPr>
                    <w:t>t/a</w:t>
                  </w:r>
                  <w:r>
                    <w:rPr>
                      <w:rFonts w:hint="eastAsia" w:ascii="Times New Roman" w:hAnsi="Times New Roman" w:cs="Times New Roman"/>
                      <w:b/>
                      <w:bCs/>
                      <w:color w:val="000000" w:themeColor="text1"/>
                      <w:sz w:val="21"/>
                      <w:szCs w:val="21"/>
                      <w:lang w:eastAsia="zh-CN"/>
                      <w14:textFill>
                        <w14:solidFill>
                          <w14:schemeClr w14:val="tx1"/>
                        </w14:solidFill>
                      </w14:textFill>
                    </w:rPr>
                    <w:t>）</w:t>
                  </w:r>
                </w:p>
              </w:tc>
              <w:tc>
                <w:tcPr>
                  <w:tcW w:w="684" w:type="pct"/>
                  <w:vMerge w:val="restart"/>
                  <w:noWrap w:val="0"/>
                  <w:vAlign w:val="center"/>
                </w:tcPr>
                <w:p w14:paraId="20D2ABC2">
                  <w:pPr>
                    <w:spacing w:line="240" w:lineRule="auto"/>
                    <w:jc w:val="center"/>
                    <w:outlineLvl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年运行</w:t>
                  </w:r>
                </w:p>
                <w:p w14:paraId="60B890EB">
                  <w:pPr>
                    <w:spacing w:line="240" w:lineRule="auto"/>
                    <w:jc w:val="center"/>
                    <w:outlineLvl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时间</w:t>
                  </w:r>
                </w:p>
              </w:tc>
              <w:tc>
                <w:tcPr>
                  <w:tcW w:w="1216" w:type="pct"/>
                  <w:vMerge w:val="restart"/>
                  <w:noWrap w:val="0"/>
                  <w:vAlign w:val="center"/>
                </w:tcPr>
                <w:p w14:paraId="3D3C15A9">
                  <w:pPr>
                    <w:spacing w:line="240" w:lineRule="auto"/>
                    <w:jc w:val="center"/>
                    <w:outlineLvl w:val="0"/>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备注</w:t>
                  </w:r>
                </w:p>
              </w:tc>
            </w:tr>
            <w:tr w14:paraId="3D3A7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71" w:type="pct"/>
                  <w:vMerge w:val="continue"/>
                  <w:noWrap w:val="0"/>
                  <w:vAlign w:val="center"/>
                </w:tcPr>
                <w:p w14:paraId="7121F2A0">
                  <w:pPr>
                    <w:spacing w:line="240" w:lineRule="auto"/>
                    <w:jc w:val="center"/>
                    <w:outlineLvl w:val="0"/>
                    <w:rPr>
                      <w:rFonts w:hint="default" w:ascii="Times New Roman" w:hAnsi="Times New Roman" w:cs="Times New Roman"/>
                      <w:b/>
                      <w:bCs/>
                      <w:color w:val="000000" w:themeColor="text1"/>
                      <w:sz w:val="21"/>
                      <w:szCs w:val="21"/>
                      <w14:textFill>
                        <w14:solidFill>
                          <w14:schemeClr w14:val="tx1"/>
                        </w14:solidFill>
                      </w14:textFill>
                    </w:rPr>
                  </w:pPr>
                </w:p>
              </w:tc>
              <w:tc>
                <w:tcPr>
                  <w:tcW w:w="769" w:type="pct"/>
                  <w:vMerge w:val="continue"/>
                  <w:noWrap w:val="0"/>
                  <w:vAlign w:val="center"/>
                </w:tcPr>
                <w:p w14:paraId="2B38D398">
                  <w:pPr>
                    <w:spacing w:line="240" w:lineRule="auto"/>
                    <w:jc w:val="center"/>
                    <w:outlineLvl w:val="0"/>
                    <w:rPr>
                      <w:rFonts w:hint="default" w:ascii="Times New Roman" w:hAnsi="Times New Roman" w:cs="Times New Roman"/>
                      <w:b/>
                      <w:bCs/>
                      <w:color w:val="000000" w:themeColor="text1"/>
                      <w:sz w:val="21"/>
                      <w:szCs w:val="21"/>
                      <w14:textFill>
                        <w14:solidFill>
                          <w14:schemeClr w14:val="tx1"/>
                        </w14:solidFill>
                      </w14:textFill>
                    </w:rPr>
                  </w:pPr>
                </w:p>
              </w:tc>
              <w:tc>
                <w:tcPr>
                  <w:tcW w:w="658" w:type="pct"/>
                  <w:noWrap w:val="0"/>
                  <w:vAlign w:val="center"/>
                </w:tcPr>
                <w:p w14:paraId="77A56831">
                  <w:pPr>
                    <w:spacing w:line="240" w:lineRule="auto"/>
                    <w:jc w:val="center"/>
                    <w:outlineLvl w:val="0"/>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改</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建前</w:t>
                  </w:r>
                </w:p>
              </w:tc>
              <w:tc>
                <w:tcPr>
                  <w:tcW w:w="631" w:type="pct"/>
                  <w:noWrap w:val="0"/>
                  <w:vAlign w:val="center"/>
                </w:tcPr>
                <w:p w14:paraId="537B9BCC">
                  <w:pPr>
                    <w:spacing w:line="240" w:lineRule="auto"/>
                    <w:jc w:val="center"/>
                    <w:outlineLvl w:val="0"/>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改</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建后</w:t>
                  </w:r>
                </w:p>
              </w:tc>
              <w:tc>
                <w:tcPr>
                  <w:tcW w:w="667" w:type="pct"/>
                  <w:noWrap w:val="0"/>
                  <w:vAlign w:val="center"/>
                </w:tcPr>
                <w:p w14:paraId="4AA313CC">
                  <w:pPr>
                    <w:spacing w:line="240" w:lineRule="auto"/>
                    <w:jc w:val="center"/>
                    <w:outlineLvl w:val="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变化量</w:t>
                  </w:r>
                </w:p>
              </w:tc>
              <w:tc>
                <w:tcPr>
                  <w:tcW w:w="684" w:type="pct"/>
                  <w:vMerge w:val="continue"/>
                  <w:noWrap w:val="0"/>
                  <w:vAlign w:val="center"/>
                </w:tcPr>
                <w:p w14:paraId="73BFD24B">
                  <w:pPr>
                    <w:spacing w:line="240" w:lineRule="auto"/>
                    <w:jc w:val="center"/>
                    <w:outlineLvl w:val="0"/>
                    <w:rPr>
                      <w:rFonts w:hint="default" w:ascii="Times New Roman" w:hAnsi="Times New Roman" w:cs="Times New Roman"/>
                      <w:b/>
                      <w:bCs/>
                      <w:color w:val="000000" w:themeColor="text1"/>
                      <w:sz w:val="21"/>
                      <w:szCs w:val="21"/>
                      <w14:textFill>
                        <w14:solidFill>
                          <w14:schemeClr w14:val="tx1"/>
                        </w14:solidFill>
                      </w14:textFill>
                    </w:rPr>
                  </w:pPr>
                </w:p>
              </w:tc>
              <w:tc>
                <w:tcPr>
                  <w:tcW w:w="1216" w:type="pct"/>
                  <w:vMerge w:val="continue"/>
                  <w:noWrap w:val="0"/>
                  <w:vAlign w:val="center"/>
                </w:tcPr>
                <w:p w14:paraId="4F23BDD7">
                  <w:pPr>
                    <w:spacing w:line="240" w:lineRule="auto"/>
                    <w:jc w:val="center"/>
                    <w:outlineLvl w:val="0"/>
                    <w:rPr>
                      <w:rFonts w:hint="default" w:ascii="Times New Roman" w:hAnsi="Times New Roman" w:cs="Times New Roman"/>
                      <w:b/>
                      <w:bCs/>
                      <w:color w:val="000000" w:themeColor="text1"/>
                      <w:sz w:val="21"/>
                      <w:szCs w:val="21"/>
                      <w:lang w:eastAsia="zh-CN"/>
                      <w14:textFill>
                        <w14:solidFill>
                          <w14:schemeClr w14:val="tx1"/>
                        </w14:solidFill>
                      </w14:textFill>
                    </w:rPr>
                  </w:pPr>
                </w:p>
              </w:tc>
            </w:tr>
            <w:tr w14:paraId="19AD3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71" w:type="pct"/>
                  <w:noWrap w:val="0"/>
                  <w:vAlign w:val="center"/>
                </w:tcPr>
                <w:p w14:paraId="05FB62A5">
                  <w:pPr>
                    <w:spacing w:line="240" w:lineRule="auto"/>
                    <w:jc w:val="center"/>
                    <w:outlineLvl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69" w:type="pct"/>
                  <w:noWrap w:val="0"/>
                  <w:vAlign w:val="center"/>
                </w:tcPr>
                <w:p w14:paraId="0817026E">
                  <w:pPr>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蒸汽</w:t>
                  </w:r>
                </w:p>
              </w:tc>
              <w:tc>
                <w:tcPr>
                  <w:tcW w:w="658" w:type="pct"/>
                  <w:noWrap w:val="0"/>
                  <w:vAlign w:val="center"/>
                </w:tcPr>
                <w:p w14:paraId="25881C35">
                  <w:pPr>
                    <w:spacing w:line="240" w:lineRule="auto"/>
                    <w:jc w:val="center"/>
                    <w:outlineLvl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7030</w:t>
                  </w:r>
                </w:p>
              </w:tc>
              <w:tc>
                <w:tcPr>
                  <w:tcW w:w="631" w:type="pct"/>
                  <w:noWrap w:val="0"/>
                  <w:vAlign w:val="center"/>
                </w:tcPr>
                <w:p w14:paraId="1ED745AF">
                  <w:pPr>
                    <w:spacing w:line="240" w:lineRule="auto"/>
                    <w:jc w:val="center"/>
                    <w:outlineLvl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6327</w:t>
                  </w:r>
                </w:p>
              </w:tc>
              <w:tc>
                <w:tcPr>
                  <w:tcW w:w="667" w:type="pct"/>
                  <w:noWrap w:val="0"/>
                  <w:vAlign w:val="center"/>
                </w:tcPr>
                <w:p w14:paraId="2C125BCC">
                  <w:pPr>
                    <w:spacing w:line="240" w:lineRule="auto"/>
                    <w:jc w:val="center"/>
                    <w:outlineLvl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-703</w:t>
                  </w:r>
                </w:p>
              </w:tc>
              <w:tc>
                <w:tcPr>
                  <w:tcW w:w="684" w:type="pct"/>
                  <w:noWrap w:val="0"/>
                  <w:vAlign w:val="center"/>
                </w:tcPr>
                <w:p w14:paraId="525ADDD2">
                  <w:pPr>
                    <w:spacing w:line="240" w:lineRule="auto"/>
                    <w:jc w:val="center"/>
                    <w:outlineLvl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300d*8h=2400h</w:t>
                  </w:r>
                </w:p>
              </w:tc>
              <w:tc>
                <w:tcPr>
                  <w:tcW w:w="1216" w:type="pct"/>
                  <w:noWrap w:val="0"/>
                  <w:vAlign w:val="center"/>
                </w:tcPr>
                <w:p w14:paraId="24193844">
                  <w:pPr>
                    <w:spacing w:line="240" w:lineRule="auto"/>
                    <w:jc w:val="center"/>
                    <w:outlineLvl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服装生产工序中使用的蒸汽由鑫源热电管道蒸汽改为自建3台蒸汽锅炉供汽</w:t>
                  </w:r>
                </w:p>
              </w:tc>
            </w:tr>
          </w:tbl>
          <w:p w14:paraId="543DD822">
            <w:pPr>
              <w:snapToGrid w:val="0"/>
              <w:spacing w:line="360" w:lineRule="auto"/>
              <w:ind w:firstLine="422" w:firstLineChars="200"/>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表2-3 蒸汽质量一览表</w:t>
            </w:r>
          </w:p>
          <w:tbl>
            <w:tblPr>
              <w:tblStyle w:val="4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108"/>
              <w:gridCol w:w="2108"/>
              <w:gridCol w:w="2108"/>
            </w:tblGrid>
            <w:tr w14:paraId="3E407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8" w:type="dxa"/>
                  <w:tcBorders>
                    <w:tl2br w:val="nil"/>
                    <w:tr2bl w:val="nil"/>
                  </w:tcBorders>
                  <w:vAlign w:val="center"/>
                </w:tcPr>
                <w:p w14:paraId="121A9D09">
                  <w:pPr>
                    <w:snapToGrid w:val="0"/>
                    <w:spacing w:line="36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蒸汽质量要求</w:t>
                  </w:r>
                </w:p>
              </w:tc>
              <w:tc>
                <w:tcPr>
                  <w:tcW w:w="2108" w:type="dxa"/>
                  <w:tcBorders>
                    <w:tl2br w:val="nil"/>
                    <w:tr2bl w:val="nil"/>
                  </w:tcBorders>
                  <w:vAlign w:val="center"/>
                </w:tcPr>
                <w:p w14:paraId="2D32BBFE">
                  <w:pPr>
                    <w:pStyle w:val="26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bookmarkStart w:id="3" w:name="_Toc6251"/>
                  <w:bookmarkStart w:id="4" w:name="_Toc12430"/>
                  <w:bookmarkStart w:id="5" w:name="_Toc387"/>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温度</w:t>
                  </w:r>
                  <w:bookmarkEnd w:id="3"/>
                  <w:bookmarkEnd w:id="4"/>
                  <w:bookmarkEnd w:id="5"/>
                  <w:bookmarkStart w:id="6" w:name="_Toc9464"/>
                  <w:bookmarkStart w:id="7" w:name="_Toc12480"/>
                  <w:bookmarkStart w:id="8" w:name="_Toc10144"/>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bookmarkEnd w:id="6"/>
                  <w:bookmarkEnd w:id="7"/>
                  <w:bookmarkEnd w:id="8"/>
                </w:p>
              </w:tc>
              <w:tc>
                <w:tcPr>
                  <w:tcW w:w="2108" w:type="dxa"/>
                  <w:tcBorders>
                    <w:tl2br w:val="nil"/>
                    <w:tr2bl w:val="nil"/>
                  </w:tcBorders>
                  <w:vAlign w:val="center"/>
                </w:tcPr>
                <w:p w14:paraId="26F2E985">
                  <w:pPr>
                    <w:snapToGrid w:val="0"/>
                    <w:spacing w:line="36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bookmarkStart w:id="9" w:name="_Toc2225"/>
                  <w:bookmarkStart w:id="10" w:name="_Toc28537"/>
                  <w:bookmarkStart w:id="11" w:name="_Toc3659"/>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流量（m3/h）</w:t>
                  </w:r>
                  <w:bookmarkEnd w:id="9"/>
                  <w:bookmarkEnd w:id="10"/>
                  <w:bookmarkEnd w:id="11"/>
                </w:p>
              </w:tc>
              <w:tc>
                <w:tcPr>
                  <w:tcW w:w="2108" w:type="dxa"/>
                  <w:tcBorders>
                    <w:tl2br w:val="nil"/>
                    <w:tr2bl w:val="nil"/>
                  </w:tcBorders>
                  <w:vAlign w:val="center"/>
                </w:tcPr>
                <w:p w14:paraId="0AC12B89">
                  <w:pPr>
                    <w:pStyle w:val="26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bookmarkStart w:id="12" w:name="_Toc32182"/>
                  <w:bookmarkStart w:id="13" w:name="_Toc29379"/>
                  <w:bookmarkStart w:id="14" w:name="_Toc24107"/>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压力</w:t>
                  </w:r>
                  <w:bookmarkEnd w:id="12"/>
                  <w:bookmarkEnd w:id="13"/>
                  <w:bookmarkEnd w:id="14"/>
                  <w:bookmarkStart w:id="15" w:name="_Toc20225"/>
                  <w:bookmarkStart w:id="16" w:name="_Toc15359"/>
                  <w:bookmarkStart w:id="17" w:name="_Toc30690"/>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（Mpa）</w:t>
                  </w:r>
                  <w:bookmarkEnd w:id="15"/>
                  <w:bookmarkEnd w:id="16"/>
                  <w:bookmarkEnd w:id="17"/>
                </w:p>
              </w:tc>
            </w:tr>
            <w:tr w14:paraId="7EAE0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8" w:type="dxa"/>
                  <w:tcBorders>
                    <w:tl2br w:val="nil"/>
                    <w:tr2bl w:val="nil"/>
                  </w:tcBorders>
                  <w:vAlign w:val="center"/>
                </w:tcPr>
                <w:p w14:paraId="4E870BCA">
                  <w:pPr>
                    <w:snapToGrid w:val="0"/>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蒸汽锅炉蒸汽</w:t>
                  </w:r>
                </w:p>
              </w:tc>
              <w:tc>
                <w:tcPr>
                  <w:tcW w:w="2108" w:type="dxa"/>
                  <w:tcBorders>
                    <w:tl2br w:val="nil"/>
                    <w:tr2bl w:val="nil"/>
                  </w:tcBorders>
                  <w:vAlign w:val="center"/>
                </w:tcPr>
                <w:p w14:paraId="7AF2AF61">
                  <w:pPr>
                    <w:snapToGrid w:val="0"/>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180</w:t>
                  </w:r>
                </w:p>
              </w:tc>
              <w:tc>
                <w:tcPr>
                  <w:tcW w:w="2108" w:type="dxa"/>
                  <w:tcBorders>
                    <w:tl2br w:val="nil"/>
                    <w:tr2bl w:val="nil"/>
                  </w:tcBorders>
                  <w:vAlign w:val="center"/>
                </w:tcPr>
                <w:p w14:paraId="3433E691">
                  <w:pPr>
                    <w:snapToGrid w:val="0"/>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0.8</w:t>
                  </w:r>
                </w:p>
              </w:tc>
              <w:tc>
                <w:tcPr>
                  <w:tcW w:w="2108" w:type="dxa"/>
                  <w:tcBorders>
                    <w:tl2br w:val="nil"/>
                    <w:tr2bl w:val="nil"/>
                  </w:tcBorders>
                  <w:vAlign w:val="center"/>
                </w:tcPr>
                <w:p w14:paraId="0A3E5EF6">
                  <w:pPr>
                    <w:snapToGrid w:val="0"/>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0.9</w:t>
                  </w:r>
                </w:p>
              </w:tc>
            </w:tr>
          </w:tbl>
          <w:p w14:paraId="1C5E7C74">
            <w:pPr>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4、主要生产设施</w:t>
            </w:r>
          </w:p>
          <w:p w14:paraId="464C1669">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cs="Times New Roman"/>
                <w:b/>
                <w:bCs/>
                <w:color w:val="000000" w:themeColor="text1"/>
                <w:sz w:val="21"/>
                <w:szCs w:val="21"/>
                <w14:textFill>
                  <w14:solidFill>
                    <w14:schemeClr w14:val="tx1"/>
                  </w14:solidFill>
                </w14:textFill>
              </w:rPr>
              <w:t xml:space="preserve">  </w:t>
            </w:r>
            <w:r>
              <w:rPr>
                <w:rFonts w:hint="default" w:ascii="Times New Roman" w:hAnsi="Times New Roman" w:cs="Times New Roman"/>
                <w:b/>
                <w:bCs/>
                <w:color w:val="000000" w:themeColor="text1"/>
                <w:sz w:val="21"/>
                <w:szCs w:val="21"/>
                <w:lang w:eastAsia="zh-CN"/>
                <w14:textFill>
                  <w14:solidFill>
                    <w14:schemeClr w14:val="tx1"/>
                  </w14:solidFill>
                </w14:textFill>
              </w:rPr>
              <w:t>本</w:t>
            </w:r>
            <w:r>
              <w:rPr>
                <w:rFonts w:hint="default" w:ascii="Times New Roman" w:hAnsi="Times New Roman" w:cs="Times New Roman"/>
                <w:b/>
                <w:bCs/>
                <w:color w:val="000000" w:themeColor="text1"/>
                <w:sz w:val="21"/>
                <w:szCs w:val="21"/>
                <w14:textFill>
                  <w14:solidFill>
                    <w14:schemeClr w14:val="tx1"/>
                  </w14:solidFill>
                </w14:textFill>
              </w:rPr>
              <w:t>项目主要生产设施一览表</w:t>
            </w:r>
          </w:p>
          <w:tbl>
            <w:tblPr>
              <w:tblStyle w:val="42"/>
              <w:tblW w:w="4997" w:type="pct"/>
              <w:tblInd w:w="0" w:type="dxa"/>
              <w:tblBorders>
                <w:top w:val="single" w:color="000000" w:sz="1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583"/>
              <w:gridCol w:w="584"/>
              <w:gridCol w:w="2040"/>
              <w:gridCol w:w="2071"/>
              <w:gridCol w:w="735"/>
              <w:gridCol w:w="771"/>
              <w:gridCol w:w="774"/>
              <w:gridCol w:w="869"/>
            </w:tblGrid>
            <w:tr w14:paraId="07BBABC0">
              <w:tblPrEx>
                <w:tblBorders>
                  <w:top w:val="single" w:color="000000" w:sz="1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345" w:type="pct"/>
                  <w:vMerge w:val="restart"/>
                  <w:tcBorders>
                    <w:right w:val="single" w:color="000000" w:sz="6" w:space="0"/>
                  </w:tcBorders>
                  <w:noWrap w:val="0"/>
                  <w:vAlign w:val="center"/>
                </w:tcPr>
                <w:p w14:paraId="171B0139">
                  <w:pPr>
                    <w:pStyle w:val="239"/>
                    <w:spacing w:line="240" w:lineRule="auto"/>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346" w:type="pct"/>
                  <w:vMerge w:val="restart"/>
                  <w:tcBorders>
                    <w:right w:val="single" w:color="000000" w:sz="6" w:space="0"/>
                  </w:tcBorders>
                  <w:noWrap w:val="0"/>
                  <w:vAlign w:val="center"/>
                </w:tcPr>
                <w:p w14:paraId="727CABFB">
                  <w:pPr>
                    <w:pStyle w:val="239"/>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所在位置</w:t>
                  </w:r>
                </w:p>
              </w:tc>
              <w:tc>
                <w:tcPr>
                  <w:tcW w:w="1210" w:type="pct"/>
                  <w:vMerge w:val="restart"/>
                  <w:noWrap w:val="0"/>
                  <w:vAlign w:val="center"/>
                </w:tcPr>
                <w:p w14:paraId="16D4AD28">
                  <w:pPr>
                    <w:pStyle w:val="239"/>
                    <w:spacing w:line="240" w:lineRule="auto"/>
                    <w:jc w:val="center"/>
                    <w:rPr>
                      <w:rFonts w:hint="default" w:ascii="Times New Roman" w:hAnsi="Times New Roman" w:eastAsia="宋体" w:cs="Times New Roman"/>
                      <w:b/>
                      <w:color w:val="000000" w:themeColor="text1"/>
                      <w:sz w:val="21"/>
                      <w:szCs w:val="21"/>
                      <w:lang w:val="en-US"/>
                      <w14:textFill>
                        <w14:solidFill>
                          <w14:schemeClr w14:val="tx1"/>
                        </w14:solidFill>
                      </w14:textFill>
                    </w:rPr>
                  </w:pPr>
                  <w:r>
                    <w:rPr>
                      <w:rFonts w:hint="default" w:ascii="Times New Roman" w:hAnsi="Times New Roman" w:eastAsia="宋体" w:cs="Times New Roman"/>
                      <w:b/>
                      <w:color w:val="000000" w:themeColor="text1"/>
                      <w:sz w:val="21"/>
                      <w:szCs w:val="21"/>
                      <w:lang w:val="en-US"/>
                      <w14:textFill>
                        <w14:solidFill>
                          <w14:schemeClr w14:val="tx1"/>
                        </w14:solidFill>
                      </w14:textFill>
                    </w:rPr>
                    <w:t>生产设施</w:t>
                  </w:r>
                </w:p>
              </w:tc>
              <w:tc>
                <w:tcPr>
                  <w:tcW w:w="1228" w:type="pct"/>
                  <w:vMerge w:val="restart"/>
                  <w:tcBorders>
                    <w:right w:val="single" w:color="000000" w:sz="6" w:space="0"/>
                  </w:tcBorders>
                  <w:noWrap w:val="0"/>
                  <w:vAlign w:val="center"/>
                </w:tcPr>
                <w:p w14:paraId="56DCBF72">
                  <w:pPr>
                    <w:pStyle w:val="239"/>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14:textFill>
                        <w14:solidFill>
                          <w14:schemeClr w14:val="tx1"/>
                        </w14:solidFill>
                      </w14:textFill>
                    </w:rPr>
                    <w:t>设施参数</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/型号</w:t>
                  </w:r>
                </w:p>
              </w:tc>
              <w:tc>
                <w:tcPr>
                  <w:tcW w:w="1352" w:type="pct"/>
                  <w:gridSpan w:val="3"/>
                  <w:tcBorders>
                    <w:left w:val="single" w:color="000000" w:sz="6" w:space="0"/>
                    <w:bottom w:val="single" w:color="auto" w:sz="4" w:space="0"/>
                  </w:tcBorders>
                  <w:noWrap w:val="0"/>
                  <w:vAlign w:val="center"/>
                </w:tcPr>
                <w:p w14:paraId="31ECF44A">
                  <w:pPr>
                    <w:pStyle w:val="239"/>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14:textFill>
                        <w14:solidFill>
                          <w14:schemeClr w14:val="tx1"/>
                        </w14:solidFill>
                      </w14:textFill>
                    </w:rPr>
                    <w:t>数量</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（台/条）</w:t>
                  </w:r>
                </w:p>
              </w:tc>
              <w:tc>
                <w:tcPr>
                  <w:tcW w:w="515" w:type="pct"/>
                  <w:vMerge w:val="restart"/>
                  <w:tcBorders>
                    <w:left w:val="single" w:color="000000" w:sz="6" w:space="0"/>
                  </w:tcBorders>
                  <w:noWrap w:val="0"/>
                  <w:vAlign w:val="center"/>
                </w:tcPr>
                <w:p w14:paraId="5947D98E">
                  <w:pPr>
                    <w:pStyle w:val="239"/>
                    <w:spacing w:line="240" w:lineRule="auto"/>
                    <w:jc w:val="center"/>
                    <w:rPr>
                      <w:rFonts w:hint="default" w:ascii="Times New Roman" w:hAnsi="Times New Roman" w:eastAsia="宋体" w:cs="Times New Roman"/>
                      <w:b/>
                      <w:color w:val="000000" w:themeColor="text1"/>
                      <w:sz w:val="21"/>
                      <w:szCs w:val="21"/>
                      <w:lang w:val="en-US"/>
                      <w14:textFill>
                        <w14:solidFill>
                          <w14:schemeClr w14:val="tx1"/>
                        </w14:solidFill>
                      </w14:textFill>
                    </w:rPr>
                  </w:pPr>
                  <w:r>
                    <w:rPr>
                      <w:rFonts w:hint="default" w:ascii="Times New Roman" w:hAnsi="Times New Roman" w:eastAsia="宋体" w:cs="Times New Roman"/>
                      <w:b/>
                      <w:color w:val="000000" w:themeColor="text1"/>
                      <w:sz w:val="21"/>
                      <w:szCs w:val="21"/>
                      <w:lang w:val="en-US"/>
                      <w14:textFill>
                        <w14:solidFill>
                          <w14:schemeClr w14:val="tx1"/>
                        </w14:solidFill>
                      </w14:textFill>
                    </w:rPr>
                    <w:t>备注</w:t>
                  </w:r>
                </w:p>
              </w:tc>
            </w:tr>
            <w:tr w14:paraId="3798F56B">
              <w:tblPrEx>
                <w:tblBorders>
                  <w:top w:val="single" w:color="000000" w:sz="1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345" w:type="pct"/>
                  <w:vMerge w:val="continue"/>
                  <w:tcBorders>
                    <w:right w:val="single" w:color="000000" w:sz="6" w:space="0"/>
                  </w:tcBorders>
                  <w:noWrap w:val="0"/>
                  <w:vAlign w:val="center"/>
                </w:tcPr>
                <w:p w14:paraId="404AEB96">
                  <w:pPr>
                    <w:pStyle w:val="239"/>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346" w:type="pct"/>
                  <w:vMerge w:val="continue"/>
                  <w:tcBorders>
                    <w:right w:val="single" w:color="000000" w:sz="6" w:space="0"/>
                  </w:tcBorders>
                  <w:noWrap w:val="0"/>
                  <w:vAlign w:val="center"/>
                </w:tcPr>
                <w:p w14:paraId="6A379D33">
                  <w:pPr>
                    <w:pStyle w:val="239"/>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210" w:type="pct"/>
                  <w:vMerge w:val="continue"/>
                  <w:noWrap w:val="0"/>
                  <w:vAlign w:val="center"/>
                </w:tcPr>
                <w:p w14:paraId="2A2CA131">
                  <w:pPr>
                    <w:pStyle w:val="239"/>
                    <w:spacing w:line="240" w:lineRule="auto"/>
                    <w:jc w:val="center"/>
                    <w:rPr>
                      <w:rFonts w:hint="default" w:ascii="Times New Roman" w:hAnsi="Times New Roman" w:eastAsia="宋体" w:cs="Times New Roman"/>
                      <w:b/>
                      <w:color w:val="000000" w:themeColor="text1"/>
                      <w:sz w:val="21"/>
                      <w:szCs w:val="21"/>
                      <w:lang w:val="en-US"/>
                      <w14:textFill>
                        <w14:solidFill>
                          <w14:schemeClr w14:val="tx1"/>
                        </w14:solidFill>
                      </w14:textFill>
                    </w:rPr>
                  </w:pPr>
                </w:p>
              </w:tc>
              <w:tc>
                <w:tcPr>
                  <w:tcW w:w="1228" w:type="pct"/>
                  <w:vMerge w:val="continue"/>
                  <w:tcBorders>
                    <w:right w:val="single" w:color="000000" w:sz="6" w:space="0"/>
                  </w:tcBorders>
                  <w:noWrap w:val="0"/>
                  <w:vAlign w:val="center"/>
                </w:tcPr>
                <w:p w14:paraId="5BF2971C">
                  <w:pPr>
                    <w:pStyle w:val="239"/>
                    <w:spacing w:line="240" w:lineRule="auto"/>
                    <w:jc w:val="center"/>
                    <w:rPr>
                      <w:rFonts w:hint="default" w:ascii="Times New Roman" w:hAnsi="Times New Roman" w:eastAsia="宋体" w:cs="Times New Roman"/>
                      <w:b/>
                      <w:color w:val="000000" w:themeColor="text1"/>
                      <w:sz w:val="21"/>
                      <w:szCs w:val="21"/>
                      <w:lang w:val="en-US"/>
                      <w14:textFill>
                        <w14:solidFill>
                          <w14:schemeClr w14:val="tx1"/>
                        </w14:solidFill>
                      </w14:textFill>
                    </w:rPr>
                  </w:pPr>
                </w:p>
              </w:tc>
              <w:tc>
                <w:tcPr>
                  <w:tcW w:w="436" w:type="pct"/>
                  <w:tcBorders>
                    <w:top w:val="single" w:color="auto" w:sz="4" w:space="0"/>
                    <w:left w:val="single" w:color="000000" w:sz="6" w:space="0"/>
                    <w:right w:val="single" w:color="auto" w:sz="4" w:space="0"/>
                  </w:tcBorders>
                  <w:noWrap w:val="0"/>
                  <w:vAlign w:val="center"/>
                </w:tcPr>
                <w:p w14:paraId="6706C24B">
                  <w:pPr>
                    <w:jc w:val="center"/>
                    <w:outlineLvl w:val="0"/>
                    <w:rPr>
                      <w:rFonts w:hint="default" w:ascii="Times New Roman" w:hAnsi="Times New Roman" w:eastAsia="宋体" w:cs="Times New Roman"/>
                      <w:b/>
                      <w:color w:val="000000" w:themeColor="text1"/>
                      <w:sz w:val="21"/>
                      <w:szCs w:val="21"/>
                      <w:lang w:val="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扩建前</w:t>
                  </w:r>
                </w:p>
              </w:tc>
              <w:tc>
                <w:tcPr>
                  <w:tcW w:w="457" w:type="pct"/>
                  <w:tcBorders>
                    <w:top w:val="single" w:color="auto" w:sz="4" w:space="0"/>
                    <w:left w:val="single" w:color="auto" w:sz="4" w:space="0"/>
                    <w:right w:val="single" w:color="auto" w:sz="4" w:space="0"/>
                  </w:tcBorders>
                  <w:noWrap w:val="0"/>
                  <w:vAlign w:val="center"/>
                </w:tcPr>
                <w:p w14:paraId="4C1E98F4">
                  <w:pPr>
                    <w:jc w:val="center"/>
                    <w:outlineLvl w:val="0"/>
                    <w:rPr>
                      <w:rFonts w:hint="default" w:ascii="Times New Roman" w:hAnsi="Times New Roman" w:eastAsia="宋体" w:cs="Times New Roman"/>
                      <w:b/>
                      <w:color w:val="000000" w:themeColor="text1"/>
                      <w:sz w:val="21"/>
                      <w:szCs w:val="21"/>
                      <w:lang w:val="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扩建后</w:t>
                  </w:r>
                </w:p>
              </w:tc>
              <w:tc>
                <w:tcPr>
                  <w:tcW w:w="459" w:type="pct"/>
                  <w:tcBorders>
                    <w:top w:val="single" w:color="auto" w:sz="4" w:space="0"/>
                    <w:left w:val="single" w:color="auto" w:sz="4" w:space="0"/>
                  </w:tcBorders>
                  <w:noWrap w:val="0"/>
                  <w:vAlign w:val="center"/>
                </w:tcPr>
                <w:p w14:paraId="4777654C">
                  <w:pPr>
                    <w:jc w:val="center"/>
                    <w:outlineLvl w:val="0"/>
                    <w:rPr>
                      <w:rFonts w:hint="default" w:ascii="Times New Roman" w:hAnsi="Times New Roman" w:eastAsia="宋体" w:cs="Times New Roman"/>
                      <w:b/>
                      <w:color w:val="000000" w:themeColor="text1"/>
                      <w:sz w:val="21"/>
                      <w:szCs w:val="21"/>
                      <w:lang w:val="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变化量</w:t>
                  </w:r>
                </w:p>
              </w:tc>
              <w:tc>
                <w:tcPr>
                  <w:tcW w:w="515" w:type="pct"/>
                  <w:vMerge w:val="continue"/>
                  <w:tcBorders>
                    <w:left w:val="single" w:color="000000" w:sz="6" w:space="0"/>
                  </w:tcBorders>
                  <w:noWrap w:val="0"/>
                  <w:vAlign w:val="center"/>
                </w:tcPr>
                <w:p w14:paraId="7EFE37D0">
                  <w:pPr>
                    <w:pStyle w:val="239"/>
                    <w:spacing w:line="240" w:lineRule="auto"/>
                    <w:jc w:val="center"/>
                    <w:rPr>
                      <w:rFonts w:hint="default" w:ascii="Times New Roman" w:hAnsi="Times New Roman" w:eastAsia="宋体" w:cs="Times New Roman"/>
                      <w:b/>
                      <w:color w:val="000000" w:themeColor="text1"/>
                      <w:sz w:val="21"/>
                      <w:szCs w:val="21"/>
                      <w:lang w:val="en-US"/>
                      <w14:textFill>
                        <w14:solidFill>
                          <w14:schemeClr w14:val="tx1"/>
                        </w14:solidFill>
                      </w14:textFill>
                    </w:rPr>
                  </w:pPr>
                </w:p>
              </w:tc>
            </w:tr>
            <w:tr w14:paraId="587DD42F">
              <w:tblPrEx>
                <w:tblBorders>
                  <w:top w:val="single" w:color="000000" w:sz="1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45" w:type="pct"/>
                  <w:tcBorders>
                    <w:top w:val="single" w:color="auto" w:sz="4" w:space="0"/>
                    <w:bottom w:val="single" w:color="auto" w:sz="4" w:space="0"/>
                    <w:right w:val="single" w:color="000000" w:sz="6" w:space="0"/>
                  </w:tcBorders>
                  <w:noWrap w:val="0"/>
                  <w:vAlign w:val="center"/>
                </w:tcPr>
                <w:p w14:paraId="5E6784A8">
                  <w:pPr>
                    <w:pStyle w:val="239"/>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346" w:type="pct"/>
                  <w:tcBorders>
                    <w:right w:val="single" w:color="000000" w:sz="6" w:space="0"/>
                  </w:tcBorders>
                  <w:noWrap w:val="0"/>
                  <w:vAlign w:val="center"/>
                </w:tcPr>
                <w:p w14:paraId="6E00A1B5">
                  <w:pPr>
                    <w:pStyle w:val="239"/>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锅炉房</w:t>
                  </w:r>
                </w:p>
              </w:tc>
              <w:tc>
                <w:tcPr>
                  <w:tcW w:w="1210" w:type="pct"/>
                  <w:tcBorders>
                    <w:top w:val="single" w:color="auto" w:sz="4" w:space="0"/>
                    <w:bottom w:val="single" w:color="auto" w:sz="4" w:space="0"/>
                  </w:tcBorders>
                  <w:noWrap w:val="0"/>
                  <w:vAlign w:val="center"/>
                </w:tcPr>
                <w:p w14:paraId="75AFD563">
                  <w:pPr>
                    <w:pStyle w:val="26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天然气锅炉</w:t>
                  </w:r>
                </w:p>
              </w:tc>
              <w:tc>
                <w:tcPr>
                  <w:tcW w:w="1228" w:type="pct"/>
                  <w:noWrap w:val="0"/>
                  <w:vAlign w:val="center"/>
                </w:tcPr>
                <w:p w14:paraId="5CCD384C">
                  <w:pPr>
                    <w:pStyle w:val="26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3T</w:t>
                  </w:r>
                </w:p>
              </w:tc>
              <w:tc>
                <w:tcPr>
                  <w:tcW w:w="436" w:type="pct"/>
                  <w:tcBorders>
                    <w:right w:val="single" w:color="auto" w:sz="4" w:space="0"/>
                  </w:tcBorders>
                  <w:noWrap w:val="0"/>
                  <w:vAlign w:val="center"/>
                </w:tcPr>
                <w:p w14:paraId="22210FE4">
                  <w:pPr>
                    <w:pStyle w:val="26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w:t>
                  </w:r>
                </w:p>
              </w:tc>
              <w:tc>
                <w:tcPr>
                  <w:tcW w:w="457" w:type="pct"/>
                  <w:tcBorders>
                    <w:left w:val="single" w:color="auto" w:sz="4" w:space="0"/>
                    <w:right w:val="single" w:color="auto" w:sz="4" w:space="0"/>
                  </w:tcBorders>
                  <w:noWrap w:val="0"/>
                  <w:vAlign w:val="center"/>
                </w:tcPr>
                <w:p w14:paraId="3E732295">
                  <w:pPr>
                    <w:pStyle w:val="260"/>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459" w:type="pct"/>
                  <w:tcBorders>
                    <w:left w:val="single" w:color="auto" w:sz="4" w:space="0"/>
                    <w:bottom w:val="single" w:color="auto" w:sz="4" w:space="0"/>
                  </w:tcBorders>
                  <w:noWrap w:val="0"/>
                  <w:vAlign w:val="center"/>
                </w:tcPr>
                <w:p w14:paraId="1B137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15" w:type="pct"/>
                  <w:tcBorders>
                    <w:bottom w:val="single" w:color="auto" w:sz="4" w:space="0"/>
                  </w:tcBorders>
                  <w:noWrap w:val="0"/>
                  <w:vAlign w:val="center"/>
                </w:tcPr>
                <w:p w14:paraId="5A200297">
                  <w:pPr>
                    <w:pStyle w:val="239"/>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提供蒸汽</w:t>
                  </w:r>
                  <w:r>
                    <w:rPr>
                      <w:rFonts w:hint="eastAsia" w:ascii="Times New Roman" w:hAnsi="Times New Roman" w:cs="Times New Roman"/>
                      <w:color w:val="000000" w:themeColor="text1"/>
                      <w:sz w:val="21"/>
                      <w:szCs w:val="21"/>
                      <w:lang w:val="en-US" w:eastAsia="zh-CN"/>
                      <w14:textFill>
                        <w14:solidFill>
                          <w14:schemeClr w14:val="tx1"/>
                        </w14:solidFill>
                      </w14:textFill>
                    </w:rPr>
                    <w:t>，年运行</w:t>
                  </w:r>
                  <w:r>
                    <w:rPr>
                      <w:rFonts w:hint="default" w:ascii="Times New Roman" w:hAnsi="Times New Roman" w:cs="Times New Roman"/>
                      <w:color w:val="000000" w:themeColor="text1"/>
                      <w:sz w:val="21"/>
                      <w:szCs w:val="21"/>
                      <w:lang w:val="en-US" w:eastAsia="zh-CN"/>
                      <w14:textFill>
                        <w14:solidFill>
                          <w14:schemeClr w14:val="tx1"/>
                        </w14:solidFill>
                      </w14:textFill>
                    </w:rPr>
                    <w:t>2400h</w:t>
                  </w:r>
                </w:p>
              </w:tc>
            </w:tr>
          </w:tbl>
          <w:p w14:paraId="02BC314A">
            <w:pPr>
              <w:spacing w:line="360" w:lineRule="auto"/>
              <w:ind w:left="434"/>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表2-5 蒸汽锅炉及其配套设备清单 </w:t>
            </w:r>
          </w:p>
          <w:tbl>
            <w:tblPr>
              <w:tblStyle w:val="4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2007"/>
              <w:gridCol w:w="2696"/>
              <w:gridCol w:w="1035"/>
              <w:gridCol w:w="885"/>
              <w:gridCol w:w="1347"/>
            </w:tblGrid>
            <w:tr w14:paraId="5408C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tcBorders>
                    <w:tl2br w:val="nil"/>
                    <w:tr2bl w:val="nil"/>
                  </w:tcBorders>
                  <w:noWrap w:val="0"/>
                  <w:vAlign w:val="center"/>
                </w:tcPr>
                <w:p w14:paraId="38052F37">
                  <w:pPr>
                    <w:pStyle w:val="2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190" w:type="pct"/>
                  <w:tcBorders>
                    <w:tl2br w:val="nil"/>
                    <w:tr2bl w:val="nil"/>
                  </w:tcBorders>
                  <w:noWrap w:val="0"/>
                  <w:vAlign w:val="center"/>
                </w:tcPr>
                <w:p w14:paraId="632AE660">
                  <w:pPr>
                    <w:pStyle w:val="2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1598" w:type="pct"/>
                  <w:tcBorders>
                    <w:tl2br w:val="nil"/>
                    <w:tr2bl w:val="nil"/>
                  </w:tcBorders>
                  <w:noWrap w:val="0"/>
                  <w:vAlign w:val="center"/>
                </w:tcPr>
                <w:p w14:paraId="6043522C">
                  <w:pPr>
                    <w:pStyle w:val="2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型号/规格</w:t>
                  </w:r>
                </w:p>
              </w:tc>
              <w:tc>
                <w:tcPr>
                  <w:tcW w:w="613" w:type="pct"/>
                  <w:tcBorders>
                    <w:tl2br w:val="nil"/>
                    <w:tr2bl w:val="nil"/>
                  </w:tcBorders>
                  <w:noWrap w:val="0"/>
                  <w:vAlign w:val="center"/>
                </w:tcPr>
                <w:p w14:paraId="5A7A1D72">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Style w:val="262"/>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524" w:type="pct"/>
                  <w:tcBorders>
                    <w:tl2br w:val="nil"/>
                    <w:tr2bl w:val="nil"/>
                  </w:tcBorders>
                  <w:noWrap w:val="0"/>
                  <w:vAlign w:val="center"/>
                </w:tcPr>
                <w:p w14:paraId="37DAC8B8">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Style w:val="262"/>
                      <w:rFonts w:hint="default" w:ascii="Times New Roman" w:hAnsi="Times New Roman" w:eastAsia="宋体" w:cs="Times New Roman"/>
                      <w:b/>
                      <w:bCs/>
                      <w:color w:val="000000" w:themeColor="text1"/>
                      <w:sz w:val="21"/>
                      <w:szCs w:val="21"/>
                      <w14:textFill>
                        <w14:solidFill>
                          <w14:schemeClr w14:val="tx1"/>
                        </w14:solidFill>
                      </w14:textFill>
                    </w:rPr>
                    <w:t>数量</w:t>
                  </w:r>
                </w:p>
              </w:tc>
              <w:tc>
                <w:tcPr>
                  <w:tcW w:w="798" w:type="pct"/>
                  <w:tcBorders>
                    <w:tl2br w:val="nil"/>
                    <w:tr2bl w:val="nil"/>
                  </w:tcBorders>
                  <w:noWrap w:val="0"/>
                  <w:vAlign w:val="center"/>
                </w:tcPr>
                <w:p w14:paraId="5DE5F873">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Style w:val="262"/>
                      <w:rFonts w:hint="default" w:ascii="Times New Roman" w:hAnsi="Times New Roman" w:eastAsia="宋体" w:cs="Times New Roman"/>
                      <w:b/>
                      <w:bCs/>
                      <w:color w:val="000000" w:themeColor="text1"/>
                      <w:sz w:val="21"/>
                      <w:szCs w:val="21"/>
                      <w14:textFill>
                        <w14:solidFill>
                          <w14:schemeClr w14:val="tx1"/>
                        </w14:solidFill>
                      </w14:textFill>
                    </w:rPr>
                    <w:t>备注</w:t>
                  </w:r>
                </w:p>
              </w:tc>
            </w:tr>
            <w:tr w14:paraId="6782E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restart"/>
                  <w:tcBorders>
                    <w:tl2br w:val="nil"/>
                    <w:tr2bl w:val="nil"/>
                  </w:tcBorders>
                  <w:noWrap w:val="0"/>
                  <w:vAlign w:val="center"/>
                </w:tcPr>
                <w:p w14:paraId="6D564715">
                  <w:pPr>
                    <w:pStyle w:val="2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90" w:type="pct"/>
                  <w:tcBorders>
                    <w:tl2br w:val="nil"/>
                    <w:tr2bl w:val="nil"/>
                  </w:tcBorders>
                  <w:noWrap w:val="0"/>
                  <w:vAlign w:val="center"/>
                </w:tcPr>
                <w:p w14:paraId="2B91F92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THSD3蒸汽锅炉</w:t>
                  </w:r>
                </w:p>
              </w:tc>
              <w:tc>
                <w:tcPr>
                  <w:tcW w:w="1598" w:type="pct"/>
                  <w:tcBorders>
                    <w:tl2br w:val="nil"/>
                    <w:tr2bl w:val="nil"/>
                  </w:tcBorders>
                  <w:noWrap w:val="0"/>
                  <w:vAlign w:val="center"/>
                </w:tcPr>
                <w:p w14:paraId="238CBD7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Hoval</w:t>
                  </w:r>
                </w:p>
              </w:tc>
              <w:tc>
                <w:tcPr>
                  <w:tcW w:w="613" w:type="pct"/>
                  <w:tcBorders>
                    <w:tl2br w:val="nil"/>
                    <w:tr2bl w:val="nil"/>
                  </w:tcBorders>
                  <w:noWrap w:val="0"/>
                  <w:vAlign w:val="center"/>
                </w:tcPr>
                <w:p w14:paraId="68663C38">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62"/>
                      <w:rFonts w:hint="default" w:ascii="Times New Roman" w:hAnsi="Times New Roman" w:eastAsia="宋体" w:cs="Times New Roman"/>
                      <w:bCs/>
                      <w:color w:val="000000" w:themeColor="text1"/>
                      <w:sz w:val="21"/>
                      <w:szCs w:val="21"/>
                      <w14:textFill>
                        <w14:solidFill>
                          <w14:schemeClr w14:val="tx1"/>
                        </w14:solidFill>
                      </w14:textFill>
                    </w:rPr>
                    <w:t>台</w:t>
                  </w:r>
                </w:p>
              </w:tc>
              <w:tc>
                <w:tcPr>
                  <w:tcW w:w="524" w:type="pct"/>
                  <w:tcBorders>
                    <w:tl2br w:val="nil"/>
                    <w:tr2bl w:val="nil"/>
                  </w:tcBorders>
                  <w:noWrap w:val="0"/>
                  <w:vAlign w:val="center"/>
                </w:tcPr>
                <w:p w14:paraId="3FA2A57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98" w:type="pct"/>
                  <w:tcBorders>
                    <w:tl2br w:val="nil"/>
                    <w:tr2bl w:val="nil"/>
                  </w:tcBorders>
                  <w:noWrap w:val="0"/>
                  <w:vAlign w:val="center"/>
                </w:tcPr>
                <w:p w14:paraId="5F7663EF">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82B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72A613B0">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26" w:type="pct"/>
                  <w:gridSpan w:val="5"/>
                  <w:tcBorders>
                    <w:tl2br w:val="nil"/>
                    <w:tr2bl w:val="nil"/>
                  </w:tcBorders>
                  <w:noWrap w:val="0"/>
                  <w:vAlign w:val="center"/>
                </w:tcPr>
                <w:p w14:paraId="18188354">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单台锅炉本体及部件</w:t>
                  </w:r>
                </w:p>
              </w:tc>
            </w:tr>
            <w:tr w14:paraId="1111E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6E41423A">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65AF544B">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锅炉本体</w:t>
                  </w:r>
                </w:p>
              </w:tc>
              <w:tc>
                <w:tcPr>
                  <w:tcW w:w="1598" w:type="pct"/>
                  <w:tcBorders>
                    <w:tl2br w:val="nil"/>
                    <w:tr2bl w:val="nil"/>
                  </w:tcBorders>
                  <w:noWrap w:val="0"/>
                  <w:vAlign w:val="center"/>
                </w:tcPr>
                <w:p w14:paraId="54E96D83">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蒸汽锅炉3t/h</w:t>
                  </w:r>
                </w:p>
              </w:tc>
              <w:tc>
                <w:tcPr>
                  <w:tcW w:w="613" w:type="pct"/>
                  <w:tcBorders>
                    <w:tl2br w:val="nil"/>
                    <w:tr2bl w:val="nil"/>
                  </w:tcBorders>
                  <w:noWrap w:val="0"/>
                  <w:vAlign w:val="center"/>
                </w:tcPr>
                <w:p w14:paraId="02C6397B">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台</w:t>
                  </w:r>
                </w:p>
              </w:tc>
              <w:tc>
                <w:tcPr>
                  <w:tcW w:w="524" w:type="pct"/>
                  <w:tcBorders>
                    <w:tl2br w:val="nil"/>
                    <w:tr2bl w:val="nil"/>
                  </w:tcBorders>
                  <w:noWrap w:val="0"/>
                  <w:vAlign w:val="center"/>
                </w:tcPr>
                <w:p w14:paraId="4366AB8E">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98" w:type="pct"/>
                  <w:tcBorders>
                    <w:tl2br w:val="nil"/>
                    <w:tr2bl w:val="nil"/>
                  </w:tcBorders>
                  <w:noWrap w:val="0"/>
                  <w:vAlign w:val="center"/>
                </w:tcPr>
                <w:p w14:paraId="78594217">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40DD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238375A8">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784BE191">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平台爬梯</w:t>
                  </w:r>
                </w:p>
              </w:tc>
              <w:tc>
                <w:tcPr>
                  <w:tcW w:w="1598" w:type="pct"/>
                  <w:tcBorders>
                    <w:tl2br w:val="nil"/>
                    <w:tr2bl w:val="nil"/>
                  </w:tcBorders>
                  <w:noWrap w:val="0"/>
                  <w:vAlign w:val="center"/>
                </w:tcPr>
                <w:p w14:paraId="010B3005">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本体配套</w:t>
                  </w:r>
                </w:p>
              </w:tc>
              <w:tc>
                <w:tcPr>
                  <w:tcW w:w="613" w:type="pct"/>
                  <w:tcBorders>
                    <w:tl2br w:val="nil"/>
                    <w:tr2bl w:val="nil"/>
                  </w:tcBorders>
                  <w:noWrap w:val="0"/>
                  <w:vAlign w:val="center"/>
                </w:tcPr>
                <w:p w14:paraId="33E1223F">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台</w:t>
                  </w:r>
                </w:p>
              </w:tc>
              <w:tc>
                <w:tcPr>
                  <w:tcW w:w="524" w:type="pct"/>
                  <w:tcBorders>
                    <w:tl2br w:val="nil"/>
                    <w:tr2bl w:val="nil"/>
                  </w:tcBorders>
                  <w:noWrap w:val="0"/>
                  <w:vAlign w:val="center"/>
                </w:tcPr>
                <w:p w14:paraId="5E6C0558">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98" w:type="pct"/>
                  <w:tcBorders>
                    <w:tl2br w:val="nil"/>
                    <w:tr2bl w:val="nil"/>
                  </w:tcBorders>
                  <w:noWrap w:val="0"/>
                  <w:vAlign w:val="center"/>
                </w:tcPr>
                <w:p w14:paraId="2EA6B750">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5D69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3B2918AA">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24CAADF7">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节能器</w:t>
                  </w:r>
                </w:p>
              </w:tc>
              <w:tc>
                <w:tcPr>
                  <w:tcW w:w="1598" w:type="pct"/>
                  <w:tcBorders>
                    <w:tl2br w:val="nil"/>
                    <w:tr2bl w:val="nil"/>
                  </w:tcBorders>
                  <w:noWrap w:val="0"/>
                  <w:vAlign w:val="center"/>
                </w:tcPr>
                <w:p w14:paraId="696C7B59">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锅炉本体配套</w:t>
                  </w:r>
                </w:p>
              </w:tc>
              <w:tc>
                <w:tcPr>
                  <w:tcW w:w="613" w:type="pct"/>
                  <w:tcBorders>
                    <w:tl2br w:val="nil"/>
                    <w:tr2bl w:val="nil"/>
                  </w:tcBorders>
                  <w:noWrap w:val="0"/>
                  <w:vAlign w:val="center"/>
                </w:tcPr>
                <w:p w14:paraId="686F43AA">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个</w:t>
                  </w:r>
                </w:p>
              </w:tc>
              <w:tc>
                <w:tcPr>
                  <w:tcW w:w="524" w:type="pct"/>
                  <w:tcBorders>
                    <w:tl2br w:val="nil"/>
                    <w:tr2bl w:val="nil"/>
                  </w:tcBorders>
                  <w:noWrap w:val="0"/>
                  <w:vAlign w:val="center"/>
                </w:tcPr>
                <w:p w14:paraId="0ADBE6FB">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98" w:type="pct"/>
                  <w:tcBorders>
                    <w:tl2br w:val="nil"/>
                    <w:tr2bl w:val="nil"/>
                  </w:tcBorders>
                  <w:noWrap w:val="0"/>
                  <w:vAlign w:val="center"/>
                </w:tcPr>
                <w:p w14:paraId="42D16CCA">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C601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74E7BBC1">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0C8386D2">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控制器</w:t>
                  </w:r>
                </w:p>
              </w:tc>
              <w:tc>
                <w:tcPr>
                  <w:tcW w:w="1598" w:type="pct"/>
                  <w:tcBorders>
                    <w:tl2br w:val="nil"/>
                    <w:tr2bl w:val="nil"/>
                  </w:tcBorders>
                  <w:noWrap w:val="0"/>
                  <w:vAlign w:val="center"/>
                </w:tcPr>
                <w:p w14:paraId="19F7F992">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皓欧锅炉标配</w:t>
                  </w:r>
                </w:p>
              </w:tc>
              <w:tc>
                <w:tcPr>
                  <w:tcW w:w="613" w:type="pct"/>
                  <w:tcBorders>
                    <w:tl2br w:val="nil"/>
                    <w:tr2bl w:val="nil"/>
                  </w:tcBorders>
                  <w:noWrap w:val="0"/>
                  <w:vAlign w:val="center"/>
                </w:tcPr>
                <w:p w14:paraId="619D970F">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个</w:t>
                  </w:r>
                </w:p>
              </w:tc>
              <w:tc>
                <w:tcPr>
                  <w:tcW w:w="524" w:type="pct"/>
                  <w:tcBorders>
                    <w:tl2br w:val="nil"/>
                    <w:tr2bl w:val="nil"/>
                  </w:tcBorders>
                  <w:noWrap w:val="0"/>
                  <w:vAlign w:val="center"/>
                </w:tcPr>
                <w:p w14:paraId="4304F4FF">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98" w:type="pct"/>
                  <w:tcBorders>
                    <w:tl2br w:val="nil"/>
                    <w:tr2bl w:val="nil"/>
                  </w:tcBorders>
                  <w:noWrap w:val="0"/>
                  <w:vAlign w:val="center"/>
                </w:tcPr>
                <w:p w14:paraId="25AAE15C">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D1E4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7EB56C2C">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54D008E5">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超低氮燃烧器</w:t>
                  </w:r>
                </w:p>
              </w:tc>
              <w:tc>
                <w:tcPr>
                  <w:tcW w:w="1598" w:type="pct"/>
                  <w:tcBorders>
                    <w:tl2br w:val="nil"/>
                    <w:tr2bl w:val="nil"/>
                  </w:tcBorders>
                  <w:noWrap w:val="0"/>
                  <w:vAlign w:val="center"/>
                </w:tcPr>
                <w:p w14:paraId="33957183">
                  <w:pPr>
                    <w:widowControl/>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皓欧锅炉标配</w:t>
                  </w:r>
                </w:p>
              </w:tc>
              <w:tc>
                <w:tcPr>
                  <w:tcW w:w="613" w:type="pct"/>
                  <w:tcBorders>
                    <w:tl2br w:val="nil"/>
                    <w:tr2bl w:val="nil"/>
                  </w:tcBorders>
                  <w:noWrap w:val="0"/>
                  <w:vAlign w:val="center"/>
                </w:tcPr>
                <w:p w14:paraId="06DE1425">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个</w:t>
                  </w:r>
                </w:p>
              </w:tc>
              <w:tc>
                <w:tcPr>
                  <w:tcW w:w="524" w:type="pct"/>
                  <w:tcBorders>
                    <w:tl2br w:val="nil"/>
                    <w:tr2bl w:val="nil"/>
                  </w:tcBorders>
                  <w:noWrap w:val="0"/>
                  <w:vAlign w:val="center"/>
                </w:tcPr>
                <w:p w14:paraId="0A6B18A4">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798" w:type="pct"/>
                  <w:tcBorders>
                    <w:tl2br w:val="nil"/>
                    <w:tr2bl w:val="nil"/>
                  </w:tcBorders>
                  <w:noWrap w:val="0"/>
                  <w:vAlign w:val="center"/>
                </w:tcPr>
                <w:p w14:paraId="0B94878D">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48CB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0FAAD691">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0E8EB9F5">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锅炉补水泵</w:t>
                  </w:r>
                </w:p>
              </w:tc>
              <w:tc>
                <w:tcPr>
                  <w:tcW w:w="1598" w:type="pct"/>
                  <w:tcBorders>
                    <w:tl2br w:val="nil"/>
                    <w:tr2bl w:val="nil"/>
                  </w:tcBorders>
                  <w:noWrap w:val="0"/>
                  <w:vAlign w:val="center"/>
                </w:tcPr>
                <w:p w14:paraId="256B0D80">
                  <w:pPr>
                    <w:widowControl/>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皓欧锅炉标配</w:t>
                  </w:r>
                </w:p>
              </w:tc>
              <w:tc>
                <w:tcPr>
                  <w:tcW w:w="613" w:type="pct"/>
                  <w:tcBorders>
                    <w:tl2br w:val="nil"/>
                    <w:tr2bl w:val="nil"/>
                  </w:tcBorders>
                  <w:noWrap w:val="0"/>
                  <w:vAlign w:val="center"/>
                </w:tcPr>
                <w:p w14:paraId="6AADD5D3">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个</w:t>
                  </w:r>
                </w:p>
              </w:tc>
              <w:tc>
                <w:tcPr>
                  <w:tcW w:w="524" w:type="pct"/>
                  <w:tcBorders>
                    <w:tl2br w:val="nil"/>
                    <w:tr2bl w:val="nil"/>
                  </w:tcBorders>
                  <w:noWrap w:val="0"/>
                  <w:vAlign w:val="center"/>
                </w:tcPr>
                <w:p w14:paraId="540EDA75">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798" w:type="pct"/>
                  <w:tcBorders>
                    <w:tl2br w:val="nil"/>
                    <w:tr2bl w:val="nil"/>
                  </w:tcBorders>
                  <w:noWrap w:val="0"/>
                  <w:vAlign w:val="center"/>
                </w:tcPr>
                <w:p w14:paraId="02FB1A7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一用一备</w:t>
                  </w:r>
                </w:p>
              </w:tc>
            </w:tr>
            <w:tr w14:paraId="342DC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4275F9FD">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3788D55B">
                  <w:pPr>
                    <w:widowControl/>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本体仪表阀门</w:t>
                  </w:r>
                </w:p>
              </w:tc>
              <w:tc>
                <w:tcPr>
                  <w:tcW w:w="1598" w:type="pct"/>
                  <w:tcBorders>
                    <w:tl2br w:val="nil"/>
                    <w:tr2bl w:val="nil"/>
                  </w:tcBorders>
                  <w:noWrap w:val="0"/>
                  <w:vAlign w:val="center"/>
                </w:tcPr>
                <w:p w14:paraId="05CCA064">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皓欧锅炉标配</w:t>
                  </w:r>
                </w:p>
              </w:tc>
              <w:tc>
                <w:tcPr>
                  <w:tcW w:w="613" w:type="pct"/>
                  <w:tcBorders>
                    <w:tl2br w:val="nil"/>
                    <w:tr2bl w:val="nil"/>
                  </w:tcBorders>
                  <w:noWrap w:val="0"/>
                  <w:vAlign w:val="center"/>
                </w:tcPr>
                <w:p w14:paraId="7002773C">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个</w:t>
                  </w:r>
                </w:p>
              </w:tc>
              <w:tc>
                <w:tcPr>
                  <w:tcW w:w="524" w:type="pct"/>
                  <w:tcBorders>
                    <w:tl2br w:val="nil"/>
                    <w:tr2bl w:val="nil"/>
                  </w:tcBorders>
                  <w:noWrap w:val="0"/>
                  <w:vAlign w:val="center"/>
                </w:tcPr>
                <w:p w14:paraId="597C5FA0">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798" w:type="pct"/>
                  <w:tcBorders>
                    <w:tl2br w:val="nil"/>
                    <w:tr2bl w:val="nil"/>
                  </w:tcBorders>
                  <w:noWrap w:val="0"/>
                  <w:vAlign w:val="center"/>
                </w:tcPr>
                <w:p w14:paraId="72068D1C">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D81E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6DC459AB">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26" w:type="pct"/>
                  <w:gridSpan w:val="5"/>
                  <w:tcBorders>
                    <w:tl2br w:val="nil"/>
                    <w:tr2bl w:val="nil"/>
                  </w:tcBorders>
                  <w:noWrap w:val="0"/>
                  <w:vAlign w:val="center"/>
                </w:tcPr>
                <w:p w14:paraId="6C93C0C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三台锅炉共用主要辅助设备</w:t>
                  </w:r>
                </w:p>
              </w:tc>
            </w:tr>
            <w:tr w14:paraId="24E56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0638B8F2">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0134197A">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软化水箱</w:t>
                  </w:r>
                </w:p>
              </w:tc>
              <w:tc>
                <w:tcPr>
                  <w:tcW w:w="1598" w:type="pct"/>
                  <w:tcBorders>
                    <w:tl2br w:val="nil"/>
                    <w:tr2bl w:val="nil"/>
                  </w:tcBorders>
                  <w:noWrap w:val="0"/>
                  <w:vAlign w:val="center"/>
                </w:tcPr>
                <w:p w14:paraId="040665E2">
                  <w:pPr>
                    <w:widowControl/>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不锈钢双层保温水箱8M3</w:t>
                  </w:r>
                </w:p>
              </w:tc>
              <w:tc>
                <w:tcPr>
                  <w:tcW w:w="613" w:type="pct"/>
                  <w:tcBorders>
                    <w:tl2br w:val="nil"/>
                    <w:tr2bl w:val="nil"/>
                  </w:tcBorders>
                  <w:noWrap w:val="0"/>
                  <w:vAlign w:val="center"/>
                </w:tcPr>
                <w:p w14:paraId="10CF5109">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个</w:t>
                  </w:r>
                </w:p>
              </w:tc>
              <w:tc>
                <w:tcPr>
                  <w:tcW w:w="524" w:type="pct"/>
                  <w:tcBorders>
                    <w:tl2br w:val="nil"/>
                    <w:tr2bl w:val="nil"/>
                  </w:tcBorders>
                  <w:noWrap w:val="0"/>
                  <w:vAlign w:val="center"/>
                </w:tcPr>
                <w:p w14:paraId="23E782E3">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798" w:type="pct"/>
                  <w:tcBorders>
                    <w:tl2br w:val="nil"/>
                    <w:tr2bl w:val="nil"/>
                  </w:tcBorders>
                  <w:noWrap w:val="0"/>
                  <w:vAlign w:val="center"/>
                </w:tcPr>
                <w:p w14:paraId="60B382E8">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14:paraId="7F13C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16BF6B6A">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294C31D2">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加药装置</w:t>
                  </w:r>
                </w:p>
              </w:tc>
              <w:tc>
                <w:tcPr>
                  <w:tcW w:w="1598" w:type="pct"/>
                  <w:tcBorders>
                    <w:tl2br w:val="nil"/>
                    <w:tr2bl w:val="nil"/>
                  </w:tcBorders>
                  <w:noWrap w:val="0"/>
                  <w:vAlign w:val="center"/>
                </w:tcPr>
                <w:p w14:paraId="76E9BDC2">
                  <w:pPr>
                    <w:widowControl/>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炉水加药装置</w:t>
                  </w:r>
                </w:p>
              </w:tc>
              <w:tc>
                <w:tcPr>
                  <w:tcW w:w="613" w:type="pct"/>
                  <w:tcBorders>
                    <w:tl2br w:val="nil"/>
                    <w:tr2bl w:val="nil"/>
                  </w:tcBorders>
                  <w:noWrap w:val="0"/>
                  <w:vAlign w:val="center"/>
                </w:tcPr>
                <w:p w14:paraId="553CCF9E">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套</w:t>
                  </w:r>
                </w:p>
              </w:tc>
              <w:tc>
                <w:tcPr>
                  <w:tcW w:w="524" w:type="pct"/>
                  <w:tcBorders>
                    <w:tl2br w:val="nil"/>
                    <w:tr2bl w:val="nil"/>
                  </w:tcBorders>
                  <w:noWrap w:val="0"/>
                  <w:vAlign w:val="center"/>
                </w:tcPr>
                <w:p w14:paraId="0B4BFB30">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798" w:type="pct"/>
                  <w:tcBorders>
                    <w:tl2br w:val="nil"/>
                    <w:tr2bl w:val="nil"/>
                  </w:tcBorders>
                  <w:noWrap w:val="0"/>
                  <w:vAlign w:val="center"/>
                </w:tcPr>
                <w:p w14:paraId="573CA717">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14:paraId="78892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02A097D2">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36F56A43">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软化水装置</w:t>
                  </w:r>
                </w:p>
              </w:tc>
              <w:tc>
                <w:tcPr>
                  <w:tcW w:w="1598" w:type="pct"/>
                  <w:tcBorders>
                    <w:tl2br w:val="nil"/>
                    <w:tr2bl w:val="nil"/>
                  </w:tcBorders>
                  <w:noWrap w:val="0"/>
                  <w:vAlign w:val="center"/>
                </w:tcPr>
                <w:p w14:paraId="48211C5B">
                  <w:pPr>
                    <w:widowControl/>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10T/h双罐双阀流量控制型</w:t>
                  </w:r>
                </w:p>
              </w:tc>
              <w:tc>
                <w:tcPr>
                  <w:tcW w:w="613" w:type="pct"/>
                  <w:tcBorders>
                    <w:tl2br w:val="nil"/>
                    <w:tr2bl w:val="nil"/>
                  </w:tcBorders>
                  <w:noWrap w:val="0"/>
                  <w:vAlign w:val="center"/>
                </w:tcPr>
                <w:p w14:paraId="71694B97">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套</w:t>
                  </w:r>
                </w:p>
              </w:tc>
              <w:tc>
                <w:tcPr>
                  <w:tcW w:w="524" w:type="pct"/>
                  <w:tcBorders>
                    <w:tl2br w:val="nil"/>
                    <w:tr2bl w:val="nil"/>
                  </w:tcBorders>
                  <w:noWrap w:val="0"/>
                  <w:vAlign w:val="center"/>
                </w:tcPr>
                <w:p w14:paraId="5431CD3F">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798" w:type="pct"/>
                  <w:tcBorders>
                    <w:tl2br w:val="nil"/>
                    <w:tr2bl w:val="nil"/>
                  </w:tcBorders>
                  <w:noWrap w:val="0"/>
                  <w:vAlign w:val="center"/>
                </w:tcPr>
                <w:p w14:paraId="51221A6A">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14:paraId="7F56A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7C2DF3A9">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72932AD0">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排污扩容降温装置</w:t>
                  </w:r>
                </w:p>
              </w:tc>
              <w:tc>
                <w:tcPr>
                  <w:tcW w:w="1598" w:type="pct"/>
                  <w:tcBorders>
                    <w:tl2br w:val="nil"/>
                    <w:tr2bl w:val="nil"/>
                  </w:tcBorders>
                  <w:noWrap w:val="0"/>
                  <w:vAlign w:val="center"/>
                </w:tcPr>
                <w:p w14:paraId="0F3DF718">
                  <w:pPr>
                    <w:widowControl/>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Ø900</w:t>
                  </w:r>
                </w:p>
              </w:tc>
              <w:tc>
                <w:tcPr>
                  <w:tcW w:w="613" w:type="pct"/>
                  <w:tcBorders>
                    <w:tl2br w:val="nil"/>
                    <w:tr2bl w:val="nil"/>
                  </w:tcBorders>
                  <w:noWrap w:val="0"/>
                  <w:vAlign w:val="center"/>
                </w:tcPr>
                <w:p w14:paraId="0407D298">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套</w:t>
                  </w:r>
                </w:p>
              </w:tc>
              <w:tc>
                <w:tcPr>
                  <w:tcW w:w="524" w:type="pct"/>
                  <w:tcBorders>
                    <w:tl2br w:val="nil"/>
                    <w:tr2bl w:val="nil"/>
                  </w:tcBorders>
                  <w:noWrap w:val="0"/>
                  <w:vAlign w:val="center"/>
                </w:tcPr>
                <w:p w14:paraId="1E52EDA0">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798" w:type="pct"/>
                  <w:tcBorders>
                    <w:tl2br w:val="nil"/>
                    <w:tr2bl w:val="nil"/>
                  </w:tcBorders>
                  <w:noWrap w:val="0"/>
                  <w:vAlign w:val="center"/>
                </w:tcPr>
                <w:p w14:paraId="3CC1280A">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14:paraId="56C5C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20278AFF">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0E1BA6E8">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取样水装置</w:t>
                  </w:r>
                </w:p>
              </w:tc>
              <w:tc>
                <w:tcPr>
                  <w:tcW w:w="1598" w:type="pct"/>
                  <w:tcBorders>
                    <w:tl2br w:val="nil"/>
                    <w:tr2bl w:val="nil"/>
                  </w:tcBorders>
                  <w:noWrap w:val="0"/>
                  <w:vAlign w:val="center"/>
                </w:tcPr>
                <w:p w14:paraId="272F040F">
                  <w:pPr>
                    <w:widowControl/>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t>/</w:t>
                  </w:r>
                </w:p>
              </w:tc>
              <w:tc>
                <w:tcPr>
                  <w:tcW w:w="613" w:type="pct"/>
                  <w:tcBorders>
                    <w:tl2br w:val="nil"/>
                    <w:tr2bl w:val="nil"/>
                  </w:tcBorders>
                  <w:noWrap w:val="0"/>
                  <w:vAlign w:val="center"/>
                </w:tcPr>
                <w:p w14:paraId="51C73354">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套</w:t>
                  </w:r>
                </w:p>
              </w:tc>
              <w:tc>
                <w:tcPr>
                  <w:tcW w:w="524" w:type="pct"/>
                  <w:tcBorders>
                    <w:tl2br w:val="nil"/>
                    <w:tr2bl w:val="nil"/>
                  </w:tcBorders>
                  <w:noWrap w:val="0"/>
                  <w:vAlign w:val="center"/>
                </w:tcPr>
                <w:p w14:paraId="58FC622E">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798" w:type="pct"/>
                  <w:tcBorders>
                    <w:tl2br w:val="nil"/>
                    <w:tr2bl w:val="nil"/>
                  </w:tcBorders>
                  <w:noWrap w:val="0"/>
                  <w:vAlign w:val="center"/>
                </w:tcPr>
                <w:p w14:paraId="08298B44">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每台锅炉一个</w:t>
                  </w:r>
                </w:p>
              </w:tc>
            </w:tr>
            <w:tr w14:paraId="0A4D3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5F4EC2F5">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38A2ADFA">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分汽缸</w:t>
                  </w:r>
                </w:p>
              </w:tc>
              <w:tc>
                <w:tcPr>
                  <w:tcW w:w="1598" w:type="pct"/>
                  <w:tcBorders>
                    <w:tl2br w:val="nil"/>
                    <w:tr2bl w:val="nil"/>
                  </w:tcBorders>
                  <w:noWrap w:val="0"/>
                  <w:vAlign w:val="center"/>
                </w:tcPr>
                <w:p w14:paraId="7B8F2849">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613" w:type="pct"/>
                  <w:tcBorders>
                    <w:tl2br w:val="nil"/>
                    <w:tr2bl w:val="nil"/>
                  </w:tcBorders>
                  <w:noWrap w:val="0"/>
                  <w:vAlign w:val="center"/>
                </w:tcPr>
                <w:p w14:paraId="16BF3764">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个</w:t>
                  </w:r>
                </w:p>
              </w:tc>
              <w:tc>
                <w:tcPr>
                  <w:tcW w:w="524" w:type="pct"/>
                  <w:tcBorders>
                    <w:tl2br w:val="nil"/>
                    <w:tr2bl w:val="nil"/>
                  </w:tcBorders>
                  <w:noWrap w:val="0"/>
                  <w:vAlign w:val="center"/>
                </w:tcPr>
                <w:p w14:paraId="38EDA5D2">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798" w:type="pct"/>
                  <w:tcBorders>
                    <w:tl2br w:val="nil"/>
                    <w:tr2bl w:val="nil"/>
                  </w:tcBorders>
                  <w:noWrap w:val="0"/>
                  <w:vAlign w:val="center"/>
                </w:tcPr>
                <w:p w14:paraId="77FC7CF3">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14:paraId="4013C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524BD68C">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3A11DE85">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锅炉房群控系统</w:t>
                  </w:r>
                </w:p>
              </w:tc>
              <w:tc>
                <w:tcPr>
                  <w:tcW w:w="1598" w:type="pct"/>
                  <w:tcBorders>
                    <w:tl2br w:val="nil"/>
                    <w:tr2bl w:val="nil"/>
                  </w:tcBorders>
                  <w:noWrap w:val="0"/>
                  <w:vAlign w:val="center"/>
                </w:tcPr>
                <w:p w14:paraId="3C5900F3">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三台锅炉系统群控装置</w:t>
                  </w:r>
                </w:p>
              </w:tc>
              <w:tc>
                <w:tcPr>
                  <w:tcW w:w="613" w:type="pct"/>
                  <w:tcBorders>
                    <w:tl2br w:val="nil"/>
                    <w:tr2bl w:val="nil"/>
                  </w:tcBorders>
                  <w:noWrap w:val="0"/>
                  <w:vAlign w:val="center"/>
                </w:tcPr>
                <w:p w14:paraId="45C6C1AE">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套</w:t>
                  </w:r>
                </w:p>
              </w:tc>
              <w:tc>
                <w:tcPr>
                  <w:tcW w:w="524" w:type="pct"/>
                  <w:tcBorders>
                    <w:tl2br w:val="nil"/>
                    <w:tr2bl w:val="nil"/>
                  </w:tcBorders>
                  <w:noWrap w:val="0"/>
                  <w:vAlign w:val="center"/>
                </w:tcPr>
                <w:p w14:paraId="2A5B2F73">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798" w:type="pct"/>
                  <w:tcBorders>
                    <w:tl2br w:val="nil"/>
                    <w:tr2bl w:val="nil"/>
                  </w:tcBorders>
                  <w:noWrap w:val="0"/>
                  <w:vAlign w:val="center"/>
                </w:tcPr>
                <w:p w14:paraId="15C7D36E">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如需</w:t>
                  </w:r>
                </w:p>
              </w:tc>
            </w:tr>
            <w:tr w14:paraId="55DDB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2FED2320">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5BDE41D1">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锅炉烟囱</w:t>
                  </w:r>
                </w:p>
              </w:tc>
              <w:tc>
                <w:tcPr>
                  <w:tcW w:w="1598" w:type="pct"/>
                  <w:tcBorders>
                    <w:tl2br w:val="nil"/>
                    <w:tr2bl w:val="nil"/>
                  </w:tcBorders>
                  <w:noWrap w:val="0"/>
                  <w:vAlign w:val="center"/>
                </w:tcPr>
                <w:p w14:paraId="6D2B2EE2">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双层不锈钢烟囱</w:t>
                  </w:r>
                </w:p>
              </w:tc>
              <w:tc>
                <w:tcPr>
                  <w:tcW w:w="613" w:type="pct"/>
                  <w:tcBorders>
                    <w:tl2br w:val="nil"/>
                    <w:tr2bl w:val="nil"/>
                  </w:tcBorders>
                  <w:noWrap w:val="0"/>
                  <w:vAlign w:val="center"/>
                </w:tcPr>
                <w:p w14:paraId="69613501">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Style w:val="262"/>
                      <w:rFonts w:hint="default" w:ascii="Times New Roman" w:hAnsi="Times New Roman" w:eastAsia="宋体" w:cs="Times New Roman"/>
                      <w:bCs/>
                      <w:color w:val="000000" w:themeColor="text1"/>
                      <w:sz w:val="21"/>
                      <w:szCs w:val="21"/>
                      <w:lang w:val="en-US" w:eastAsia="zh-CN"/>
                      <w14:textFill>
                        <w14:solidFill>
                          <w14:schemeClr w14:val="tx1"/>
                        </w14:solidFill>
                      </w14:textFill>
                    </w:rPr>
                    <w:t>根</w:t>
                  </w:r>
                </w:p>
              </w:tc>
              <w:tc>
                <w:tcPr>
                  <w:tcW w:w="524" w:type="pct"/>
                  <w:tcBorders>
                    <w:tl2br w:val="nil"/>
                    <w:tr2bl w:val="nil"/>
                  </w:tcBorders>
                  <w:noWrap w:val="0"/>
                  <w:vAlign w:val="center"/>
                </w:tcPr>
                <w:p w14:paraId="536F7CFA">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798" w:type="pct"/>
                  <w:tcBorders>
                    <w:tl2br w:val="nil"/>
                    <w:tr2bl w:val="nil"/>
                  </w:tcBorders>
                  <w:noWrap w:val="0"/>
                  <w:vAlign w:val="center"/>
                </w:tcPr>
                <w:p w14:paraId="2066D894">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按设计图纸配置</w:t>
                  </w:r>
                </w:p>
              </w:tc>
            </w:tr>
            <w:tr w14:paraId="3F52F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3" w:type="pct"/>
                  <w:vMerge w:val="continue"/>
                  <w:tcBorders>
                    <w:tl2br w:val="nil"/>
                    <w:tr2bl w:val="nil"/>
                  </w:tcBorders>
                  <w:noWrap w:val="0"/>
                  <w:vAlign w:val="center"/>
                </w:tcPr>
                <w:p w14:paraId="018EDD4E">
                  <w:pPr>
                    <w:pStyle w:val="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90" w:type="pct"/>
                  <w:tcBorders>
                    <w:tl2br w:val="nil"/>
                    <w:tr2bl w:val="nil"/>
                  </w:tcBorders>
                  <w:noWrap w:val="0"/>
                  <w:vAlign w:val="center"/>
                </w:tcPr>
                <w:p w14:paraId="2D993ABC">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其他配置</w:t>
                  </w:r>
                </w:p>
              </w:tc>
              <w:tc>
                <w:tcPr>
                  <w:tcW w:w="1598" w:type="pct"/>
                  <w:tcBorders>
                    <w:tl2br w:val="nil"/>
                    <w:tr2bl w:val="nil"/>
                  </w:tcBorders>
                  <w:noWrap w:val="0"/>
                  <w:vAlign w:val="center"/>
                </w:tcPr>
                <w:p w14:paraId="1677B66E">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系统管道、阀门、仪表</w:t>
                  </w:r>
                </w:p>
              </w:tc>
              <w:tc>
                <w:tcPr>
                  <w:tcW w:w="613" w:type="pct"/>
                  <w:tcBorders>
                    <w:tl2br w:val="nil"/>
                    <w:tr2bl w:val="nil"/>
                  </w:tcBorders>
                  <w:noWrap w:val="0"/>
                  <w:vAlign w:val="center"/>
                </w:tcPr>
                <w:p w14:paraId="343B10D5">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524" w:type="pct"/>
                  <w:tcBorders>
                    <w:tl2br w:val="nil"/>
                    <w:tr2bl w:val="nil"/>
                  </w:tcBorders>
                  <w:noWrap w:val="0"/>
                  <w:vAlign w:val="center"/>
                </w:tcPr>
                <w:p w14:paraId="24272CFA">
                  <w:pPr>
                    <w:pStyle w:val="261"/>
                    <w:pBdr>
                      <w:top w:val="none" w:color="auto" w:sz="0" w:space="0"/>
                      <w:left w:val="none" w:color="auto" w:sz="0" w:space="0"/>
                      <w:bottom w:val="none" w:color="auto" w:sz="0" w:space="0"/>
                      <w:right w:val="none" w:color="auto" w:sz="0" w:space="0"/>
                      <w:between w:val="none" w:color="auto" w:sz="0" w:space="0"/>
                    </w:pBd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798" w:type="pct"/>
                  <w:tcBorders>
                    <w:tl2br w:val="nil"/>
                    <w:tr2bl w:val="nil"/>
                  </w:tcBorders>
                  <w:noWrap w:val="0"/>
                  <w:vAlign w:val="center"/>
                </w:tcPr>
                <w:p w14:paraId="2AE4D2CF">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按设计图纸配置</w:t>
                  </w:r>
                </w:p>
              </w:tc>
            </w:tr>
          </w:tbl>
          <w:p w14:paraId="7FB755C6">
            <w:pPr>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5、主要原辅材料及燃料</w:t>
            </w:r>
          </w:p>
          <w:p w14:paraId="707A35BE">
            <w:pPr>
              <w:adjustRightInd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表2-</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项目主要原辅材料及燃料消耗表</w:t>
            </w:r>
          </w:p>
          <w:tbl>
            <w:tblPr>
              <w:tblStyle w:val="4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05"/>
              <w:gridCol w:w="1206"/>
              <w:gridCol w:w="765"/>
              <w:gridCol w:w="1710"/>
              <w:gridCol w:w="1815"/>
              <w:gridCol w:w="780"/>
              <w:gridCol w:w="1095"/>
              <w:gridCol w:w="656"/>
            </w:tblGrid>
            <w:tr w14:paraId="3B6208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240" w:type="pct"/>
                  <w:vMerge w:val="restart"/>
                  <w:tcBorders>
                    <w:tl2br w:val="nil"/>
                    <w:tr2bl w:val="nil"/>
                  </w:tcBorders>
                  <w:noWrap w:val="0"/>
                  <w:vAlign w:val="center"/>
                </w:tcPr>
                <w:p w14:paraId="01163CD3">
                  <w:pPr>
                    <w:widowControl/>
                    <w:spacing w:line="240" w:lineRule="auto"/>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序号</w:t>
                  </w:r>
                </w:p>
              </w:tc>
              <w:tc>
                <w:tcPr>
                  <w:tcW w:w="715" w:type="pct"/>
                  <w:vMerge w:val="restart"/>
                  <w:tcBorders>
                    <w:tl2br w:val="nil"/>
                    <w:tr2bl w:val="nil"/>
                  </w:tcBorders>
                  <w:noWrap w:val="0"/>
                  <w:vAlign w:val="center"/>
                </w:tcPr>
                <w:p w14:paraId="72D2B306">
                  <w:pPr>
                    <w:widowControl/>
                    <w:spacing w:line="240" w:lineRule="auto"/>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名称</w:t>
                  </w:r>
                </w:p>
              </w:tc>
              <w:tc>
                <w:tcPr>
                  <w:tcW w:w="453" w:type="pct"/>
                  <w:vMerge w:val="restart"/>
                  <w:tcBorders>
                    <w:tl2br w:val="nil"/>
                    <w:tr2bl w:val="nil"/>
                  </w:tcBorders>
                  <w:noWrap w:val="0"/>
                  <w:vAlign w:val="center"/>
                </w:tcPr>
                <w:p w14:paraId="4C13FEF2">
                  <w:pPr>
                    <w:widowControl/>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单位</w:t>
                  </w:r>
                </w:p>
              </w:tc>
              <w:tc>
                <w:tcPr>
                  <w:tcW w:w="2552" w:type="pct"/>
                  <w:gridSpan w:val="3"/>
                  <w:tcBorders>
                    <w:tl2br w:val="nil"/>
                    <w:tr2bl w:val="nil"/>
                  </w:tcBorders>
                  <w:noWrap w:val="0"/>
                  <w:vAlign w:val="center"/>
                </w:tcPr>
                <w:p w14:paraId="7C97260D">
                  <w:pPr>
                    <w:widowControl/>
                    <w:spacing w:line="240" w:lineRule="auto"/>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14:textFill>
                        <w14:solidFill>
                          <w14:schemeClr w14:val="tx1"/>
                        </w14:solidFill>
                      </w14:textFill>
                    </w:rPr>
                    <w:t>年使用量</w:t>
                  </w:r>
                </w:p>
              </w:tc>
              <w:tc>
                <w:tcPr>
                  <w:tcW w:w="649" w:type="pct"/>
                  <w:vMerge w:val="restart"/>
                  <w:tcBorders>
                    <w:tl2br w:val="nil"/>
                    <w:tr2bl w:val="nil"/>
                  </w:tcBorders>
                  <w:noWrap w:val="0"/>
                  <w:vAlign w:val="center"/>
                </w:tcPr>
                <w:p w14:paraId="69CD9362">
                  <w:pPr>
                    <w:widowControl/>
                    <w:spacing w:line="240" w:lineRule="auto"/>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t>最大存储量</w:t>
                  </w:r>
                </w:p>
              </w:tc>
              <w:tc>
                <w:tcPr>
                  <w:tcW w:w="388" w:type="pct"/>
                  <w:vMerge w:val="restart"/>
                  <w:tcBorders>
                    <w:tl2br w:val="nil"/>
                    <w:tr2bl w:val="nil"/>
                  </w:tcBorders>
                  <w:noWrap w:val="0"/>
                  <w:vAlign w:val="center"/>
                </w:tcPr>
                <w:p w14:paraId="1A895D07">
                  <w:pPr>
                    <w:widowControl/>
                    <w:spacing w:line="240" w:lineRule="auto"/>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备注</w:t>
                  </w:r>
                </w:p>
              </w:tc>
            </w:tr>
            <w:tr w14:paraId="2369E9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240" w:type="pct"/>
                  <w:vMerge w:val="continue"/>
                  <w:tcBorders>
                    <w:tl2br w:val="nil"/>
                    <w:tr2bl w:val="nil"/>
                  </w:tcBorders>
                  <w:noWrap w:val="0"/>
                  <w:vAlign w:val="center"/>
                </w:tcPr>
                <w:p w14:paraId="1B1941BD">
                  <w:pPr>
                    <w:widowControl/>
                    <w:spacing w:line="240" w:lineRule="auto"/>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p>
              </w:tc>
              <w:tc>
                <w:tcPr>
                  <w:tcW w:w="715" w:type="pct"/>
                  <w:vMerge w:val="continue"/>
                  <w:tcBorders>
                    <w:tl2br w:val="nil"/>
                    <w:tr2bl w:val="nil"/>
                  </w:tcBorders>
                  <w:noWrap w:val="0"/>
                  <w:vAlign w:val="center"/>
                </w:tcPr>
                <w:p w14:paraId="3E2D3079">
                  <w:pPr>
                    <w:widowControl/>
                    <w:spacing w:line="240" w:lineRule="auto"/>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p>
              </w:tc>
              <w:tc>
                <w:tcPr>
                  <w:tcW w:w="453" w:type="pct"/>
                  <w:vMerge w:val="continue"/>
                  <w:tcBorders>
                    <w:tl2br w:val="nil"/>
                    <w:tr2bl w:val="nil"/>
                  </w:tcBorders>
                  <w:noWrap w:val="0"/>
                  <w:vAlign w:val="center"/>
                </w:tcPr>
                <w:p w14:paraId="68195ED7">
                  <w:pPr>
                    <w:widowControl/>
                    <w:spacing w:line="240" w:lineRule="auto"/>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p>
              </w:tc>
              <w:tc>
                <w:tcPr>
                  <w:tcW w:w="1013" w:type="pct"/>
                  <w:tcBorders>
                    <w:tl2br w:val="nil"/>
                    <w:tr2bl w:val="nil"/>
                  </w:tcBorders>
                  <w:noWrap w:val="0"/>
                  <w:vAlign w:val="center"/>
                </w:tcPr>
                <w:p w14:paraId="40EC899F">
                  <w:pPr>
                    <w:widowControl/>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扩建前</w:t>
                  </w:r>
                </w:p>
              </w:tc>
              <w:tc>
                <w:tcPr>
                  <w:tcW w:w="1076" w:type="pct"/>
                  <w:tcBorders>
                    <w:tl2br w:val="nil"/>
                    <w:tr2bl w:val="nil"/>
                  </w:tcBorders>
                  <w:noWrap w:val="0"/>
                  <w:vAlign w:val="center"/>
                </w:tcPr>
                <w:p w14:paraId="4FBA26A4">
                  <w:pPr>
                    <w:widowControl/>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扩建后</w:t>
                  </w:r>
                </w:p>
              </w:tc>
              <w:tc>
                <w:tcPr>
                  <w:tcW w:w="462" w:type="pct"/>
                  <w:tcBorders>
                    <w:tl2br w:val="nil"/>
                    <w:tr2bl w:val="nil"/>
                  </w:tcBorders>
                  <w:noWrap w:val="0"/>
                  <w:vAlign w:val="center"/>
                </w:tcPr>
                <w:p w14:paraId="180CA4A7">
                  <w:pPr>
                    <w:widowControl/>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变化量</w:t>
                  </w:r>
                </w:p>
              </w:tc>
              <w:tc>
                <w:tcPr>
                  <w:tcW w:w="649" w:type="pct"/>
                  <w:vMerge w:val="continue"/>
                  <w:tcBorders>
                    <w:tl2br w:val="nil"/>
                    <w:tr2bl w:val="nil"/>
                  </w:tcBorders>
                  <w:noWrap w:val="0"/>
                  <w:vAlign w:val="center"/>
                </w:tcPr>
                <w:p w14:paraId="3FA9F492">
                  <w:pPr>
                    <w:widowControl/>
                    <w:spacing w:line="240" w:lineRule="auto"/>
                    <w:jc w:val="center"/>
                    <w:rPr>
                      <w:rFonts w:hint="default" w:ascii="Times New Roman" w:hAnsi="Times New Roman" w:cs="Times New Roman"/>
                      <w:b/>
                      <w:bCs/>
                      <w:color w:val="000000" w:themeColor="text1"/>
                      <w:kern w:val="0"/>
                      <w:sz w:val="21"/>
                      <w:szCs w:val="21"/>
                      <w:highlight w:val="none"/>
                      <w:lang w:eastAsia="zh-CN"/>
                      <w14:textFill>
                        <w14:solidFill>
                          <w14:schemeClr w14:val="tx1"/>
                        </w14:solidFill>
                      </w14:textFill>
                    </w:rPr>
                  </w:pPr>
                </w:p>
              </w:tc>
              <w:tc>
                <w:tcPr>
                  <w:tcW w:w="388" w:type="pct"/>
                  <w:vMerge w:val="continue"/>
                  <w:tcBorders>
                    <w:tl2br w:val="nil"/>
                    <w:tr2bl w:val="nil"/>
                  </w:tcBorders>
                  <w:noWrap w:val="0"/>
                  <w:vAlign w:val="center"/>
                </w:tcPr>
                <w:p w14:paraId="34E41402">
                  <w:pPr>
                    <w:widowControl/>
                    <w:spacing w:line="240" w:lineRule="auto"/>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p>
              </w:tc>
            </w:tr>
            <w:tr w14:paraId="42400B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5" w:hRule="atLeast"/>
                <w:jc w:val="center"/>
              </w:trPr>
              <w:tc>
                <w:tcPr>
                  <w:tcW w:w="240" w:type="pct"/>
                  <w:tcBorders>
                    <w:tl2br w:val="nil"/>
                    <w:tr2bl w:val="nil"/>
                  </w:tcBorders>
                  <w:noWrap w:val="0"/>
                  <w:vAlign w:val="center"/>
                </w:tcPr>
                <w:p w14:paraId="226A2078">
                  <w:pPr>
                    <w:pStyle w:val="239"/>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715" w:type="pct"/>
                  <w:tcBorders>
                    <w:tl2br w:val="nil"/>
                    <w:tr2bl w:val="nil"/>
                  </w:tcBorders>
                  <w:noWrap w:val="0"/>
                  <w:vAlign w:val="center"/>
                </w:tcPr>
                <w:p w14:paraId="4E1EA806">
                  <w:pPr>
                    <w:pStyle w:val="260"/>
                    <w:spacing w:line="240" w:lineRule="auto"/>
                    <w:ind w:firstLine="0" w:firstLineChars="0"/>
                    <w:rPr>
                      <w:rFonts w:hint="default" w:ascii="Times New Roman" w:hAnsi="Times New Roman" w:eastAsia="宋体" w:cs="Times New Roman"/>
                      <w:i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天然气</w:t>
                  </w:r>
                </w:p>
              </w:tc>
              <w:tc>
                <w:tcPr>
                  <w:tcW w:w="453" w:type="pct"/>
                  <w:tcBorders>
                    <w:tl2br w:val="nil"/>
                    <w:tr2bl w:val="nil"/>
                  </w:tcBorders>
                  <w:noWrap w:val="0"/>
                  <w:vAlign w:val="center"/>
                </w:tcPr>
                <w:p w14:paraId="704961BB">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万m</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1013" w:type="pct"/>
                  <w:tcBorders>
                    <w:tl2br w:val="nil"/>
                    <w:tr2bl w:val="nil"/>
                  </w:tcBorders>
                  <w:noWrap w:val="0"/>
                  <w:vAlign w:val="center"/>
                </w:tcPr>
                <w:p w14:paraId="00746A51">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0</w:t>
                  </w:r>
                </w:p>
              </w:tc>
              <w:tc>
                <w:tcPr>
                  <w:tcW w:w="1076" w:type="pct"/>
                  <w:tcBorders>
                    <w:tl2br w:val="nil"/>
                    <w:tr2bl w:val="nil"/>
                  </w:tcBorders>
                  <w:noWrap w:val="0"/>
                  <w:vAlign w:val="center"/>
                </w:tcPr>
                <w:p w14:paraId="34943BBC">
                  <w:pPr>
                    <w:adjustRightInd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50</w:t>
                  </w:r>
                </w:p>
              </w:tc>
              <w:tc>
                <w:tcPr>
                  <w:tcW w:w="462" w:type="pct"/>
                  <w:tcBorders>
                    <w:tl2br w:val="nil"/>
                    <w:tr2bl w:val="nil"/>
                  </w:tcBorders>
                  <w:noWrap w:val="0"/>
                  <w:vAlign w:val="center"/>
                </w:tcPr>
                <w:p w14:paraId="54226A53">
                  <w:pPr>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+50</w:t>
                  </w:r>
                </w:p>
              </w:tc>
              <w:tc>
                <w:tcPr>
                  <w:tcW w:w="649" w:type="pct"/>
                  <w:tcBorders>
                    <w:tl2br w:val="nil"/>
                    <w:tr2bl w:val="nil"/>
                  </w:tcBorders>
                  <w:noWrap w:val="0"/>
                  <w:vAlign w:val="center"/>
                </w:tcPr>
                <w:p w14:paraId="2D60587A">
                  <w:pPr>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388" w:type="pct"/>
                  <w:tcBorders>
                    <w:tl2br w:val="nil"/>
                    <w:tr2bl w:val="nil"/>
                  </w:tcBorders>
                  <w:noWrap w:val="0"/>
                  <w:vAlign w:val="center"/>
                </w:tcPr>
                <w:p w14:paraId="459BF735">
                  <w:pPr>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bl>
          <w:p w14:paraId="6B442F9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主</w:t>
            </w:r>
            <w:r>
              <w:rPr>
                <w:rFonts w:hint="default" w:ascii="Times New Roman" w:hAnsi="Times New Roman" w:cs="Times New Roman"/>
                <w:b/>
                <w:bCs/>
                <w:color w:val="000000" w:themeColor="text1"/>
                <w:sz w:val="21"/>
                <w:szCs w:val="21"/>
                <w14:textFill>
                  <w14:solidFill>
                    <w14:schemeClr w14:val="tx1"/>
                  </w14:solidFill>
                </w14:textFill>
              </w:rPr>
              <w:t>要原辅料、中间产品、产品理化性质、毒性毒理</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165"/>
              <w:gridCol w:w="4484"/>
              <w:gridCol w:w="774"/>
              <w:gridCol w:w="1512"/>
            </w:tblGrid>
            <w:tr w14:paraId="2D09D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93" w:type="pct"/>
                  <w:noWrap w:val="0"/>
                  <w:vAlign w:val="center"/>
                </w:tcPr>
                <w:p w14:paraId="0B531AB7">
                  <w:pPr>
                    <w:widowControl/>
                    <w:spacing w:line="240" w:lineRule="auto"/>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bookmarkStart w:id="18" w:name="OLE_LINK1"/>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691" w:type="pct"/>
                  <w:noWrap w:val="0"/>
                  <w:vAlign w:val="center"/>
                </w:tcPr>
                <w:p w14:paraId="2E1FCB13">
                  <w:pPr>
                    <w:widowControl/>
                    <w:spacing w:line="240" w:lineRule="auto"/>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名称</w:t>
                  </w:r>
                </w:p>
              </w:tc>
              <w:tc>
                <w:tcPr>
                  <w:tcW w:w="2659" w:type="pct"/>
                  <w:noWrap w:val="0"/>
                  <w:vAlign w:val="center"/>
                </w:tcPr>
                <w:p w14:paraId="16472175">
                  <w:pPr>
                    <w:widowControl/>
                    <w:spacing w:line="240" w:lineRule="auto"/>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理化性质</w:t>
                  </w:r>
                </w:p>
              </w:tc>
              <w:tc>
                <w:tcPr>
                  <w:tcW w:w="459" w:type="pct"/>
                  <w:noWrap w:val="0"/>
                  <w:vAlign w:val="center"/>
                </w:tcPr>
                <w:p w14:paraId="1D294628">
                  <w:pPr>
                    <w:widowControl/>
                    <w:spacing w:line="240" w:lineRule="auto"/>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燃烧爆炸性</w:t>
                  </w:r>
                </w:p>
              </w:tc>
              <w:tc>
                <w:tcPr>
                  <w:tcW w:w="896" w:type="pct"/>
                  <w:noWrap w:val="0"/>
                  <w:vAlign w:val="center"/>
                </w:tcPr>
                <w:p w14:paraId="49EDE0B0">
                  <w:pPr>
                    <w:widowControl/>
                    <w:spacing w:line="240" w:lineRule="auto"/>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毒性毒理</w:t>
                  </w:r>
                </w:p>
              </w:tc>
            </w:tr>
            <w:tr w14:paraId="6F506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293" w:type="pct"/>
                  <w:noWrap w:val="0"/>
                  <w:vAlign w:val="center"/>
                </w:tcPr>
                <w:p w14:paraId="03248B54">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691" w:type="pct"/>
                  <w:noWrap w:val="0"/>
                  <w:vAlign w:val="center"/>
                </w:tcPr>
                <w:p w14:paraId="75710EE8">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天然气</w:t>
                  </w:r>
                </w:p>
              </w:tc>
              <w:tc>
                <w:tcPr>
                  <w:tcW w:w="2659" w:type="pct"/>
                  <w:noWrap w:val="0"/>
                  <w:vAlign w:val="center"/>
                </w:tcPr>
                <w:p w14:paraId="6033A04B">
                  <w:pPr>
                    <w:pStyle w:val="3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主要成分为甲烷，无色无臭气体。沸点-160℃；相对密度（水=1）：0.45（液化）</w:t>
                  </w:r>
                </w:p>
              </w:tc>
              <w:tc>
                <w:tcPr>
                  <w:tcW w:w="459" w:type="pct"/>
                  <w:noWrap w:val="0"/>
                  <w:vAlign w:val="center"/>
                </w:tcPr>
                <w:p w14:paraId="0CB9AC08">
                  <w:pPr>
                    <w:pStyle w:val="22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可燃</w:t>
                  </w:r>
                </w:p>
              </w:tc>
              <w:tc>
                <w:tcPr>
                  <w:tcW w:w="896" w:type="pct"/>
                  <w:noWrap w:val="0"/>
                  <w:vAlign w:val="center"/>
                </w:tcPr>
                <w:p w14:paraId="38FA5C1D">
                  <w:pPr>
                    <w:pStyle w:val="22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LD</w:t>
                  </w:r>
                  <w:r>
                    <w:rPr>
                      <w:rFonts w:hint="default" w:ascii="Times New Roman" w:hAnsi="Times New Roman" w:cs="Times New Roman" w:eastAsiaTheme="minorEastAsia"/>
                      <w:color w:val="000000" w:themeColor="text1"/>
                      <w:vertAlign w:val="subscript"/>
                      <w14:textFill>
                        <w14:solidFill>
                          <w14:schemeClr w14:val="tx1"/>
                        </w14:solidFill>
                      </w14:textFill>
                    </w:rPr>
                    <w:t>50</w:t>
                  </w:r>
                  <w:r>
                    <w:rPr>
                      <w:rFonts w:hint="default" w:ascii="Times New Roman" w:hAnsi="Times New Roman" w:cs="Times New Roman" w:eastAsiaTheme="minorEastAsia"/>
                      <w:color w:val="000000" w:themeColor="text1"/>
                      <w14:textFill>
                        <w14:solidFill>
                          <w14:schemeClr w14:val="tx1"/>
                        </w14:solidFill>
                      </w14:textFill>
                    </w:rPr>
                    <w:t>：800mg/kg（大鼠经口）</w:t>
                  </w:r>
                </w:p>
              </w:tc>
            </w:tr>
            <w:bookmarkEnd w:id="18"/>
          </w:tbl>
          <w:p w14:paraId="17616A52">
            <w:pPr>
              <w:pStyle w:val="5"/>
              <w:spacing w:line="360" w:lineRule="auto"/>
              <w:ind w:firstLine="482"/>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6、项目周边环境概况及平面布置</w:t>
            </w:r>
          </w:p>
          <w:p w14:paraId="10B024BF">
            <w:pPr>
              <w:snapToGrid w:val="0"/>
              <w:spacing w:line="348" w:lineRule="auto"/>
              <w:ind w:firstLine="420" w:firstLineChars="200"/>
              <w:rPr>
                <w:rFonts w:hint="eastAsia"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①厂界四周情况</w:t>
            </w:r>
          </w:p>
          <w:p w14:paraId="13741E81">
            <w:pPr>
              <w:snapToGrid w:val="0"/>
              <w:spacing w:line="348" w:lineRule="auto"/>
              <w:ind w:firstLine="420" w:firstLineChars="200"/>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本项目位于</w:t>
            </w:r>
            <w:r>
              <w:rPr>
                <w:rFonts w:hint="default" w:ascii="Times New Roman" w:hAnsi="Times New Roman" w:cs="Times New Roman"/>
                <w:color w:val="000000" w:themeColor="text1"/>
                <w:szCs w:val="21"/>
                <w14:textFill>
                  <w14:solidFill>
                    <w14:schemeClr w14:val="tx1"/>
                  </w14:solidFill>
                </w14:textFill>
              </w:rPr>
              <w:t>江苏省南通市</w:t>
            </w:r>
            <w:r>
              <w:rPr>
                <w:rFonts w:hint="default" w:ascii="Times New Roman" w:hAnsi="Times New Roman" w:cs="Times New Roman"/>
                <w:color w:val="000000" w:themeColor="text1"/>
                <w:szCs w:val="21"/>
                <w:lang w:eastAsia="zh-CN"/>
                <w14:textFill>
                  <w14:solidFill>
                    <w14:schemeClr w14:val="tx1"/>
                  </w14:solidFill>
                </w14:textFill>
              </w:rPr>
              <w:t>海门经济技术开发区</w:t>
            </w:r>
            <w:r>
              <w:rPr>
                <w:rFonts w:hint="default" w:ascii="Times New Roman" w:hAnsi="Times New Roman" w:cs="Times New Roman"/>
                <w:color w:val="000000" w:themeColor="text1"/>
                <w:szCs w:val="21"/>
                <w:lang w:val="en-US" w:eastAsia="zh-CN"/>
                <w14:textFill>
                  <w14:solidFill>
                    <w14:schemeClr w14:val="tx1"/>
                  </w14:solidFill>
                </w14:textFill>
              </w:rPr>
              <w:t>人民东路南、通源路西侧</w:t>
            </w:r>
            <w:r>
              <w:rPr>
                <w:rFonts w:hint="default" w:ascii="Times New Roman" w:hAnsi="Times New Roman" w:cs="Times New Roman"/>
                <w:color w:val="000000" w:themeColor="text1"/>
                <w:sz w:val="21"/>
                <w:szCs w:val="21"/>
                <w:u w:val="none"/>
                <w14:textFill>
                  <w14:solidFill>
                    <w14:schemeClr w14:val="tx1"/>
                  </w14:solidFill>
                </w14:textFill>
              </w:rPr>
              <w:t>，项目东侧</w:t>
            </w:r>
            <w:r>
              <w:rPr>
                <w:rFonts w:hint="default" w:ascii="Times New Roman" w:hAnsi="Times New Roman" w:cs="Times New Roman"/>
                <w:color w:val="000000" w:themeColor="text1"/>
                <w:sz w:val="21"/>
                <w:szCs w:val="21"/>
                <w:u w:val="none"/>
                <w:lang w:eastAsia="zh-CN"/>
                <w14:textFill>
                  <w14:solidFill>
                    <w14:schemeClr w14:val="tx1"/>
                  </w14:solidFill>
                </w14:textFill>
              </w:rPr>
              <w:t>为</w:t>
            </w:r>
            <w:r>
              <w:rPr>
                <w:rFonts w:hint="default" w:ascii="Times New Roman" w:hAnsi="Times New Roman" w:cs="Times New Roman"/>
                <w:bCs/>
                <w:color w:val="000000" w:themeColor="text1"/>
                <w:lang w:val="en-US" w:eastAsia="zh-CN"/>
                <w14:textFill>
                  <w14:solidFill>
                    <w14:schemeClr w14:val="tx1"/>
                  </w14:solidFill>
                </w14:textFill>
              </w:rPr>
              <w:t>通源路</w:t>
            </w:r>
            <w:r>
              <w:rPr>
                <w:rFonts w:hint="eastAsia" w:ascii="Times New Roman" w:hAnsi="Times New Roman" w:cs="Times New Roman"/>
                <w:bCs/>
                <w:color w:val="000000" w:themeColor="text1"/>
                <w:lang w:val="en-US" w:eastAsia="zh-CN"/>
                <w14:textFill>
                  <w14:solidFill>
                    <w14:schemeClr w14:val="tx1"/>
                  </w14:solidFill>
                </w14:textFill>
              </w:rPr>
              <w:t>及</w:t>
            </w:r>
            <w:r>
              <w:rPr>
                <w:rFonts w:hint="eastAsia"/>
                <w:color w:val="000000" w:themeColor="text1"/>
                <w:vertAlign w:val="baseline"/>
                <w:lang w:val="en-US" w:eastAsia="zh-CN"/>
                <w14:textFill>
                  <w14:solidFill>
                    <w14:schemeClr w14:val="tx1"/>
                  </w14:solidFill>
                </w14:textFill>
              </w:rPr>
              <w:t>赛城国际集团</w:t>
            </w:r>
            <w:r>
              <w:rPr>
                <w:rFonts w:hint="default" w:ascii="Times New Roman" w:hAnsi="Times New Roman" w:cs="Times New Roman"/>
                <w:bCs/>
                <w:color w:val="000000" w:themeColor="text1"/>
                <w14:textFill>
                  <w14:solidFill>
                    <w14:schemeClr w14:val="tx1"/>
                  </w14:solidFill>
                </w14:textFill>
              </w:rPr>
              <w:t>，南侧为</w:t>
            </w:r>
            <w:r>
              <w:rPr>
                <w:rFonts w:hint="default" w:ascii="Times New Roman" w:hAnsi="Times New Roman" w:cs="Times New Roman"/>
                <w:color w:val="000000" w:themeColor="text1"/>
                <w:sz w:val="21"/>
                <w:szCs w:val="21"/>
                <w:lang w:val="en-US" w:eastAsia="zh-CN"/>
                <w14:textFill>
                  <w14:solidFill>
                    <w14:schemeClr w14:val="tx1"/>
                  </w14:solidFill>
                </w14:textFill>
              </w:rPr>
              <w:t>南通之禾时装有限公司老厂区</w:t>
            </w:r>
            <w:r>
              <w:rPr>
                <w:rFonts w:hint="default" w:ascii="Times New Roman" w:hAnsi="Times New Roman" w:cs="Times New Roman"/>
                <w:bCs/>
                <w:color w:val="000000" w:themeColor="text1"/>
                <w14:textFill>
                  <w14:solidFill>
                    <w14:schemeClr w14:val="tx1"/>
                  </w14:solidFill>
                </w14:textFill>
              </w:rPr>
              <w:t>，西侧为</w:t>
            </w:r>
            <w:r>
              <w:rPr>
                <w:rFonts w:hint="default" w:ascii="Times New Roman" w:hAnsi="Times New Roman" w:cs="Times New Roman"/>
                <w:bCs/>
                <w:color w:val="000000" w:themeColor="text1"/>
                <w:lang w:val="en-US" w:eastAsia="zh-CN"/>
                <w14:textFill>
                  <w14:solidFill>
                    <w14:schemeClr w14:val="tx1"/>
                  </w14:solidFill>
                </w14:textFill>
              </w:rPr>
              <w:t>商业区</w:t>
            </w:r>
            <w:r>
              <w:rPr>
                <w:rFonts w:hint="default" w:ascii="Times New Roman" w:hAnsi="Times New Roman" w:cs="Times New Roman"/>
                <w:bCs/>
                <w:color w:val="000000" w:themeColor="text1"/>
                <w14:textFill>
                  <w14:solidFill>
                    <w14:schemeClr w14:val="tx1"/>
                  </w14:solidFill>
                </w14:textFill>
              </w:rPr>
              <w:t>，北侧为</w:t>
            </w:r>
            <w:r>
              <w:rPr>
                <w:rFonts w:hint="default" w:ascii="Times New Roman" w:hAnsi="Times New Roman" w:cs="Times New Roman"/>
                <w:bCs/>
                <w:color w:val="000000" w:themeColor="text1"/>
                <w:lang w:val="en-US" w:eastAsia="zh-CN"/>
                <w14:textFill>
                  <w14:solidFill>
                    <w14:schemeClr w14:val="tx1"/>
                  </w14:solidFill>
                </w14:textFill>
              </w:rPr>
              <w:t>人民路</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项目周边用地为商住混合用地。</w:t>
            </w:r>
          </w:p>
          <w:p w14:paraId="7A10900F">
            <w:pPr>
              <w:snapToGrid w:val="0"/>
              <w:spacing w:line="348" w:lineRule="auto"/>
              <w:ind w:firstLine="420" w:firstLineChars="200"/>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②厂区平面布置</w:t>
            </w:r>
          </w:p>
          <w:p w14:paraId="5187E5C4">
            <w:pPr>
              <w:snapToGrid w:val="0"/>
              <w:spacing w:line="348" w:lineRule="auto"/>
              <w:ind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厂区入口位于</w:t>
            </w:r>
            <w:r>
              <w:rPr>
                <w:rFonts w:hint="eastAsia" w:ascii="Times New Roman" w:hAnsi="Times New Roman" w:cs="Times New Roman"/>
                <w:color w:val="000000" w:themeColor="text1"/>
                <w:sz w:val="21"/>
                <w:szCs w:val="21"/>
                <w:lang w:val="en-US" w:eastAsia="zh-CN"/>
                <w14:textFill>
                  <w14:solidFill>
                    <w14:schemeClr w14:val="tx1"/>
                  </w14:solidFill>
                </w14:textFill>
              </w:rPr>
              <w:t>东</w:t>
            </w:r>
            <w:r>
              <w:rPr>
                <w:rFonts w:hint="default" w:ascii="Times New Roman" w:hAnsi="Times New Roman" w:cs="Times New Roman"/>
                <w:color w:val="000000" w:themeColor="text1"/>
                <w:sz w:val="21"/>
                <w:szCs w:val="21"/>
                <w:lang w:val="en-US" w:eastAsia="zh-CN"/>
                <w14:textFill>
                  <w14:solidFill>
                    <w14:schemeClr w14:val="tx1"/>
                  </w14:solidFill>
                </w14:textFill>
              </w:rPr>
              <w:t>侧，</w:t>
            </w:r>
            <w:r>
              <w:rPr>
                <w:rFonts w:hint="eastAsia" w:ascii="Times New Roman" w:hAnsi="Times New Roman" w:cs="Times New Roman"/>
                <w:color w:val="000000" w:themeColor="text1"/>
                <w:sz w:val="21"/>
                <w:szCs w:val="21"/>
                <w:lang w:val="en-US" w:eastAsia="zh-CN"/>
                <w14:textFill>
                  <w14:solidFill>
                    <w14:schemeClr w14:val="tx1"/>
                  </w14:solidFill>
                </w14:textFill>
              </w:rPr>
              <w:t>厂区内由南向北分别为生产大楼和研发中心</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办公室位于生产大楼内，锅炉房位于生产厂房西侧，</w:t>
            </w:r>
            <w:r>
              <w:rPr>
                <w:rFonts w:hint="default" w:ascii="Times New Roman" w:hAnsi="Times New Roman" w:cs="Times New Roman"/>
                <w:color w:val="000000" w:themeColor="text1"/>
                <w:sz w:val="21"/>
                <w:szCs w:val="21"/>
                <w:lang w:val="en-US" w:eastAsia="zh-CN"/>
                <w14:textFill>
                  <w14:solidFill>
                    <w14:schemeClr w14:val="tx1"/>
                  </w14:solidFill>
                </w14:textFill>
              </w:rPr>
              <w:t>原料仓库位于车间</w:t>
            </w:r>
            <w:r>
              <w:rPr>
                <w:rFonts w:hint="eastAsia" w:ascii="Times New Roman" w:hAnsi="Times New Roman" w:cs="Times New Roman"/>
                <w:color w:val="000000" w:themeColor="text1"/>
                <w:sz w:val="21"/>
                <w:szCs w:val="21"/>
                <w:lang w:val="en-US" w:eastAsia="zh-CN"/>
                <w14:textFill>
                  <w14:solidFill>
                    <w14:schemeClr w14:val="tx1"/>
                  </w14:solidFill>
                </w14:textFill>
              </w:rPr>
              <w:t>厂房二楼北侧</w:t>
            </w:r>
            <w:r>
              <w:rPr>
                <w:rFonts w:hint="default" w:ascii="Times New Roman" w:hAnsi="Times New Roman" w:cs="Times New Roman"/>
                <w:color w:val="000000" w:themeColor="text1"/>
                <w:sz w:val="21"/>
                <w:szCs w:val="21"/>
                <w:lang w:val="en-US" w:eastAsia="zh-CN"/>
                <w14:textFill>
                  <w14:solidFill>
                    <w14:schemeClr w14:val="tx1"/>
                  </w14:solidFill>
                </w14:textFill>
              </w:rPr>
              <w:t>，成品仓库位于</w:t>
            </w:r>
            <w:r>
              <w:rPr>
                <w:rFonts w:hint="eastAsia" w:ascii="Times New Roman" w:hAnsi="Times New Roman" w:cs="Times New Roman"/>
                <w:color w:val="000000" w:themeColor="text1"/>
                <w:sz w:val="21"/>
                <w:szCs w:val="21"/>
                <w:lang w:val="en-US" w:eastAsia="zh-CN"/>
                <w14:textFill>
                  <w14:solidFill>
                    <w14:schemeClr w14:val="tx1"/>
                  </w14:solidFill>
                </w14:textFill>
              </w:rPr>
              <w:t>生产厂房二楼东侧</w:t>
            </w:r>
            <w:r>
              <w:rPr>
                <w:rFonts w:hint="default" w:ascii="Times New Roman" w:hAnsi="Times New Roman" w:cs="Times New Roman"/>
                <w:color w:val="000000" w:themeColor="text1"/>
                <w:sz w:val="21"/>
                <w:szCs w:val="21"/>
                <w:lang w:val="en-US" w:eastAsia="zh-CN"/>
                <w14:textFill>
                  <w14:solidFill>
                    <w14:schemeClr w14:val="tx1"/>
                  </w14:solidFill>
                </w14:textFill>
              </w:rPr>
              <w:t>，一般固废仓库位于车间</w:t>
            </w:r>
            <w:r>
              <w:rPr>
                <w:rFonts w:hint="eastAsia" w:ascii="Times New Roman" w:hAnsi="Times New Roman" w:cs="Times New Roman"/>
                <w:color w:val="000000" w:themeColor="text1"/>
                <w:sz w:val="21"/>
                <w:szCs w:val="21"/>
                <w:lang w:val="en-US" w:eastAsia="zh-CN"/>
                <w14:textFill>
                  <w14:solidFill>
                    <w14:schemeClr w14:val="tx1"/>
                  </w14:solidFill>
                </w14:textFill>
              </w:rPr>
              <w:t>厂房一楼西侧</w:t>
            </w:r>
            <w:r>
              <w:rPr>
                <w:rFonts w:hint="default" w:ascii="Times New Roman" w:hAnsi="Times New Roman" w:cs="Times New Roman"/>
                <w:color w:val="000000" w:themeColor="text1"/>
                <w:sz w:val="21"/>
                <w:szCs w:val="21"/>
                <w:lang w:val="en-US" w:eastAsia="zh-CN"/>
                <w14:textFill>
                  <w14:solidFill>
                    <w14:schemeClr w14:val="tx1"/>
                  </w14:solidFill>
                </w14:textFill>
              </w:rPr>
              <w:t>。厂房布置设计符合设计规范，交通方便，布置合理，能够满足项目生产要求和相关环保要求。</w:t>
            </w:r>
          </w:p>
          <w:p w14:paraId="43DF6A2B">
            <w:pPr>
              <w:spacing w:line="360" w:lineRule="auto"/>
              <w:ind w:left="434"/>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7、劳动定员及工作制度</w:t>
            </w:r>
          </w:p>
          <w:p w14:paraId="39633FBD">
            <w:pPr>
              <w:spacing w:line="360" w:lineRule="auto"/>
              <w:ind w:firstLine="420" w:firstLineChars="200"/>
              <w:jc w:val="left"/>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技改</w:t>
            </w:r>
            <w:r>
              <w:rPr>
                <w:rFonts w:hint="default" w:ascii="Times New Roman" w:hAnsi="Times New Roman" w:cs="Times New Roman"/>
                <w:color w:val="000000" w:themeColor="text1"/>
                <w:sz w:val="21"/>
                <w:szCs w:val="21"/>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未新增员工，全厂员工共620</w:t>
            </w:r>
            <w:r>
              <w:rPr>
                <w:rFonts w:hint="default" w:ascii="Times New Roman" w:hAnsi="Times New Roman" w:cs="Times New Roman"/>
                <w:color w:val="000000" w:themeColor="text1"/>
                <w:sz w:val="21"/>
                <w:szCs w:val="21"/>
                <w14:textFill>
                  <w14:solidFill>
                    <w14:schemeClr w14:val="tx1"/>
                  </w14:solidFill>
                </w14:textFill>
              </w:rPr>
              <w:t>人，年工作日</w:t>
            </w:r>
            <w:r>
              <w:rPr>
                <w:rFonts w:hint="default" w:ascii="Times New Roman" w:hAnsi="Times New Roman" w:cs="Times New Roman"/>
                <w:color w:val="000000" w:themeColor="text1"/>
                <w:sz w:val="21"/>
                <w:szCs w:val="21"/>
                <w:lang w:val="en-US" w:eastAsia="zh-CN"/>
                <w14:textFill>
                  <w14:solidFill>
                    <w14:schemeClr w14:val="tx1"/>
                  </w14:solidFill>
                </w14:textFill>
              </w:rPr>
              <w:t>30</w:t>
            </w:r>
            <w:r>
              <w:rPr>
                <w:rFonts w:hint="default" w:ascii="Times New Roman" w:hAnsi="Times New Roman" w:cs="Times New Roman"/>
                <w:color w:val="000000" w:themeColor="text1"/>
                <w:sz w:val="21"/>
                <w:szCs w:val="21"/>
                <w14:textFill>
                  <w14:solidFill>
                    <w14:schemeClr w14:val="tx1"/>
                  </w14:solidFill>
                </w14:textFill>
              </w:rPr>
              <w:t>0天，实行</w:t>
            </w:r>
            <w:r>
              <w:rPr>
                <w:rFonts w:hint="default" w:ascii="Times New Roman" w:hAnsi="Times New Roman" w:cs="Times New Roman"/>
                <w:color w:val="000000" w:themeColor="text1"/>
                <w:lang w:val="en-US" w:eastAsia="zh-CN"/>
                <w14:textFill>
                  <w14:solidFill>
                    <w14:schemeClr w14:val="tx1"/>
                  </w14:solidFill>
                </w14:textFill>
              </w:rPr>
              <w:t>一</w:t>
            </w:r>
            <w:r>
              <w:rPr>
                <w:rFonts w:hint="default" w:ascii="Times New Roman" w:hAnsi="Times New Roman" w:cs="Times New Roman"/>
                <w:color w:val="000000" w:themeColor="text1"/>
                <w14:textFill>
                  <w14:solidFill>
                    <w14:schemeClr w14:val="tx1"/>
                  </w14:solidFill>
                </w14:textFill>
              </w:rPr>
              <w:t>班</w:t>
            </w:r>
            <w:r>
              <w:rPr>
                <w:rFonts w:hint="default" w:ascii="Times New Roman" w:hAnsi="Times New Roman" w:cs="Times New Roman"/>
                <w:color w:val="000000" w:themeColor="text1"/>
                <w:lang w:val="en-US" w:eastAsia="zh-CN"/>
                <w14:textFill>
                  <w14:solidFill>
                    <w14:schemeClr w14:val="tx1"/>
                  </w14:solidFill>
                </w14:textFill>
              </w:rPr>
              <w:t>八小时工作</w:t>
            </w:r>
            <w:r>
              <w:rPr>
                <w:rFonts w:hint="default" w:ascii="Times New Roman" w:hAnsi="Times New Roman" w:cs="Times New Roman"/>
                <w:color w:val="000000" w:themeColor="text1"/>
                <w14:textFill>
                  <w14:solidFill>
                    <w14:schemeClr w14:val="tx1"/>
                  </w14:solidFill>
                </w14:textFill>
              </w:rPr>
              <w:t>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无食宿</w:t>
            </w:r>
            <w:r>
              <w:rPr>
                <w:rFonts w:hint="default" w:ascii="Times New Roman" w:hAnsi="Times New Roman" w:cs="Times New Roman"/>
                <w:color w:val="000000" w:themeColor="text1"/>
                <w:sz w:val="21"/>
                <w:szCs w:val="21"/>
                <w14:textFill>
                  <w14:solidFill>
                    <w14:schemeClr w14:val="tx1"/>
                  </w14:solidFill>
                </w14:textFill>
              </w:rPr>
              <w:t>。</w:t>
            </w:r>
          </w:p>
          <w:p w14:paraId="03A53A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8、水</w:t>
            </w:r>
            <w:r>
              <w:rPr>
                <w:rFonts w:hint="default" w:ascii="Times New Roman" w:hAnsi="Times New Roman" w:cs="Times New Roman"/>
                <w:b/>
                <w:bCs/>
                <w:color w:val="000000" w:themeColor="text1"/>
                <w:sz w:val="21"/>
                <w:szCs w:val="21"/>
                <w14:textFill>
                  <w14:solidFill>
                    <w14:schemeClr w14:val="tx1"/>
                  </w14:solidFill>
                </w14:textFill>
              </w:rPr>
              <w:t>平衡</w:t>
            </w:r>
          </w:p>
          <w:p w14:paraId="7A954183">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20" w:firstLineChars="200"/>
              <w:textAlignment w:val="auto"/>
              <w:rPr>
                <w:rFonts w:hint="default" w:ascii="Times New Roman" w:hAnsi="Times New Roman" w:eastAsia="宋体" w:cs="Times New Roman"/>
                <w:color w:val="000000" w:themeColor="text1"/>
                <w:sz w:val="18"/>
                <w:szCs w:val="18"/>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本项目自来水用量</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7800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t/a，其中废水排放量共计</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770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t/a，本项目用水平衡分析见图2-1。</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全厂水平衡见表2-2。</w:t>
            </w:r>
          </w:p>
          <w:p w14:paraId="1FFFA978">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8"/>
                <w:szCs w:val="28"/>
                <w:lang w:val="en-US" w:eastAsia="zh-CN"/>
                <w14:textFill>
                  <w14:solidFill>
                    <w14:schemeClr w14:val="tx1"/>
                  </w14:solidFill>
                </w14:textFill>
              </w:rPr>
              <mc:AlternateContent>
                <mc:Choice Requires="wpc">
                  <w:drawing>
                    <wp:inline distT="0" distB="0" distL="114300" distR="114300">
                      <wp:extent cx="5457190" cy="805180"/>
                      <wp:effectExtent l="0" t="0" r="0" b="0"/>
                      <wp:docPr id="111" name="画布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 name="矩形 35"/>
                              <wps:cNvSpPr/>
                              <wps:spPr>
                                <a:xfrm>
                                  <a:off x="1670050" y="19050"/>
                                  <a:ext cx="1028700" cy="297180"/>
                                </a:xfrm>
                                <a:prstGeom prst="rect">
                                  <a:avLst/>
                                </a:prstGeom>
                                <a:solidFill>
                                  <a:srgbClr val="FFFFFF">
                                    <a:alpha val="0"/>
                                  </a:srgbClr>
                                </a:solidFill>
                                <a:ln w="12700">
                                  <a:noFill/>
                                </a:ln>
                              </wps:spPr>
                              <wps:txbx>
                                <w:txbxContent>
                                  <w:p w14:paraId="1D2AAEE0">
                                    <w:pPr>
                                      <w:adjustRightInd w:val="0"/>
                                      <w:snapToGrid w:val="0"/>
                                      <w:rPr>
                                        <w:rFonts w:hint="default" w:eastAsia="宋体"/>
                                        <w:b/>
                                        <w:szCs w:val="21"/>
                                        <w:lang w:val="en-US" w:eastAsia="zh-CN"/>
                                      </w:rPr>
                                    </w:pPr>
                                    <w:r>
                                      <w:rPr>
                                        <w:rFonts w:hint="eastAsia" w:hAnsi="宋体"/>
                                        <w:szCs w:val="21"/>
                                        <w:lang w:val="en-US" w:eastAsia="zh-CN"/>
                                      </w:rPr>
                                      <w:t xml:space="preserve">蒸汽 </w:t>
                                    </w:r>
                                    <w:r>
                                      <w:rPr>
                                        <w:rFonts w:hint="default" w:ascii="Times New Roman" w:hAnsi="Times New Roman" w:cs="Times New Roman"/>
                                        <w:szCs w:val="21"/>
                                        <w:lang w:val="en-US" w:eastAsia="zh-CN"/>
                                      </w:rPr>
                                      <w:t>7030</w:t>
                                    </w:r>
                                  </w:p>
                                </w:txbxContent>
                              </wps:txbx>
                              <wps:bodyPr upright="1"/>
                            </wps:wsp>
                            <wps:wsp>
                              <wps:cNvPr id="116" name="矩形 37"/>
                              <wps:cNvSpPr/>
                              <wps:spPr>
                                <a:xfrm>
                                  <a:off x="3502025" y="223520"/>
                                  <a:ext cx="1148715" cy="439420"/>
                                </a:xfrm>
                                <a:prstGeom prst="rect">
                                  <a:avLst/>
                                </a:prstGeom>
                                <a:noFill/>
                                <a:ln>
                                  <a:noFill/>
                                </a:ln>
                              </wps:spPr>
                              <wps:txbx>
                                <w:txbxContent>
                                  <w:p w14:paraId="180D61F7">
                                    <w:pPr>
                                      <w:rPr>
                                        <w:rFonts w:hint="default"/>
                                        <w:b/>
                                        <w:szCs w:val="21"/>
                                        <w:lang w:val="en-US"/>
                                      </w:rPr>
                                    </w:pPr>
                                    <w:r>
                                      <w:rPr>
                                        <w:rFonts w:hint="eastAsia" w:ascii="Times New Roman" w:hAnsi="Times New Roman" w:cs="Times New Roman"/>
                                        <w:color w:val="auto"/>
                                        <w:sz w:val="21"/>
                                        <w:szCs w:val="21"/>
                                        <w:lang w:val="en-US" w:eastAsia="zh-CN"/>
                                      </w:rPr>
                                      <w:t>南通市海门东洲水处理有限公司</w:t>
                                    </w:r>
                                  </w:p>
                                </w:txbxContent>
                              </wps:txbx>
                              <wps:bodyPr upright="1"/>
                            </wps:wsp>
                            <wps:wsp>
                              <wps:cNvPr id="119" name="直接箭头连接符 40"/>
                              <wps:cNvCnPr/>
                              <wps:spPr>
                                <a:xfrm>
                                  <a:off x="628650" y="472440"/>
                                  <a:ext cx="581025" cy="635"/>
                                </a:xfrm>
                                <a:prstGeom prst="straightConnector1">
                                  <a:avLst/>
                                </a:prstGeom>
                                <a:ln w="9525" cap="flat" cmpd="sng">
                                  <a:solidFill>
                                    <a:srgbClr val="000000"/>
                                  </a:solidFill>
                                  <a:prstDash val="solid"/>
                                  <a:headEnd type="none" w="med" len="med"/>
                                  <a:tailEnd type="triangle" w="med" len="med"/>
                                </a:ln>
                              </wps:spPr>
                              <wps:bodyPr/>
                            </wps:wsp>
                            <wps:wsp>
                              <wps:cNvPr id="164" name="矩形 63"/>
                              <wps:cNvSpPr/>
                              <wps:spPr>
                                <a:xfrm>
                                  <a:off x="1207770" y="314960"/>
                                  <a:ext cx="742950" cy="297180"/>
                                </a:xfrm>
                                <a:prstGeom prst="rect">
                                  <a:avLst/>
                                </a:prstGeom>
                                <a:noFill/>
                                <a:ln w="6350" cap="flat" cmpd="sng">
                                  <a:solidFill>
                                    <a:srgbClr val="000000"/>
                                  </a:solidFill>
                                  <a:prstDash val="solid"/>
                                  <a:miter/>
                                  <a:headEnd type="none" w="med" len="med"/>
                                  <a:tailEnd type="none" w="med" len="med"/>
                                </a:ln>
                              </wps:spPr>
                              <wps:txbx>
                                <w:txbxContent>
                                  <w:p w14:paraId="252A54A3">
                                    <w:pPr>
                                      <w:pStyle w:val="37"/>
                                      <w:spacing w:before="0" w:beforeAutospacing="0" w:after="0" w:afterAutospacing="0"/>
                                      <w:jc w:val="center"/>
                                      <w:rPr>
                                        <w:rFonts w:hint="default" w:eastAsia="宋体"/>
                                        <w:b w:val="0"/>
                                        <w:bCs/>
                                        <w:sz w:val="21"/>
                                        <w:szCs w:val="16"/>
                                        <w:lang w:val="en-US" w:eastAsia="zh-CN"/>
                                      </w:rPr>
                                    </w:pPr>
                                    <w:r>
                                      <w:rPr>
                                        <w:rFonts w:hint="eastAsia"/>
                                        <w:b w:val="0"/>
                                        <w:bCs/>
                                        <w:sz w:val="21"/>
                                        <w:szCs w:val="16"/>
                                        <w:lang w:val="en-US" w:eastAsia="zh-CN"/>
                                      </w:rPr>
                                      <w:t>锅炉</w:t>
                                    </w:r>
                                  </w:p>
                                </w:txbxContent>
                              </wps:txbx>
                              <wps:bodyPr upright="1"/>
                            </wps:wsp>
                            <wps:wsp>
                              <wps:cNvPr id="166" name="矩形 65"/>
                              <wps:cNvSpPr/>
                              <wps:spPr>
                                <a:xfrm>
                                  <a:off x="570865" y="237490"/>
                                  <a:ext cx="514985" cy="260985"/>
                                </a:xfrm>
                                <a:prstGeom prst="rect">
                                  <a:avLst/>
                                </a:prstGeom>
                                <a:solidFill>
                                  <a:srgbClr val="FFFFFF">
                                    <a:alpha val="0"/>
                                  </a:srgbClr>
                                </a:solidFill>
                                <a:ln w="12700">
                                  <a:noFill/>
                                </a:ln>
                              </wps:spPr>
                              <wps:txbx>
                                <w:txbxContent>
                                  <w:p w14:paraId="74070ED1">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7800</w:t>
                                    </w:r>
                                  </w:p>
                                </w:txbxContent>
                              </wps:txbx>
                              <wps:bodyPr upright="1"/>
                            </wps:wsp>
                            <wps:wsp>
                              <wps:cNvPr id="168" name="任意多边形 66"/>
                              <wps:cNvSpPr/>
                              <wps:spPr>
                                <a:xfrm>
                                  <a:off x="1536700" y="133985"/>
                                  <a:ext cx="167005" cy="173355"/>
                                </a:xfrm>
                                <a:custGeom>
                                  <a:avLst/>
                                  <a:gdLst/>
                                  <a:ahLst/>
                                  <a:cxnLst>
                                    <a:cxn ang="0">
                                      <a:pos x="0" y="325755"/>
                                    </a:cxn>
                                    <a:cxn ang="0">
                                      <a:pos x="169545" y="126365"/>
                                    </a:cxn>
                                    <a:cxn ang="0">
                                      <a:pos x="219710" y="207645"/>
                                    </a:cxn>
                                    <a:cxn ang="0">
                                      <a:pos x="375920" y="0"/>
                                    </a:cxn>
                                  </a:cxnLst>
                                  <a:pathLst>
                                    <a:path w="592" h="513">
                                      <a:moveTo>
                                        <a:pt x="0" y="513"/>
                                      </a:moveTo>
                                      <a:cubicBezTo>
                                        <a:pt x="104" y="371"/>
                                        <a:pt x="209" y="230"/>
                                        <a:pt x="267" y="199"/>
                                      </a:cubicBezTo>
                                      <a:cubicBezTo>
                                        <a:pt x="325" y="168"/>
                                        <a:pt x="292" y="360"/>
                                        <a:pt x="346" y="327"/>
                                      </a:cubicBezTo>
                                      <a:cubicBezTo>
                                        <a:pt x="400" y="294"/>
                                        <a:pt x="551" y="54"/>
                                        <a:pt x="592" y="0"/>
                                      </a:cubicBezTo>
                                    </a:path>
                                  </a:pathLst>
                                </a:custGeom>
                                <a:noFill/>
                                <a:ln w="9525" cap="flat" cmpd="sng">
                                  <a:solidFill>
                                    <a:srgbClr val="000000"/>
                                  </a:solidFill>
                                  <a:prstDash val="solid"/>
                                  <a:headEnd type="none" w="med" len="med"/>
                                  <a:tailEnd type="triangle" w="med" len="med"/>
                                </a:ln>
                              </wps:spPr>
                              <wps:bodyPr upright="1"/>
                            </wps:wsp>
                            <wps:wsp>
                              <wps:cNvPr id="12" name="直接连接符 36"/>
                              <wps:cNvCnPr/>
                              <wps:spPr>
                                <a:xfrm flipV="1">
                                  <a:off x="1970405" y="465455"/>
                                  <a:ext cx="408940" cy="1270"/>
                                </a:xfrm>
                                <a:prstGeom prst="line">
                                  <a:avLst/>
                                </a:prstGeom>
                                <a:ln w="9525" cap="flat" cmpd="sng">
                                  <a:solidFill>
                                    <a:srgbClr val="000000"/>
                                  </a:solidFill>
                                  <a:prstDash val="solid"/>
                                  <a:headEnd type="none" w="med" len="med"/>
                                  <a:tailEnd type="triangle" w="med" len="med"/>
                                </a:ln>
                              </wps:spPr>
                              <wps:bodyPr upright="1"/>
                            </wps:wsp>
                            <wps:wsp>
                              <wps:cNvPr id="343" name="矩形 65"/>
                              <wps:cNvSpPr/>
                              <wps:spPr>
                                <a:xfrm>
                                  <a:off x="1932305" y="246380"/>
                                  <a:ext cx="514985" cy="260985"/>
                                </a:xfrm>
                                <a:prstGeom prst="rect">
                                  <a:avLst/>
                                </a:prstGeom>
                                <a:solidFill>
                                  <a:srgbClr val="FFFFFF">
                                    <a:alpha val="0"/>
                                  </a:srgbClr>
                                </a:solidFill>
                                <a:ln w="12700">
                                  <a:noFill/>
                                </a:ln>
                              </wps:spPr>
                              <wps:txbx>
                                <w:txbxContent>
                                  <w:p w14:paraId="459B3BE4">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770</w:t>
                                    </w:r>
                                  </w:p>
                                </w:txbxContent>
                              </wps:txbx>
                              <wps:bodyPr upright="1"/>
                            </wps:wsp>
                            <wps:wsp>
                              <wps:cNvPr id="361" name="矩形 63"/>
                              <wps:cNvSpPr/>
                              <wps:spPr>
                                <a:xfrm>
                                  <a:off x="2379980" y="313055"/>
                                  <a:ext cx="742950" cy="297180"/>
                                </a:xfrm>
                                <a:prstGeom prst="rect">
                                  <a:avLst/>
                                </a:prstGeom>
                                <a:noFill/>
                                <a:ln w="6350" cap="flat" cmpd="sng">
                                  <a:solidFill>
                                    <a:srgbClr val="000000"/>
                                  </a:solidFill>
                                  <a:prstDash val="solid"/>
                                  <a:miter/>
                                  <a:headEnd type="none" w="med" len="med"/>
                                  <a:tailEnd type="none" w="med" len="med"/>
                                </a:ln>
                              </wps:spPr>
                              <wps:txbx>
                                <w:txbxContent>
                                  <w:p w14:paraId="23AD1A06">
                                    <w:pPr>
                                      <w:pStyle w:val="37"/>
                                      <w:spacing w:before="0" w:beforeAutospacing="0" w:after="0" w:afterAutospacing="0"/>
                                      <w:jc w:val="center"/>
                                      <w:rPr>
                                        <w:rFonts w:hint="default" w:eastAsia="宋体"/>
                                        <w:b w:val="0"/>
                                        <w:bCs/>
                                        <w:sz w:val="21"/>
                                        <w:szCs w:val="16"/>
                                        <w:lang w:val="en-US" w:eastAsia="zh-CN"/>
                                      </w:rPr>
                                    </w:pPr>
                                    <w:r>
                                      <w:rPr>
                                        <w:rFonts w:hint="eastAsia"/>
                                        <w:b w:val="0"/>
                                        <w:bCs/>
                                        <w:sz w:val="21"/>
                                        <w:szCs w:val="16"/>
                                        <w:lang w:val="en-US" w:eastAsia="zh-CN"/>
                                      </w:rPr>
                                      <w:t>锅炉废水</w:t>
                                    </w:r>
                                  </w:p>
                                </w:txbxContent>
                              </wps:txbx>
                              <wps:bodyPr upright="1"/>
                            </wps:wsp>
                            <wps:wsp>
                              <wps:cNvPr id="362" name="直接箭头连接符 362"/>
                              <wps:cNvCnPr>
                                <a:stCxn id="361" idx="3"/>
                              </wps:cNvCnPr>
                              <wps:spPr>
                                <a:xfrm>
                                  <a:off x="3122930" y="461645"/>
                                  <a:ext cx="377190" cy="63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9" name="矩形 65"/>
                              <wps:cNvSpPr/>
                              <wps:spPr>
                                <a:xfrm>
                                  <a:off x="3027680" y="208280"/>
                                  <a:ext cx="514985" cy="260985"/>
                                </a:xfrm>
                                <a:prstGeom prst="rect">
                                  <a:avLst/>
                                </a:prstGeom>
                                <a:solidFill>
                                  <a:srgbClr val="FFFFFF">
                                    <a:alpha val="0"/>
                                  </a:srgbClr>
                                </a:solidFill>
                                <a:ln w="12700">
                                  <a:noFill/>
                                </a:ln>
                              </wps:spPr>
                              <wps:txbx>
                                <w:txbxContent>
                                  <w:p w14:paraId="6BC154AB">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770</w:t>
                                    </w:r>
                                  </w:p>
                                </w:txbxContent>
                              </wps:txbx>
                              <wps:bodyPr upright="1"/>
                            </wps:wsp>
                          </wpc:wpc>
                        </a:graphicData>
                      </a:graphic>
                    </wp:inline>
                  </w:drawing>
                </mc:Choice>
                <mc:Fallback>
                  <w:pict>
                    <v:group id="_x0000_s1026" o:spid="_x0000_s1026" o:spt="203" style="height:63.4pt;width:429.7pt;" coordsize="5457190,805180" editas="canvas" o:gfxdata="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CL+bRbXAAAABQEAAA8AAAAAAAAAAQAg&#10;AAAAIgAAAGRycy9kb3ducmV2LnhtbFBLAQIUABQAAAAIAIdO4kBr+ICo2AUAANcaAAAOAAAAAAAA&#10;AAEAIAAAACYBAABkcnMvZTJvRG9jLnhtbFBLBQYAAAAABgAGAFkBAABwCQAAAAA=&#10;">
                      <o:lock v:ext="edit" aspectratio="f"/>
                      <v:shape id="_x0000_s1026" o:spid="_x0000_s1026" style="position:absolute;left:0;top:0;height:805180;width:5457190;" filled="f" stroked="f" coordsize="21600,21600" o:gfxdata="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CL+bRbXAAAABQEAAA8AAAAAAAAAAQAgAAAAIgAAAGRycy9k&#10;b3ducmV2LnhtbFBLAQIUABQAAAAIAIdO4kA0OOZwkwUAAFIaAAAOAAAAAAAAAAEAIAAAACYBAABk&#10;cnMvZTJvRG9jLnhtbFBLBQYAAAAABgAGAFkBAAArCQAAAAA=&#10;">
                        <v:fill on="f" focussize="0,0"/>
                        <v:stroke on="f"/>
                        <v:imagedata o:title=""/>
                        <o:lock v:ext="edit" aspectratio="t"/>
                      </v:shape>
                      <v:rect id="矩形 35" o:spid="_x0000_s1026" o:spt="1" style="position:absolute;left:1670050;top:19050;height:297180;width:1028700;" fillcolor="#FFFFFF" filled="t" stroked="f" coordsize="21600,21600" o:gfxdata="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uZbYDVAAAABQEAAA8AAAAAAAAAAQAgAAAAIgAA&#10;AGRycy9kb3ducmV2LnhtbFBLAQIUABQAAAAIAIdO4kDRQFsk0gEAAJ4DAAAOAAAAAAAAAAEAIAAA&#10;ACQBAABkcnMvZTJvRG9jLnhtbFBLBQYAAAAABgAGAFkBAABoBQAAAAA=&#10;">
                        <v:fill on="t" opacity="0f" focussize="0,0"/>
                        <v:stroke on="f" weight="1pt"/>
                        <v:imagedata o:title=""/>
                        <o:lock v:ext="edit" aspectratio="f"/>
                        <v:textbox>
                          <w:txbxContent>
                            <w:p w14:paraId="1D2AAEE0">
                              <w:pPr>
                                <w:adjustRightInd w:val="0"/>
                                <w:snapToGrid w:val="0"/>
                                <w:rPr>
                                  <w:rFonts w:hint="default" w:eastAsia="宋体"/>
                                  <w:b/>
                                  <w:szCs w:val="21"/>
                                  <w:lang w:val="en-US" w:eastAsia="zh-CN"/>
                                </w:rPr>
                              </w:pPr>
                              <w:r>
                                <w:rPr>
                                  <w:rFonts w:hint="eastAsia" w:hAnsi="宋体"/>
                                  <w:szCs w:val="21"/>
                                  <w:lang w:val="en-US" w:eastAsia="zh-CN"/>
                                </w:rPr>
                                <w:t xml:space="preserve">蒸汽 </w:t>
                              </w:r>
                              <w:r>
                                <w:rPr>
                                  <w:rFonts w:hint="default" w:ascii="Times New Roman" w:hAnsi="Times New Roman" w:cs="Times New Roman"/>
                                  <w:szCs w:val="21"/>
                                  <w:lang w:val="en-US" w:eastAsia="zh-CN"/>
                                </w:rPr>
                                <w:t>7030</w:t>
                              </w:r>
                            </w:p>
                          </w:txbxContent>
                        </v:textbox>
                      </v:rect>
                      <v:rect id="矩形 37" o:spid="_x0000_s1026" o:spt="1" style="position:absolute;left:3502025;top:223520;height:439420;width:1148715;" filled="f" stroked="f" coordsize="21600,21600" o:gfxdata="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m0W&#10;1wAAAAUBAAAPAAAAAAAAAAEAIAAAACIAAABkcnMvZG93bnJldi54bWxQSwECFAAUAAAACACHTuJA&#10;onNcN7ABAABPAwAADgAAAAAAAAABACAAAAAmAQAAZHJzL2Uyb0RvYy54bWxQSwUGAAAAAAYABgBZ&#10;AQAASAUAAAAA&#10;">
                        <v:fill on="f" focussize="0,0"/>
                        <v:stroke on="f"/>
                        <v:imagedata o:title=""/>
                        <o:lock v:ext="edit" aspectratio="f"/>
                        <v:textbox>
                          <w:txbxContent>
                            <w:p w14:paraId="180D61F7">
                              <w:pPr>
                                <w:rPr>
                                  <w:rFonts w:hint="default"/>
                                  <w:b/>
                                  <w:szCs w:val="21"/>
                                  <w:lang w:val="en-US"/>
                                </w:rPr>
                              </w:pPr>
                              <w:r>
                                <w:rPr>
                                  <w:rFonts w:hint="eastAsia" w:ascii="Times New Roman" w:hAnsi="Times New Roman" w:cs="Times New Roman"/>
                                  <w:color w:val="auto"/>
                                  <w:sz w:val="21"/>
                                  <w:szCs w:val="21"/>
                                  <w:lang w:val="en-US" w:eastAsia="zh-CN"/>
                                </w:rPr>
                                <w:t>南通市海门东洲水处理有限公司</w:t>
                              </w:r>
                            </w:p>
                          </w:txbxContent>
                        </v:textbox>
                      </v:rect>
                      <v:shape id="直接箭头连接符 40" o:spid="_x0000_s1026" o:spt="32" type="#_x0000_t32" style="position:absolute;left:628650;top:472440;height:635;width:581025;" filled="f" stroked="t" coordsize="21600,21600" o:gfxdata="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4opz1gAAAAUBAAAPAAAAAAAAAAEA&#10;IAAAACIAAABkcnMvZG93bnJldi54bWxQSwECFAAUAAAACACHTuJA9yiihBECAAD+AwAADgAAAAAA&#10;AAABACAAAAAlAQAAZHJzL2Uyb0RvYy54bWxQSwUGAAAAAAYABgBZAQAAqAUAAAAA&#10;">
                        <v:fill on="f" focussize="0,0"/>
                        <v:stroke color="#000000" joinstyle="round" endarrow="block"/>
                        <v:imagedata o:title=""/>
                        <o:lock v:ext="edit" aspectratio="f"/>
                      </v:shape>
                      <v:rect id="矩形 63" o:spid="_x0000_s1026" o:spt="1" style="position:absolute;left:1207770;top:314960;height:297180;width:742950;" filled="f" stroked="t" coordsize="21600,21600" o:gfxdata="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PUCfNMAAAAFAQAADwAAAAAAAAABACAAAAAiAAAAZHJz&#10;L2Rvd25yZXYueG1sUEsBAhQAFAAAAAgAh07iQEL5EQEJAgAADQQAAA4AAAAAAAAAAQAgAAAAIgEA&#10;AGRycy9lMm9Eb2MueG1sUEsFBgAAAAAGAAYAWQEAAJ0FAAAAAA==&#10;">
                        <v:fill on="f" focussize="0,0"/>
                        <v:stroke weight="0.5pt" color="#000000" joinstyle="miter"/>
                        <v:imagedata o:title=""/>
                        <o:lock v:ext="edit" aspectratio="f"/>
                        <v:textbox>
                          <w:txbxContent>
                            <w:p w14:paraId="252A54A3">
                              <w:pPr>
                                <w:pStyle w:val="37"/>
                                <w:spacing w:before="0" w:beforeAutospacing="0" w:after="0" w:afterAutospacing="0"/>
                                <w:jc w:val="center"/>
                                <w:rPr>
                                  <w:rFonts w:hint="default" w:eastAsia="宋体"/>
                                  <w:b w:val="0"/>
                                  <w:bCs/>
                                  <w:sz w:val="21"/>
                                  <w:szCs w:val="16"/>
                                  <w:lang w:val="en-US" w:eastAsia="zh-CN"/>
                                </w:rPr>
                              </w:pPr>
                              <w:r>
                                <w:rPr>
                                  <w:rFonts w:hint="eastAsia"/>
                                  <w:b w:val="0"/>
                                  <w:bCs/>
                                  <w:sz w:val="21"/>
                                  <w:szCs w:val="16"/>
                                  <w:lang w:val="en-US" w:eastAsia="zh-CN"/>
                                </w:rPr>
                                <w:t>锅炉</w:t>
                              </w:r>
                            </w:p>
                          </w:txbxContent>
                        </v:textbox>
                      </v:rect>
                      <v:rect id="矩形 65" o:spid="_x0000_s1026" o:spt="1" style="position:absolute;left:570865;top:237490;height:260985;width:514985;" fillcolor="#FFFFFF" filled="t" stroked="f" coordsize="21600,21600" o:gfxdata="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5ltgNUAAAAFAQAADwAAAAAAAAABACAAAAAi&#10;AAAAZHJzL2Rvd25yZXYueG1sUEsBAhQAFAAAAAgAh07iQCDSiqvUAQAAnQMAAA4AAAAAAAAAAQAg&#10;AAAAJAEAAGRycy9lMm9Eb2MueG1sUEsFBgAAAAAGAAYAWQEAAGoFAAAAAA==&#10;">
                        <v:fill on="t" opacity="0f" focussize="0,0"/>
                        <v:stroke on="f" weight="1pt"/>
                        <v:imagedata o:title=""/>
                        <o:lock v:ext="edit" aspectratio="f"/>
                        <v:textbox>
                          <w:txbxContent>
                            <w:p w14:paraId="74070ED1">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7800</w:t>
                              </w:r>
                            </w:p>
                          </w:txbxContent>
                        </v:textbox>
                      </v:rect>
                      <v:shape id="任意多边形 66" o:spid="_x0000_s1026" o:spt="100" style="position:absolute;left:1536700;top:133985;height:173355;width:167005;" filled="f" stroked="t" coordsize="592,513" o:gfxdata="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EcTKM1wAAAAUBAAAPAAAAAAAAAAEAIAAAACIAAABkcnMvZG93bnJldi54bWxQ&#10;SwECFAAUAAAACACHTuJA6X8cxtwCAABxBgAADgAAAAAAAAABACAAAAAmAQAAZHJzL2Uyb0RvYy54&#10;bWxQSwUGAAAAAAYABgBZAQAAdAYAAAAA&#10;" path="m0,513c104,371,209,230,267,199c325,168,292,360,346,327c400,294,551,54,592,0e">
                        <v:path o:connectlocs="0,325755;169545,126365;219710,207645;375920,0" o:connectangles="0,0,0,0"/>
                        <v:fill on="f" focussize="0,0"/>
                        <v:stroke color="#000000" joinstyle="round" endarrow="block"/>
                        <v:imagedata o:title=""/>
                        <o:lock v:ext="edit" aspectratio="f"/>
                      </v:shape>
                      <v:line id="直接连接符 36" o:spid="_x0000_s1026" o:spt="20" style="position:absolute;left:1970405;top:465455;flip:y;height:1270;width:408940;" filled="f" stroked="t" coordsize="21600,21600" o:gfxdata="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fmZVrWAAAABQEAAA8AAAAA&#10;AAAAAQAgAAAAIgAAAGRycy9kb3ducmV2LnhtbFBLAQIUABQAAAAIAIdO4kCYO7ZVFgIAAAEEAAAO&#10;AAAAAAAAAAEAIAAAACUBAABkcnMvZTJvRG9jLnhtbFBLBQYAAAAABgAGAFkBAACtBQAAAAA=&#10;">
                        <v:fill on="f" focussize="0,0"/>
                        <v:stroke color="#000000" joinstyle="round" endarrow="block"/>
                        <v:imagedata o:title=""/>
                        <o:lock v:ext="edit" aspectratio="f"/>
                      </v:line>
                      <v:rect id="矩形 65" o:spid="_x0000_s1026" o:spt="1" style="position:absolute;left:1932305;top:246380;height:260985;width:514985;" fillcolor="#FFFFFF" filled="t" stroked="f" coordsize="21600,21600" o:gfxdata="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rmW2A1QAAAAUBAAAPAAAAAAAAAAEAIAAA&#10;ACIAAABkcnMvZG93bnJldi54bWxQSwECFAAUAAAACACHTuJAycS1OdYBAACeAwAADgAAAAAAAAAB&#10;ACAAAAAkAQAAZHJzL2Uyb0RvYy54bWxQSwUGAAAAAAYABgBZAQAAbAUAAAAA&#10;">
                        <v:fill on="t" opacity="0f" focussize="0,0"/>
                        <v:stroke on="f" weight="1pt"/>
                        <v:imagedata o:title=""/>
                        <o:lock v:ext="edit" aspectratio="f"/>
                        <v:textbox>
                          <w:txbxContent>
                            <w:p w14:paraId="459B3BE4">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770</w:t>
                              </w:r>
                            </w:p>
                          </w:txbxContent>
                        </v:textbox>
                      </v:rect>
                      <v:rect id="矩形 63" o:spid="_x0000_s1026" o:spt="1" style="position:absolute;left:2379980;top:313055;height:297180;width:742950;" filled="f" stroked="t" coordsize="21600,21600" o:gfxdata="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j1AnzTAAAABQEAAA8AAAAAAAAAAQAgAAAAIgAAAGRycy9k&#10;b3ducmV2LnhtbFBLAQIUABQAAAAIAIdO4kB6lOsxBwIAAA0EAAAOAAAAAAAAAAEAIAAAACIBAABk&#10;cnMvZTJvRG9jLnhtbFBLBQYAAAAABgAGAFkBAACbBQAAAAA=&#10;">
                        <v:fill on="f" focussize="0,0"/>
                        <v:stroke weight="0.5pt" color="#000000" joinstyle="miter"/>
                        <v:imagedata o:title=""/>
                        <o:lock v:ext="edit" aspectratio="f"/>
                        <v:textbox>
                          <w:txbxContent>
                            <w:p w14:paraId="23AD1A06">
                              <w:pPr>
                                <w:pStyle w:val="37"/>
                                <w:spacing w:before="0" w:beforeAutospacing="0" w:after="0" w:afterAutospacing="0"/>
                                <w:jc w:val="center"/>
                                <w:rPr>
                                  <w:rFonts w:hint="default" w:eastAsia="宋体"/>
                                  <w:b w:val="0"/>
                                  <w:bCs/>
                                  <w:sz w:val="21"/>
                                  <w:szCs w:val="16"/>
                                  <w:lang w:val="en-US" w:eastAsia="zh-CN"/>
                                </w:rPr>
                              </w:pPr>
                              <w:r>
                                <w:rPr>
                                  <w:rFonts w:hint="eastAsia"/>
                                  <w:b w:val="0"/>
                                  <w:bCs/>
                                  <w:sz w:val="21"/>
                                  <w:szCs w:val="16"/>
                                  <w:lang w:val="en-US" w:eastAsia="zh-CN"/>
                                </w:rPr>
                                <w:t>锅炉废水</w:t>
                              </w:r>
                            </w:p>
                          </w:txbxContent>
                        </v:textbox>
                      </v:rect>
                      <v:shape id="_x0000_s1026" o:spid="_x0000_s1026" o:spt="32" type="#_x0000_t32" style="position:absolute;left:3122930;top:461645;height:635;width:377190;" filled="f" stroked="t" coordsize="21600,21600" o:gfxdata="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uzMCNcAAAAFAQAADwAA&#10;AAAAAAABACAAAAAiAAAAZHJzL2Rvd25yZXYueG1sUEsBAhQAFAAAAAgAh07iQIi65lcXAgAAAAQA&#10;AA4AAAAAAAAAAQAgAAAAJgEAAGRycy9lMm9Eb2MueG1sUEsFBgAAAAAGAAYAWQEAAK8FAAAAAA==&#10;">
                        <v:fill on="f" focussize="0,0"/>
                        <v:stroke weight="1pt" color="#000000 [3213]" joinstyle="round" endarrow="open"/>
                        <v:imagedata o:title=""/>
                        <o:lock v:ext="edit" aspectratio="f"/>
                      </v:shape>
                      <v:rect id="矩形 65" o:spid="_x0000_s1026" o:spt="1" style="position:absolute;left:3027680;top:208280;height:260985;width:514985;" fillcolor="#FFFFFF" filled="t" stroked="f" coordsize="21600,21600" o:gfxdata="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rmW2A1QAAAAUBAAAPAAAAAAAAAAEAIAAA&#10;ACIAAABkcnMvZG93bnJldi54bWxQSwECFAAUAAAACACHTuJAGen7YtYBAACeAwAADgAAAAAAAAAB&#10;ACAAAAAkAQAAZHJzL2Uyb0RvYy54bWxQSwUGAAAAAAYABgBZAQAAbAUAAAAA&#10;">
                        <v:fill on="t" opacity="0f" focussize="0,0"/>
                        <v:stroke on="f" weight="1pt"/>
                        <v:imagedata o:title=""/>
                        <o:lock v:ext="edit" aspectratio="f"/>
                        <v:textbox>
                          <w:txbxContent>
                            <w:p w14:paraId="6BC154AB">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770</w:t>
                              </w:r>
                            </w:p>
                          </w:txbxContent>
                        </v:textbox>
                      </v:rect>
                      <w10:wrap type="none"/>
                      <w10:anchorlock/>
                    </v:group>
                  </w:pict>
                </mc:Fallback>
              </mc:AlternateContent>
            </w:r>
          </w:p>
          <w:p w14:paraId="2284D4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2032635</wp:posOffset>
                      </wp:positionH>
                      <wp:positionV relativeFrom="paragraph">
                        <wp:posOffset>-40255825</wp:posOffset>
                      </wp:positionV>
                      <wp:extent cx="607060" cy="0"/>
                      <wp:effectExtent l="0" t="38100" r="2540" b="38100"/>
                      <wp:wrapNone/>
                      <wp:docPr id="211" name="自选图形 78"/>
                      <wp:cNvGraphicFramePr/>
                      <a:graphic xmlns:a="http://schemas.openxmlformats.org/drawingml/2006/main">
                        <a:graphicData uri="http://schemas.microsoft.com/office/word/2010/wordprocessingShape">
                          <wps:wsp>
                            <wps:cNvCnPr/>
                            <wps:spPr>
                              <a:xfrm>
                                <a:off x="0" y="0"/>
                                <a:ext cx="60706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8" o:spid="_x0000_s1026" o:spt="32" type="#_x0000_t32" style="position:absolute;left:0pt;margin-left:160.05pt;margin-top:-3169.75pt;height:0pt;width:47.8pt;z-index:251661312;mso-width-relative:page;mso-height-relative:page;" filled="f" stroked="t" coordsize="21600,21600" o:gfxdata="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U3yp2wAAAA8BAAAPAAAAAAAAAAEAIAAAACIAAABkcnMvZG93&#10;bnJldi54bWxQSwECFAAUAAAACACHTuJA4zebT/0BAADpAwAADgAAAAAAAAABACAAAAAqAQAAZHJz&#10;L2Uyb0RvYy54bWxQSwUGAAAAAAYABgBZAQAAmQUAAAAA&#10;">
                      <v:fill on="f" focussize="0,0"/>
                      <v:stroke color="#000000" joinstyle="round" endarrow="block"/>
                      <v:imagedata o:title=""/>
                      <o:lock v:ext="edit" aspectratio="f"/>
                    </v:shape>
                  </w:pict>
                </mc:Fallback>
              </mc:AlternateContent>
            </w:r>
            <w:r>
              <w:rPr>
                <w:rFonts w:hint="default" w:ascii="Times New Roman" w:hAnsi="Times New Roman" w:cs="Times New Roman"/>
                <w:b/>
                <w:bCs/>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2032635</wp:posOffset>
                      </wp:positionH>
                      <wp:positionV relativeFrom="paragraph">
                        <wp:posOffset>-40255825</wp:posOffset>
                      </wp:positionV>
                      <wp:extent cx="407670" cy="0"/>
                      <wp:effectExtent l="0" t="38100" r="11430" b="38100"/>
                      <wp:wrapNone/>
                      <wp:docPr id="212" name="自选图形 846"/>
                      <wp:cNvGraphicFramePr/>
                      <a:graphic xmlns:a="http://schemas.openxmlformats.org/drawingml/2006/main">
                        <a:graphicData uri="http://schemas.microsoft.com/office/word/2010/wordprocessingShape">
                          <wps:wsp>
                            <wps:cNvCnPr/>
                            <wps:spPr>
                              <a:xfrm>
                                <a:off x="0" y="0"/>
                                <a:ext cx="4076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46" o:spid="_x0000_s1026" o:spt="32" type="#_x0000_t32" style="position:absolute;left:0pt;margin-left:160.05pt;margin-top:-3169.75pt;height:0pt;width:32.1pt;z-index:251660288;mso-width-relative:page;mso-height-relative:page;" filled="f" stroked="t" coordsize="21600,21600" o:gfxdata="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n0C8TbAAAADwEAAA8AAAAAAAAAAQAgAAAAIgAAAGRycy9k&#10;b3ducmV2LnhtbFBLAQIUABQAAAAIAIdO4kAO3Haf/wEAAOoDAAAOAAAAAAAAAAEAIAAAACoBAABk&#10;cnMvZTJvRG9jLnhtbFBLBQYAAAAABgAGAFkBAACbBQAAAAA=&#10;">
                      <v:fill on="f" focussize="0,0"/>
                      <v:stroke color="#000000" joinstyle="round" endarrow="block"/>
                      <v:imagedata o:title=""/>
                      <o:lock v:ext="edit" aspectratio="f"/>
                    </v:shape>
                  </w:pict>
                </mc:Fallback>
              </mc:AlternateContent>
            </w:r>
            <w:r>
              <w:rPr>
                <w:rFonts w:hint="default" w:ascii="Times New Roman" w:hAnsi="Times New Roman" w:cs="Times New Roman"/>
                <w:b/>
                <w:color w:val="000000" w:themeColor="text1"/>
                <w:sz w:val="21"/>
                <w:szCs w:val="21"/>
                <w14:textFill>
                  <w14:solidFill>
                    <w14:schemeClr w14:val="tx1"/>
                  </w14:solidFill>
                </w14:textFill>
              </w:rPr>
              <w:t>图2-1  本项目水平衡图    单位</w:t>
            </w:r>
            <w:r>
              <w:rPr>
                <w:rFonts w:hint="eastAsia" w:ascii="Times New Roman" w:hAnsi="Times New Roman" w:cs="Times New Roman"/>
                <w:b/>
                <w:color w:val="000000" w:themeColor="text1"/>
                <w:sz w:val="21"/>
                <w:szCs w:val="21"/>
                <w:lang w:eastAsia="zh-CN"/>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t>t/a</w:t>
            </w:r>
          </w:p>
          <w:p w14:paraId="5978DAF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3055620</wp:posOffset>
                      </wp:positionH>
                      <wp:positionV relativeFrom="paragraph">
                        <wp:posOffset>1928495</wp:posOffset>
                      </wp:positionV>
                      <wp:extent cx="504825" cy="297180"/>
                      <wp:effectExtent l="0" t="0" r="0" b="0"/>
                      <wp:wrapNone/>
                      <wp:docPr id="10" name="矩形 67"/>
                      <wp:cNvGraphicFramePr/>
                      <a:graphic xmlns:a="http://schemas.openxmlformats.org/drawingml/2006/main">
                        <a:graphicData uri="http://schemas.microsoft.com/office/word/2010/wordprocessingShape">
                          <wps:wsp>
                            <wps:cNvSpPr/>
                            <wps:spPr>
                              <a:xfrm>
                                <a:off x="0" y="0"/>
                                <a:ext cx="504825" cy="297180"/>
                              </a:xfrm>
                              <a:prstGeom prst="rect">
                                <a:avLst/>
                              </a:prstGeom>
                              <a:solidFill>
                                <a:srgbClr val="FFFFFF">
                                  <a:alpha val="0"/>
                                </a:srgbClr>
                              </a:solidFill>
                              <a:ln w="12700">
                                <a:noFill/>
                              </a:ln>
                            </wps:spPr>
                            <wps:txbx>
                              <w:txbxContent>
                                <w:p w14:paraId="2CF10C08">
                                  <w:pPr>
                                    <w:adjustRightInd w:val="0"/>
                                    <w:snapToGrid w:val="0"/>
                                    <w:rPr>
                                      <w:rFonts w:hint="default" w:eastAsia="宋体"/>
                                      <w:b/>
                                      <w:sz w:val="21"/>
                                      <w:szCs w:val="21"/>
                                      <w:lang w:val="en-US" w:eastAsia="zh-CN"/>
                                    </w:rPr>
                                  </w:pPr>
                                  <w:r>
                                    <w:rPr>
                                      <w:rFonts w:hint="eastAsia" w:hAnsi="宋体"/>
                                      <w:sz w:val="21"/>
                                      <w:szCs w:val="21"/>
                                      <w:lang w:val="en-US" w:eastAsia="zh-CN"/>
                                    </w:rPr>
                                    <w:t>412</w:t>
                                  </w:r>
                                </w:p>
                              </w:txbxContent>
                            </wps:txbx>
                            <wps:bodyPr upright="1"/>
                          </wps:wsp>
                        </a:graphicData>
                      </a:graphic>
                    </wp:anchor>
                  </w:drawing>
                </mc:Choice>
                <mc:Fallback>
                  <w:pict>
                    <v:rect id="矩形 67" o:spid="_x0000_s1026" o:spt="1" style="position:absolute;left:0pt;margin-left:240.6pt;margin-top:151.85pt;height:23.4pt;width:39.75pt;z-index:251668480;mso-width-relative:page;mso-height-relative:page;" fillcolor="#FFFFFF" filled="t" stroked="f" coordsize="21600,21600" o:gfxdata="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A7Io9kAAAALAQAADwAAAAAAAAABACAAAAAiAAAAZHJz&#10;L2Rvd25yZXYueG1sUEsBAhQAFAAAAAgAh07iQBuaj8nKAQAAkgMAAA4AAAAAAAAAAQAgAAAAKAEA&#10;AGRycy9lMm9Eb2MueG1sUEsFBgAAAAAGAAYAWQEAAGQFAAAAAA==&#10;">
                      <v:fill on="t" opacity="0f" focussize="0,0"/>
                      <v:stroke on="f" weight="1pt"/>
                      <v:imagedata o:title=""/>
                      <o:lock v:ext="edit" aspectratio="f"/>
                      <v:textbox>
                        <w:txbxContent>
                          <w:p w14:paraId="2CF10C08">
                            <w:pPr>
                              <w:adjustRightInd w:val="0"/>
                              <w:snapToGrid w:val="0"/>
                              <w:rPr>
                                <w:rFonts w:hint="default" w:eastAsia="宋体"/>
                                <w:b/>
                                <w:sz w:val="21"/>
                                <w:szCs w:val="21"/>
                                <w:lang w:val="en-US" w:eastAsia="zh-CN"/>
                              </w:rPr>
                            </w:pPr>
                            <w:r>
                              <w:rPr>
                                <w:rFonts w:hint="eastAsia" w:hAnsi="宋体"/>
                                <w:sz w:val="21"/>
                                <w:szCs w:val="21"/>
                                <w:lang w:val="en-US" w:eastAsia="zh-CN"/>
                              </w:rPr>
                              <w:t>412</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1179195</wp:posOffset>
                      </wp:positionH>
                      <wp:positionV relativeFrom="paragraph">
                        <wp:posOffset>1842770</wp:posOffset>
                      </wp:positionV>
                      <wp:extent cx="504825" cy="297180"/>
                      <wp:effectExtent l="0" t="0" r="0" b="0"/>
                      <wp:wrapNone/>
                      <wp:docPr id="9" name="矩形 67"/>
                      <wp:cNvGraphicFramePr/>
                      <a:graphic xmlns:a="http://schemas.openxmlformats.org/drawingml/2006/main">
                        <a:graphicData uri="http://schemas.microsoft.com/office/word/2010/wordprocessingShape">
                          <wps:wsp>
                            <wps:cNvSpPr/>
                            <wps:spPr>
                              <a:xfrm>
                                <a:off x="0" y="0"/>
                                <a:ext cx="504825" cy="297180"/>
                              </a:xfrm>
                              <a:prstGeom prst="rect">
                                <a:avLst/>
                              </a:prstGeom>
                              <a:solidFill>
                                <a:srgbClr val="FFFFFF">
                                  <a:alpha val="0"/>
                                </a:srgbClr>
                              </a:solidFill>
                              <a:ln w="12700">
                                <a:noFill/>
                              </a:ln>
                            </wps:spPr>
                            <wps:txbx>
                              <w:txbxContent>
                                <w:p w14:paraId="491BC830">
                                  <w:pPr>
                                    <w:adjustRightInd w:val="0"/>
                                    <w:snapToGrid w:val="0"/>
                                    <w:rPr>
                                      <w:rFonts w:hint="default" w:eastAsia="宋体"/>
                                      <w:b/>
                                      <w:sz w:val="21"/>
                                      <w:szCs w:val="21"/>
                                      <w:lang w:val="en-US" w:eastAsia="zh-CN"/>
                                    </w:rPr>
                                  </w:pPr>
                                  <w:r>
                                    <w:rPr>
                                      <w:rFonts w:hint="eastAsia" w:hAnsi="宋体"/>
                                      <w:sz w:val="21"/>
                                      <w:szCs w:val="21"/>
                                      <w:lang w:val="en-US" w:eastAsia="zh-CN"/>
                                    </w:rPr>
                                    <w:t>412</w:t>
                                  </w:r>
                                </w:p>
                              </w:txbxContent>
                            </wps:txbx>
                            <wps:bodyPr upright="1"/>
                          </wps:wsp>
                        </a:graphicData>
                      </a:graphic>
                    </wp:anchor>
                  </w:drawing>
                </mc:Choice>
                <mc:Fallback>
                  <w:pict>
                    <v:rect id="矩形 67" o:spid="_x0000_s1026" o:spt="1" style="position:absolute;left:0pt;margin-left:92.85pt;margin-top:145.1pt;height:23.4pt;width:39.75pt;z-index:251667456;mso-width-relative:page;mso-height-relative:page;" fillcolor="#FFFFFF" filled="t" stroked="f" coordsize="21600,21600" o:gfxdata="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cZ6MNkAAAALAQAADwAAAAAAAAABACAAAAAiAAAAZHJz&#10;L2Rvd25yZXYueG1sUEsBAhQAFAAAAAgAh07iQI7nlCTKAQAAkQMAAA4AAAAAAAAAAQAgAAAAKAEA&#10;AGRycy9lMm9Eb2MueG1sUEsFBgAAAAAGAAYAWQEAAGQFAAAAAA==&#10;">
                      <v:fill on="t" opacity="0f" focussize="0,0"/>
                      <v:stroke on="f" weight="1pt"/>
                      <v:imagedata o:title=""/>
                      <o:lock v:ext="edit" aspectratio="f"/>
                      <v:textbox>
                        <w:txbxContent>
                          <w:p w14:paraId="491BC830">
                            <w:pPr>
                              <w:adjustRightInd w:val="0"/>
                              <w:snapToGrid w:val="0"/>
                              <w:rPr>
                                <w:rFonts w:hint="default" w:eastAsia="宋体"/>
                                <w:b/>
                                <w:sz w:val="21"/>
                                <w:szCs w:val="21"/>
                                <w:lang w:val="en-US" w:eastAsia="zh-CN"/>
                              </w:rPr>
                            </w:pPr>
                            <w:r>
                              <w:rPr>
                                <w:rFonts w:hint="eastAsia" w:hAnsi="宋体"/>
                                <w:sz w:val="21"/>
                                <w:szCs w:val="21"/>
                                <w:lang w:val="en-US" w:eastAsia="zh-CN"/>
                              </w:rPr>
                              <w:t>412</w:t>
                            </w:r>
                          </w:p>
                        </w:txbxContent>
                      </v:textbox>
                    </v:rect>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1132205</wp:posOffset>
                      </wp:positionH>
                      <wp:positionV relativeFrom="paragraph">
                        <wp:posOffset>2141855</wp:posOffset>
                      </wp:positionV>
                      <wp:extent cx="514350" cy="0"/>
                      <wp:effectExtent l="0" t="48895" r="0" b="65405"/>
                      <wp:wrapNone/>
                      <wp:docPr id="4" name="直接箭头连接符 4"/>
                      <wp:cNvGraphicFramePr/>
                      <a:graphic xmlns:a="http://schemas.openxmlformats.org/drawingml/2006/main">
                        <a:graphicData uri="http://schemas.microsoft.com/office/word/2010/wordprocessingShape">
                          <wps:wsp>
                            <wps:cNvCnPr/>
                            <wps:spPr>
                              <a:xfrm>
                                <a:off x="2366010" y="4375785"/>
                                <a:ext cx="51435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9.15pt;margin-top:168.65pt;height:0pt;width:40.5pt;z-index:251666432;mso-width-relative:page;mso-height-relative:page;" filled="f" stroked="t" coordsize="21600,21600" o:gfxdata="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5uXz1wAAAAsBAAAPAAAAAAAAAAEAIAAAACIAAABkcnMv&#10;ZG93bnJldi54bWxQSwECFAAUAAAACACHTuJAs0ZB9AQCAADSAwAADgAAAAAAAAABACAAAAAmAQAA&#10;ZHJzL2Uyb0RvYy54bWxQSwUGAAAAAAYABgBZAQAAnAUAAAAA&#10;">
                      <v:fill on="f" focussize="0,0"/>
                      <v:stroke color="#000000 [3213]" joinstyle="round" endarrow="open"/>
                      <v:imagedata o:title=""/>
                      <o:lock v:ext="edit" aspectratio="f"/>
                    </v:shape>
                  </w:pict>
                </mc:Fallback>
              </mc:AlternateContent>
            </w:r>
            <w:r>
              <w:rPr>
                <w:rFonts w:hint="default" w:ascii="Times New Roman" w:hAnsi="Times New Roman" w:cs="Times New Roman"/>
                <w:b/>
                <w:color w:val="000000" w:themeColor="text1"/>
                <w:sz w:val="28"/>
                <w:szCs w:val="28"/>
                <w:lang w:val="en-US" w:eastAsia="zh-CN"/>
                <w14:textFill>
                  <w14:solidFill>
                    <w14:schemeClr w14:val="tx1"/>
                  </w14:solidFill>
                </w14:textFill>
              </w:rPr>
              <mc:AlternateContent>
                <mc:Choice Requires="wpc">
                  <w:drawing>
                    <wp:inline distT="0" distB="0" distL="114300" distR="114300">
                      <wp:extent cx="5457190" cy="2842260"/>
                      <wp:effectExtent l="0" t="0" r="0" b="0"/>
                      <wp:docPr id="353" name="画布 3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 name="矩形 32"/>
                              <wps:cNvSpPr/>
                              <wps:spPr>
                                <a:xfrm>
                                  <a:off x="1868170" y="1172210"/>
                                  <a:ext cx="666750" cy="297180"/>
                                </a:xfrm>
                                <a:prstGeom prst="rect">
                                  <a:avLst/>
                                </a:prstGeom>
                                <a:solidFill>
                                  <a:srgbClr val="FFFFFF">
                                    <a:alpha val="0"/>
                                  </a:srgbClr>
                                </a:solidFill>
                                <a:ln w="12700">
                                  <a:noFill/>
                                </a:ln>
                              </wps:spPr>
                              <wps:txbx>
                                <w:txbxContent>
                                  <w:p w14:paraId="540F84D8">
                                    <w:pPr>
                                      <w:adjustRightInd w:val="0"/>
                                      <w:snapToGrid w:val="0"/>
                                      <w:ind w:firstLine="105" w:firstLineChars="50"/>
                                      <w:rPr>
                                        <w:rFonts w:hint="default" w:ascii="Times New Roman" w:hAnsi="Times New Roman" w:eastAsia="宋体" w:cs="Times New Roman"/>
                                        <w:b/>
                                        <w:szCs w:val="21"/>
                                        <w:lang w:val="en-US" w:eastAsia="zh-CN"/>
                                      </w:rPr>
                                    </w:pPr>
                                    <w:r>
                                      <w:rPr>
                                        <w:rFonts w:hint="default" w:ascii="Times New Roman" w:hAnsi="Times New Roman" w:cs="Times New Roman"/>
                                        <w:szCs w:val="21"/>
                                        <w:lang w:val="en-US" w:eastAsia="zh-CN"/>
                                      </w:rPr>
                                      <w:t>14880</w:t>
                                    </w:r>
                                  </w:p>
                                </w:txbxContent>
                              </wps:txbx>
                              <wps:bodyPr upright="1"/>
                            </wps:wsp>
                            <wps:wsp>
                              <wps:cNvPr id="113" name="矩形 34"/>
                              <wps:cNvSpPr/>
                              <wps:spPr>
                                <a:xfrm>
                                  <a:off x="1217295" y="1250315"/>
                                  <a:ext cx="733425" cy="301625"/>
                                </a:xfrm>
                                <a:prstGeom prst="rect">
                                  <a:avLst/>
                                </a:prstGeom>
                                <a:noFill/>
                                <a:ln w="9525" cap="flat" cmpd="sng">
                                  <a:solidFill>
                                    <a:srgbClr val="000000"/>
                                  </a:solidFill>
                                  <a:prstDash val="solid"/>
                                  <a:miter/>
                                  <a:headEnd type="none" w="med" len="med"/>
                                  <a:tailEnd type="none" w="med" len="med"/>
                                </a:ln>
                              </wps:spPr>
                              <wps:txbx>
                                <w:txbxContent>
                                  <w:p w14:paraId="117F1870">
                                    <w:pPr>
                                      <w:adjustRightInd w:val="0"/>
                                      <w:snapToGrid w:val="0"/>
                                      <w:rPr>
                                        <w:b/>
                                        <w:szCs w:val="21"/>
                                      </w:rPr>
                                    </w:pPr>
                                    <w:r>
                                      <w:rPr>
                                        <w:rFonts w:hint="eastAsia" w:hAnsi="宋体"/>
                                        <w:szCs w:val="21"/>
                                      </w:rPr>
                                      <w:t>生活用水</w:t>
                                    </w:r>
                                  </w:p>
                                </w:txbxContent>
                              </wps:txbx>
                              <wps:bodyPr upright="1"/>
                            </wps:wsp>
                            <wps:wsp>
                              <wps:cNvPr id="354" name="矩形 35"/>
                              <wps:cNvSpPr/>
                              <wps:spPr>
                                <a:xfrm>
                                  <a:off x="1670050" y="19050"/>
                                  <a:ext cx="1028700" cy="297180"/>
                                </a:xfrm>
                                <a:prstGeom prst="rect">
                                  <a:avLst/>
                                </a:prstGeom>
                                <a:solidFill>
                                  <a:srgbClr val="FFFFFF">
                                    <a:alpha val="0"/>
                                  </a:srgbClr>
                                </a:solidFill>
                                <a:ln w="12700">
                                  <a:noFill/>
                                </a:ln>
                              </wps:spPr>
                              <wps:txbx>
                                <w:txbxContent>
                                  <w:p w14:paraId="66D25874">
                                    <w:pPr>
                                      <w:adjustRightInd w:val="0"/>
                                      <w:snapToGrid w:val="0"/>
                                      <w:rPr>
                                        <w:rFonts w:hint="default" w:eastAsia="宋体"/>
                                        <w:b/>
                                        <w:szCs w:val="21"/>
                                        <w:lang w:val="en-US" w:eastAsia="zh-CN"/>
                                      </w:rPr>
                                    </w:pPr>
                                    <w:r>
                                      <w:rPr>
                                        <w:rFonts w:hint="eastAsia" w:hAnsi="宋体"/>
                                        <w:szCs w:val="21"/>
                                        <w:lang w:val="en-US" w:eastAsia="zh-CN"/>
                                      </w:rPr>
                                      <w:t xml:space="preserve">蒸汽 </w:t>
                                    </w:r>
                                    <w:r>
                                      <w:rPr>
                                        <w:rFonts w:hint="default" w:ascii="Times New Roman" w:hAnsi="Times New Roman" w:cs="Times New Roman"/>
                                        <w:szCs w:val="21"/>
                                        <w:lang w:val="en-US" w:eastAsia="zh-CN"/>
                                      </w:rPr>
                                      <w:t>7030</w:t>
                                    </w:r>
                                  </w:p>
                                </w:txbxContent>
                              </wps:txbx>
                              <wps:bodyPr upright="1"/>
                            </wps:wsp>
                            <wps:wsp>
                              <wps:cNvPr id="355" name="矩形 37"/>
                              <wps:cNvSpPr/>
                              <wps:spPr>
                                <a:xfrm>
                                  <a:off x="3540125" y="1185545"/>
                                  <a:ext cx="1148715" cy="439420"/>
                                </a:xfrm>
                                <a:prstGeom prst="rect">
                                  <a:avLst/>
                                </a:prstGeom>
                                <a:noFill/>
                                <a:ln>
                                  <a:noFill/>
                                </a:ln>
                              </wps:spPr>
                              <wps:txbx>
                                <w:txbxContent>
                                  <w:p w14:paraId="1A0E7FE3">
                                    <w:pPr>
                                      <w:rPr>
                                        <w:rFonts w:hint="default"/>
                                        <w:b/>
                                        <w:szCs w:val="21"/>
                                        <w:lang w:val="en-US"/>
                                      </w:rPr>
                                    </w:pPr>
                                    <w:r>
                                      <w:rPr>
                                        <w:rFonts w:hint="eastAsia" w:ascii="Times New Roman" w:hAnsi="Times New Roman" w:cs="Times New Roman"/>
                                        <w:color w:val="auto"/>
                                        <w:sz w:val="21"/>
                                        <w:szCs w:val="21"/>
                                        <w:lang w:val="en-US" w:eastAsia="zh-CN"/>
                                      </w:rPr>
                                      <w:t>南通市海门东洲水处理有限公司</w:t>
                                    </w:r>
                                  </w:p>
                                  <w:p w14:paraId="2E9E312D"/>
                                </w:txbxContent>
                              </wps:txbx>
                              <wps:bodyPr upright="1"/>
                            </wps:wsp>
                            <wps:wsp>
                              <wps:cNvPr id="118" name="矩形 39"/>
                              <wps:cNvSpPr/>
                              <wps:spPr>
                                <a:xfrm>
                                  <a:off x="2376170" y="1259840"/>
                                  <a:ext cx="742315" cy="297180"/>
                                </a:xfrm>
                                <a:prstGeom prst="rect">
                                  <a:avLst/>
                                </a:prstGeom>
                                <a:noFill/>
                                <a:ln w="6350" cap="flat" cmpd="sng">
                                  <a:solidFill>
                                    <a:srgbClr val="000000"/>
                                  </a:solidFill>
                                  <a:prstDash val="solid"/>
                                  <a:miter/>
                                  <a:headEnd type="none" w="med" len="med"/>
                                  <a:tailEnd type="none" w="med" len="med"/>
                                </a:ln>
                              </wps:spPr>
                              <wps:txbx>
                                <w:txbxContent>
                                  <w:p w14:paraId="2490E26B">
                                    <w:pPr>
                                      <w:adjustRightInd w:val="0"/>
                                      <w:snapToGrid w:val="0"/>
                                      <w:jc w:val="center"/>
                                      <w:rPr>
                                        <w:b/>
                                        <w:szCs w:val="21"/>
                                      </w:rPr>
                                    </w:pPr>
                                    <w:r>
                                      <w:rPr>
                                        <w:rFonts w:hint="eastAsia"/>
                                        <w:szCs w:val="21"/>
                                      </w:rPr>
                                      <w:t>化粪池</w:t>
                                    </w:r>
                                  </w:p>
                                </w:txbxContent>
                              </wps:txbx>
                              <wps:bodyPr upright="1"/>
                            </wps:wsp>
                            <wps:wsp>
                              <wps:cNvPr id="356" name="直接箭头连接符 40"/>
                              <wps:cNvCnPr/>
                              <wps:spPr>
                                <a:xfrm>
                                  <a:off x="628650" y="472440"/>
                                  <a:ext cx="581025" cy="635"/>
                                </a:xfrm>
                                <a:prstGeom prst="straightConnector1">
                                  <a:avLst/>
                                </a:prstGeom>
                                <a:ln w="9525" cap="flat" cmpd="sng">
                                  <a:solidFill>
                                    <a:srgbClr val="000000"/>
                                  </a:solidFill>
                                  <a:prstDash val="solid"/>
                                  <a:headEnd type="none" w="med" len="med"/>
                                  <a:tailEnd type="triangle" w="med" len="med"/>
                                </a:ln>
                              </wps:spPr>
                              <wps:bodyPr/>
                            </wps:wsp>
                            <wps:wsp>
                              <wps:cNvPr id="120" name="矩形 41"/>
                              <wps:cNvSpPr/>
                              <wps:spPr>
                                <a:xfrm>
                                  <a:off x="3033395" y="1156970"/>
                                  <a:ext cx="690880" cy="297180"/>
                                </a:xfrm>
                                <a:prstGeom prst="rect">
                                  <a:avLst/>
                                </a:prstGeom>
                                <a:solidFill>
                                  <a:srgbClr val="FFFFFF">
                                    <a:alpha val="0"/>
                                  </a:srgbClr>
                                </a:solidFill>
                                <a:ln w="12700">
                                  <a:noFill/>
                                </a:ln>
                              </wps:spPr>
                              <wps:txbx>
                                <w:txbxContent>
                                  <w:p w14:paraId="09FC02EE">
                                    <w:pPr>
                                      <w:adjustRightInd w:val="0"/>
                                      <w:snapToGrid w:val="0"/>
                                      <w:ind w:firstLine="105" w:firstLineChars="50"/>
                                      <w:rPr>
                                        <w:rFonts w:hint="default" w:ascii="Times New Roman" w:hAnsi="Times New Roman" w:eastAsia="宋体" w:cs="Times New Roman"/>
                                        <w:b/>
                                        <w:szCs w:val="21"/>
                                        <w:lang w:val="en-US" w:eastAsia="zh-CN"/>
                                      </w:rPr>
                                    </w:pPr>
                                    <w:r>
                                      <w:rPr>
                                        <w:rFonts w:hint="default" w:ascii="Times New Roman" w:hAnsi="Times New Roman" w:cs="Times New Roman"/>
                                        <w:szCs w:val="21"/>
                                        <w:lang w:val="en-US" w:eastAsia="zh-CN"/>
                                      </w:rPr>
                                      <w:t>14880</w:t>
                                    </w:r>
                                  </w:p>
                                </w:txbxContent>
                              </wps:txbx>
                              <wps:bodyPr upright="1"/>
                            </wps:wsp>
                            <wps:wsp>
                              <wps:cNvPr id="122" name="矩形 43"/>
                              <wps:cNvSpPr/>
                              <wps:spPr>
                                <a:xfrm>
                                  <a:off x="568960" y="1174115"/>
                                  <a:ext cx="610235" cy="327660"/>
                                </a:xfrm>
                                <a:prstGeom prst="rect">
                                  <a:avLst/>
                                </a:prstGeom>
                                <a:solidFill>
                                  <a:srgbClr val="FFFFFF">
                                    <a:alpha val="0"/>
                                  </a:srgbClr>
                                </a:solidFill>
                                <a:ln w="12700">
                                  <a:noFill/>
                                </a:ln>
                              </wps:spPr>
                              <wps:txbx>
                                <w:txbxContent>
                                  <w:p w14:paraId="21A367B7">
                                    <w:pPr>
                                      <w:adjustRightInd w:val="0"/>
                                      <w:snapToGrid w:val="0"/>
                                      <w:rPr>
                                        <w:rFonts w:hint="default" w:ascii="Times New Roman" w:hAnsi="Times New Roman" w:eastAsia="宋体" w:cs="Times New Roman"/>
                                        <w:b/>
                                        <w:szCs w:val="21"/>
                                        <w:lang w:val="en-US" w:eastAsia="zh-CN"/>
                                      </w:rPr>
                                    </w:pPr>
                                    <w:r>
                                      <w:rPr>
                                        <w:rFonts w:hint="default" w:ascii="Times New Roman" w:hAnsi="Times New Roman" w:cs="Times New Roman"/>
                                        <w:szCs w:val="21"/>
                                        <w:lang w:val="en-US" w:eastAsia="zh-CN"/>
                                      </w:rPr>
                                      <w:t>18600</w:t>
                                    </w:r>
                                  </w:p>
                                </w:txbxContent>
                              </wps:txbx>
                              <wps:bodyPr upright="1"/>
                            </wps:wsp>
                            <wps:wsp>
                              <wps:cNvPr id="144" name="直接箭头连接符 48"/>
                              <wps:cNvCnPr/>
                              <wps:spPr>
                                <a:xfrm>
                                  <a:off x="634365" y="480060"/>
                                  <a:ext cx="12065" cy="930275"/>
                                </a:xfrm>
                                <a:prstGeom prst="straightConnector1">
                                  <a:avLst/>
                                </a:prstGeom>
                                <a:ln w="9525" cap="flat" cmpd="sng">
                                  <a:solidFill>
                                    <a:srgbClr val="000000"/>
                                  </a:solidFill>
                                  <a:prstDash val="solid"/>
                                  <a:headEnd type="none" w="med" len="med"/>
                                  <a:tailEnd type="none" w="med" len="med"/>
                                </a:ln>
                              </wps:spPr>
                              <wps:bodyPr/>
                            </wps:wsp>
                            <wps:wsp>
                              <wps:cNvPr id="147" name="直接箭头连接符 51"/>
                              <wps:cNvCnPr/>
                              <wps:spPr>
                                <a:xfrm>
                                  <a:off x="152400" y="997585"/>
                                  <a:ext cx="485775" cy="635"/>
                                </a:xfrm>
                                <a:prstGeom prst="straightConnector1">
                                  <a:avLst/>
                                </a:prstGeom>
                                <a:ln w="9525" cap="flat" cmpd="sng">
                                  <a:solidFill>
                                    <a:srgbClr val="000000"/>
                                  </a:solidFill>
                                  <a:prstDash val="solid"/>
                                  <a:headEnd type="none" w="med" len="med"/>
                                  <a:tailEnd type="triangle" w="med" len="med"/>
                                </a:ln>
                              </wps:spPr>
                              <wps:bodyPr/>
                            </wps:wsp>
                            <wps:wsp>
                              <wps:cNvPr id="148" name="矩形 52"/>
                              <wps:cNvSpPr/>
                              <wps:spPr>
                                <a:xfrm>
                                  <a:off x="47625" y="774700"/>
                                  <a:ext cx="629285" cy="280035"/>
                                </a:xfrm>
                                <a:prstGeom prst="rect">
                                  <a:avLst/>
                                </a:prstGeom>
                                <a:solidFill>
                                  <a:srgbClr val="FFFFFF">
                                    <a:alpha val="0"/>
                                  </a:srgbClr>
                                </a:solidFill>
                                <a:ln w="12700">
                                  <a:noFill/>
                                </a:ln>
                              </wps:spPr>
                              <wps:txbx>
                                <w:txbxContent>
                                  <w:p w14:paraId="55F7D638">
                                    <w:pPr>
                                      <w:rPr>
                                        <w:rFonts w:hint="default" w:ascii="Times New Roman" w:hAnsi="Times New Roman" w:eastAsia="宋体" w:cs="Times New Roman"/>
                                        <w:lang w:val="en-US" w:eastAsia="zh-CN"/>
                                      </w:rPr>
                                    </w:pPr>
                                    <w:r>
                                      <w:rPr>
                                        <w:rFonts w:hint="default" w:ascii="Times New Roman" w:hAnsi="Times New Roman" w:cs="Times New Roman"/>
                                        <w:szCs w:val="21"/>
                                        <w:lang w:val="en-US" w:eastAsia="zh-CN"/>
                                      </w:rPr>
                                      <w:t>2</w:t>
                                    </w:r>
                                    <w:r>
                                      <w:rPr>
                                        <w:rFonts w:hint="eastAsia" w:ascii="Times New Roman" w:hAnsi="Times New Roman" w:cs="Times New Roman"/>
                                        <w:szCs w:val="21"/>
                                        <w:lang w:val="en-US" w:eastAsia="zh-CN"/>
                                      </w:rPr>
                                      <w:t>64</w:t>
                                    </w:r>
                                    <w:r>
                                      <w:rPr>
                                        <w:rFonts w:hint="default" w:ascii="Times New Roman" w:hAnsi="Times New Roman" w:cs="Times New Roman"/>
                                        <w:szCs w:val="21"/>
                                        <w:lang w:val="en-US" w:eastAsia="zh-CN"/>
                                      </w:rPr>
                                      <w:t>00</w:t>
                                    </w:r>
                                  </w:p>
                                </w:txbxContent>
                              </wps:txbx>
                              <wps:bodyPr upright="1"/>
                            </wps:wsp>
                            <wps:wsp>
                              <wps:cNvPr id="357" name="矩形 63"/>
                              <wps:cNvSpPr/>
                              <wps:spPr>
                                <a:xfrm>
                                  <a:off x="1207770" y="314960"/>
                                  <a:ext cx="742950" cy="297180"/>
                                </a:xfrm>
                                <a:prstGeom prst="rect">
                                  <a:avLst/>
                                </a:prstGeom>
                                <a:noFill/>
                                <a:ln w="6350" cap="flat" cmpd="sng">
                                  <a:solidFill>
                                    <a:srgbClr val="000000"/>
                                  </a:solidFill>
                                  <a:prstDash val="solid"/>
                                  <a:miter/>
                                  <a:headEnd type="none" w="med" len="med"/>
                                  <a:tailEnd type="none" w="med" len="med"/>
                                </a:ln>
                              </wps:spPr>
                              <wps:txbx>
                                <w:txbxContent>
                                  <w:p w14:paraId="5F744F07">
                                    <w:pPr>
                                      <w:pStyle w:val="37"/>
                                      <w:spacing w:before="0" w:beforeAutospacing="0" w:after="0" w:afterAutospacing="0"/>
                                      <w:jc w:val="center"/>
                                      <w:rPr>
                                        <w:rFonts w:hint="default" w:eastAsia="宋体"/>
                                        <w:b w:val="0"/>
                                        <w:bCs/>
                                        <w:sz w:val="21"/>
                                        <w:szCs w:val="16"/>
                                        <w:lang w:val="en-US" w:eastAsia="zh-CN"/>
                                      </w:rPr>
                                    </w:pPr>
                                    <w:r>
                                      <w:rPr>
                                        <w:rFonts w:hint="eastAsia"/>
                                        <w:b w:val="0"/>
                                        <w:bCs/>
                                        <w:sz w:val="21"/>
                                        <w:szCs w:val="16"/>
                                        <w:lang w:val="en-US" w:eastAsia="zh-CN"/>
                                      </w:rPr>
                                      <w:t>锅炉</w:t>
                                    </w:r>
                                  </w:p>
                                </w:txbxContent>
                              </wps:txbx>
                              <wps:bodyPr upright="1"/>
                            </wps:wsp>
                            <wps:wsp>
                              <wps:cNvPr id="165" name="直接箭头连接符 64"/>
                              <wps:cNvCnPr/>
                              <wps:spPr>
                                <a:xfrm>
                                  <a:off x="647065" y="1407160"/>
                                  <a:ext cx="572135" cy="1270"/>
                                </a:xfrm>
                                <a:prstGeom prst="straightConnector1">
                                  <a:avLst/>
                                </a:prstGeom>
                                <a:ln w="9525" cap="flat" cmpd="sng">
                                  <a:solidFill>
                                    <a:srgbClr val="000000"/>
                                  </a:solidFill>
                                  <a:prstDash val="solid"/>
                                  <a:headEnd type="none" w="med" len="med"/>
                                  <a:tailEnd type="triangle" w="med" len="med"/>
                                </a:ln>
                              </wps:spPr>
                              <wps:bodyPr/>
                            </wps:wsp>
                            <wps:wsp>
                              <wps:cNvPr id="358" name="矩形 65"/>
                              <wps:cNvSpPr/>
                              <wps:spPr>
                                <a:xfrm>
                                  <a:off x="570865" y="237490"/>
                                  <a:ext cx="514985" cy="260985"/>
                                </a:xfrm>
                                <a:prstGeom prst="rect">
                                  <a:avLst/>
                                </a:prstGeom>
                                <a:solidFill>
                                  <a:srgbClr val="FFFFFF">
                                    <a:alpha val="0"/>
                                  </a:srgbClr>
                                </a:solidFill>
                                <a:ln w="12700">
                                  <a:noFill/>
                                </a:ln>
                              </wps:spPr>
                              <wps:txbx>
                                <w:txbxContent>
                                  <w:p w14:paraId="4B058ABE">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7800</w:t>
                                    </w:r>
                                  </w:p>
                                </w:txbxContent>
                              </wps:txbx>
                              <wps:bodyPr upright="1"/>
                            </wps:wsp>
                            <wps:wsp>
                              <wps:cNvPr id="359" name="任意多边形 66"/>
                              <wps:cNvSpPr/>
                              <wps:spPr>
                                <a:xfrm>
                                  <a:off x="1536700" y="133985"/>
                                  <a:ext cx="167005" cy="173355"/>
                                </a:xfrm>
                                <a:custGeom>
                                  <a:avLst/>
                                  <a:gdLst/>
                                  <a:ahLst/>
                                  <a:cxnLst>
                                    <a:cxn ang="0">
                                      <a:pos x="0" y="325755"/>
                                    </a:cxn>
                                    <a:cxn ang="0">
                                      <a:pos x="169545" y="126365"/>
                                    </a:cxn>
                                    <a:cxn ang="0">
                                      <a:pos x="219710" y="207645"/>
                                    </a:cxn>
                                    <a:cxn ang="0">
                                      <a:pos x="375920" y="0"/>
                                    </a:cxn>
                                  </a:cxnLst>
                                  <a:pathLst>
                                    <a:path w="592" h="513">
                                      <a:moveTo>
                                        <a:pt x="0" y="513"/>
                                      </a:moveTo>
                                      <a:cubicBezTo>
                                        <a:pt x="104" y="371"/>
                                        <a:pt x="209" y="230"/>
                                        <a:pt x="267" y="199"/>
                                      </a:cubicBezTo>
                                      <a:cubicBezTo>
                                        <a:pt x="325" y="168"/>
                                        <a:pt x="292" y="360"/>
                                        <a:pt x="346" y="327"/>
                                      </a:cubicBezTo>
                                      <a:cubicBezTo>
                                        <a:pt x="400" y="294"/>
                                        <a:pt x="551" y="54"/>
                                        <a:pt x="592" y="0"/>
                                      </a:cubicBezTo>
                                    </a:path>
                                  </a:pathLst>
                                </a:custGeom>
                                <a:noFill/>
                                <a:ln w="9525" cap="flat" cmpd="sng">
                                  <a:solidFill>
                                    <a:srgbClr val="000000"/>
                                  </a:solidFill>
                                  <a:prstDash val="solid"/>
                                  <a:headEnd type="none" w="med" len="med"/>
                                  <a:tailEnd type="triangle" w="med" len="med"/>
                                </a:ln>
                              </wps:spPr>
                              <wps:bodyPr upright="1"/>
                            </wps:wsp>
                            <wps:wsp>
                              <wps:cNvPr id="171" name="矩形 67"/>
                              <wps:cNvSpPr/>
                              <wps:spPr>
                                <a:xfrm>
                                  <a:off x="1498600" y="933450"/>
                                  <a:ext cx="771525" cy="297180"/>
                                </a:xfrm>
                                <a:prstGeom prst="rect">
                                  <a:avLst/>
                                </a:prstGeom>
                                <a:solidFill>
                                  <a:srgbClr val="FFFFFF">
                                    <a:alpha val="0"/>
                                  </a:srgbClr>
                                </a:solidFill>
                                <a:ln w="12700">
                                  <a:noFill/>
                                </a:ln>
                              </wps:spPr>
                              <wps:txbx>
                                <w:txbxContent>
                                  <w:p w14:paraId="602E94BE">
                                    <w:pPr>
                                      <w:adjustRightInd w:val="0"/>
                                      <w:snapToGrid w:val="0"/>
                                      <w:rPr>
                                        <w:rFonts w:hint="default" w:eastAsia="宋体"/>
                                        <w:b/>
                                        <w:sz w:val="21"/>
                                        <w:szCs w:val="21"/>
                                        <w:lang w:val="en-US" w:eastAsia="zh-CN"/>
                                      </w:rPr>
                                    </w:pPr>
                                    <w:r>
                                      <w:rPr>
                                        <w:rFonts w:hint="eastAsia" w:hAnsi="宋体"/>
                                        <w:sz w:val="21"/>
                                        <w:szCs w:val="21"/>
                                        <w:lang w:val="en-US" w:eastAsia="zh-CN"/>
                                      </w:rPr>
                                      <w:t>损耗</w:t>
                                    </w:r>
                                    <w:r>
                                      <w:rPr>
                                        <w:rFonts w:hint="default" w:ascii="Times New Roman" w:hAnsi="Times New Roman" w:cs="Times New Roman"/>
                                        <w:sz w:val="21"/>
                                        <w:szCs w:val="21"/>
                                        <w:lang w:val="en-US" w:eastAsia="zh-CN"/>
                                      </w:rPr>
                                      <w:t>3720</w:t>
                                    </w:r>
                                  </w:p>
                                </w:txbxContent>
                              </wps:txbx>
                              <wps:bodyPr upright="1"/>
                            </wps:wsp>
                            <wps:wsp>
                              <wps:cNvPr id="11" name="直接连接符 36"/>
                              <wps:cNvCnPr/>
                              <wps:spPr>
                                <a:xfrm flipV="1">
                                  <a:off x="1960880" y="1408430"/>
                                  <a:ext cx="408940" cy="1270"/>
                                </a:xfrm>
                                <a:prstGeom prst="line">
                                  <a:avLst/>
                                </a:prstGeom>
                                <a:ln w="9525" cap="flat" cmpd="sng">
                                  <a:solidFill>
                                    <a:srgbClr val="000000"/>
                                  </a:solidFill>
                                  <a:prstDash val="solid"/>
                                  <a:headEnd type="none" w="med" len="med"/>
                                  <a:tailEnd type="triangle" w="med" len="med"/>
                                </a:ln>
                              </wps:spPr>
                              <wps:bodyPr upright="1"/>
                            </wps:wsp>
                            <wps:wsp>
                              <wps:cNvPr id="360" name="直接连接符 36"/>
                              <wps:cNvCnPr/>
                              <wps:spPr>
                                <a:xfrm flipV="1">
                                  <a:off x="3132455" y="1398905"/>
                                  <a:ext cx="408940" cy="1270"/>
                                </a:xfrm>
                                <a:prstGeom prst="line">
                                  <a:avLst/>
                                </a:prstGeom>
                                <a:ln w="9525" cap="flat" cmpd="sng">
                                  <a:solidFill>
                                    <a:srgbClr val="000000"/>
                                  </a:solidFill>
                                  <a:prstDash val="solid"/>
                                  <a:headEnd type="none" w="med" len="med"/>
                                  <a:tailEnd type="triangle" w="med" len="med"/>
                                </a:ln>
                              </wps:spPr>
                              <wps:bodyPr upright="1"/>
                            </wps:wsp>
                            <wps:wsp>
                              <wps:cNvPr id="13" name="任意多边形 66"/>
                              <wps:cNvSpPr/>
                              <wps:spPr>
                                <a:xfrm>
                                  <a:off x="1389380" y="1084580"/>
                                  <a:ext cx="167005" cy="173355"/>
                                </a:xfrm>
                                <a:custGeom>
                                  <a:avLst/>
                                  <a:gdLst/>
                                  <a:ahLst/>
                                  <a:cxnLst>
                                    <a:cxn ang="0">
                                      <a:pos x="0" y="325755"/>
                                    </a:cxn>
                                    <a:cxn ang="0">
                                      <a:pos x="169545" y="126365"/>
                                    </a:cxn>
                                    <a:cxn ang="0">
                                      <a:pos x="219710" y="207645"/>
                                    </a:cxn>
                                    <a:cxn ang="0">
                                      <a:pos x="375920" y="0"/>
                                    </a:cxn>
                                  </a:cxnLst>
                                  <a:pathLst>
                                    <a:path w="592" h="513">
                                      <a:moveTo>
                                        <a:pt x="0" y="513"/>
                                      </a:moveTo>
                                      <a:cubicBezTo>
                                        <a:pt x="104" y="371"/>
                                        <a:pt x="209" y="230"/>
                                        <a:pt x="267" y="199"/>
                                      </a:cubicBezTo>
                                      <a:cubicBezTo>
                                        <a:pt x="325" y="168"/>
                                        <a:pt x="292" y="360"/>
                                        <a:pt x="346" y="327"/>
                                      </a:cubicBezTo>
                                      <a:cubicBezTo>
                                        <a:pt x="400" y="294"/>
                                        <a:pt x="551" y="54"/>
                                        <a:pt x="592" y="0"/>
                                      </a:cubicBezTo>
                                    </a:path>
                                  </a:pathLst>
                                </a:custGeom>
                                <a:noFill/>
                                <a:ln w="9525" cap="flat" cmpd="sng">
                                  <a:solidFill>
                                    <a:srgbClr val="000000"/>
                                  </a:solidFill>
                                  <a:prstDash val="solid"/>
                                  <a:headEnd type="none" w="med" len="med"/>
                                  <a:tailEnd type="triangle" w="med" len="med"/>
                                </a:ln>
                              </wps:spPr>
                              <wps:bodyPr upright="1"/>
                            </wps:wsp>
                            <wps:wsp>
                              <wps:cNvPr id="363" name="矩形 63"/>
                              <wps:cNvSpPr/>
                              <wps:spPr>
                                <a:xfrm>
                                  <a:off x="2351405" y="313055"/>
                                  <a:ext cx="742950" cy="297180"/>
                                </a:xfrm>
                                <a:prstGeom prst="rect">
                                  <a:avLst/>
                                </a:prstGeom>
                                <a:noFill/>
                                <a:ln w="6350" cap="flat" cmpd="sng">
                                  <a:solidFill>
                                    <a:srgbClr val="000000"/>
                                  </a:solidFill>
                                  <a:prstDash val="solid"/>
                                  <a:miter/>
                                  <a:headEnd type="none" w="med" len="med"/>
                                  <a:tailEnd type="none" w="med" len="med"/>
                                </a:ln>
                              </wps:spPr>
                              <wps:txbx>
                                <w:txbxContent>
                                  <w:p w14:paraId="172BC6C9">
                                    <w:pPr>
                                      <w:pStyle w:val="37"/>
                                      <w:spacing w:before="0" w:beforeAutospacing="0" w:after="0" w:afterAutospacing="0"/>
                                      <w:jc w:val="center"/>
                                      <w:rPr>
                                        <w:rFonts w:hint="default" w:eastAsia="宋体"/>
                                        <w:b w:val="0"/>
                                        <w:bCs/>
                                        <w:sz w:val="21"/>
                                        <w:szCs w:val="16"/>
                                        <w:lang w:val="en-US" w:eastAsia="zh-CN"/>
                                      </w:rPr>
                                    </w:pPr>
                                    <w:r>
                                      <w:rPr>
                                        <w:rFonts w:hint="eastAsia"/>
                                        <w:b w:val="0"/>
                                        <w:bCs/>
                                        <w:sz w:val="21"/>
                                        <w:szCs w:val="16"/>
                                        <w:lang w:val="en-US" w:eastAsia="zh-CN"/>
                                      </w:rPr>
                                      <w:t>锅炉废水</w:t>
                                    </w:r>
                                  </w:p>
                                </w:txbxContent>
                              </wps:txbx>
                              <wps:bodyPr upright="1"/>
                            </wps:wsp>
                            <wps:wsp>
                              <wps:cNvPr id="364" name="直接箭头连接符 364"/>
                              <wps:cNvCnPr>
                                <a:stCxn id="357" idx="3"/>
                                <a:endCxn id="363" idx="1"/>
                              </wps:cNvCnPr>
                              <wps:spPr>
                                <a:xfrm flipV="1">
                                  <a:off x="1950720" y="461645"/>
                                  <a:ext cx="400685" cy="190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5" name="肘形连接符 365"/>
                              <wps:cNvCnPr>
                                <a:stCxn id="363" idx="3"/>
                                <a:endCxn id="355" idx="0"/>
                              </wps:cNvCnPr>
                              <wps:spPr>
                                <a:xfrm>
                                  <a:off x="3094355" y="461645"/>
                                  <a:ext cx="1020445" cy="723900"/>
                                </a:xfrm>
                                <a:prstGeom prst="bentConnector2">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6" name="矩形 65"/>
                              <wps:cNvSpPr/>
                              <wps:spPr>
                                <a:xfrm>
                                  <a:off x="1913255" y="208280"/>
                                  <a:ext cx="514985" cy="260985"/>
                                </a:xfrm>
                                <a:prstGeom prst="rect">
                                  <a:avLst/>
                                </a:prstGeom>
                                <a:solidFill>
                                  <a:srgbClr val="FFFFFF">
                                    <a:alpha val="0"/>
                                  </a:srgbClr>
                                </a:solidFill>
                                <a:ln w="12700">
                                  <a:noFill/>
                                </a:ln>
                              </wps:spPr>
                              <wps:txbx>
                                <w:txbxContent>
                                  <w:p w14:paraId="5B7FCFE3">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770</w:t>
                                    </w:r>
                                  </w:p>
                                </w:txbxContent>
                              </wps:txbx>
                              <wps:bodyPr upright="1"/>
                            </wps:wsp>
                            <wps:wsp>
                              <wps:cNvPr id="367" name="矩形 65"/>
                              <wps:cNvSpPr/>
                              <wps:spPr>
                                <a:xfrm>
                                  <a:off x="3484880" y="208280"/>
                                  <a:ext cx="514985" cy="260985"/>
                                </a:xfrm>
                                <a:prstGeom prst="rect">
                                  <a:avLst/>
                                </a:prstGeom>
                                <a:solidFill>
                                  <a:srgbClr val="FFFFFF">
                                    <a:alpha val="0"/>
                                  </a:srgbClr>
                                </a:solidFill>
                                <a:ln w="12700">
                                  <a:noFill/>
                                </a:ln>
                              </wps:spPr>
                              <wps:txbx>
                                <w:txbxContent>
                                  <w:p w14:paraId="05384FC2">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770</w:t>
                                    </w:r>
                                  </w:p>
                                </w:txbxContent>
                              </wps:txbx>
                              <wps:bodyPr upright="1"/>
                            </wps:wsp>
                            <wps:wsp>
                              <wps:cNvPr id="1" name="矩形 39"/>
                              <wps:cNvSpPr/>
                              <wps:spPr>
                                <a:xfrm>
                                  <a:off x="379730" y="2008505"/>
                                  <a:ext cx="742315" cy="297180"/>
                                </a:xfrm>
                                <a:prstGeom prst="rect">
                                  <a:avLst/>
                                </a:prstGeom>
                                <a:noFill/>
                                <a:ln w="6350" cap="flat" cmpd="sng">
                                  <a:solidFill>
                                    <a:srgbClr val="000000"/>
                                  </a:solidFill>
                                  <a:prstDash val="solid"/>
                                  <a:miter/>
                                  <a:headEnd type="none" w="med" len="med"/>
                                  <a:tailEnd type="none" w="med" len="med"/>
                                </a:ln>
                              </wps:spPr>
                              <wps:txbx>
                                <w:txbxContent>
                                  <w:p w14:paraId="6DB9E6D6">
                                    <w:pPr>
                                      <w:adjustRightInd w:val="0"/>
                                      <w:snapToGrid w:val="0"/>
                                      <w:jc w:val="center"/>
                                      <w:rPr>
                                        <w:rFonts w:hint="eastAsia" w:eastAsia="宋体"/>
                                        <w:b/>
                                        <w:szCs w:val="21"/>
                                        <w:lang w:val="en-US" w:eastAsia="zh-CN"/>
                                      </w:rPr>
                                    </w:pPr>
                                    <w:r>
                                      <w:rPr>
                                        <w:rFonts w:hint="eastAsia"/>
                                        <w:szCs w:val="21"/>
                                        <w:lang w:val="en-US" w:eastAsia="zh-CN"/>
                                      </w:rPr>
                                      <w:t>初期雨水</w:t>
                                    </w:r>
                                  </w:p>
                                </w:txbxContent>
                              </wps:txbx>
                              <wps:bodyPr upright="1"/>
                            </wps:wsp>
                            <wps:wsp>
                              <wps:cNvPr id="2" name="矩形 39"/>
                              <wps:cNvSpPr/>
                              <wps:spPr>
                                <a:xfrm>
                                  <a:off x="1627505" y="2008505"/>
                                  <a:ext cx="1199515" cy="297180"/>
                                </a:xfrm>
                                <a:prstGeom prst="rect">
                                  <a:avLst/>
                                </a:prstGeom>
                                <a:noFill/>
                                <a:ln w="6350" cap="flat" cmpd="sng">
                                  <a:solidFill>
                                    <a:srgbClr val="000000"/>
                                  </a:solidFill>
                                  <a:prstDash val="solid"/>
                                  <a:miter/>
                                  <a:headEnd type="none" w="med" len="med"/>
                                  <a:tailEnd type="none" w="med" len="med"/>
                                </a:ln>
                              </wps:spPr>
                              <wps:txbx>
                                <w:txbxContent>
                                  <w:p w14:paraId="5F526ACD">
                                    <w:pPr>
                                      <w:adjustRightInd w:val="0"/>
                                      <w:snapToGrid w:val="0"/>
                                      <w:jc w:val="center"/>
                                      <w:rPr>
                                        <w:rFonts w:hint="default" w:eastAsia="宋体"/>
                                        <w:b/>
                                        <w:szCs w:val="21"/>
                                        <w:lang w:val="en-US" w:eastAsia="zh-CN"/>
                                      </w:rPr>
                                    </w:pPr>
                                    <w:r>
                                      <w:rPr>
                                        <w:rFonts w:hint="eastAsia"/>
                                        <w:szCs w:val="21"/>
                                        <w:lang w:val="en-US" w:eastAsia="zh-CN"/>
                                      </w:rPr>
                                      <w:t>初期雨水收集池</w:t>
                                    </w:r>
                                  </w:p>
                                </w:txbxContent>
                              </wps:txbx>
                              <wps:bodyPr upright="1"/>
                            </wps:wsp>
                            <wps:wsp>
                              <wps:cNvPr id="8" name="肘形连接符 8"/>
                              <wps:cNvCnPr>
                                <a:stCxn id="2" idx="3"/>
                                <a:endCxn id="355" idx="2"/>
                              </wps:cNvCnPr>
                              <wps:spPr>
                                <a:xfrm flipV="1">
                                  <a:off x="2827020" y="1624965"/>
                                  <a:ext cx="1287780" cy="532130"/>
                                </a:xfrm>
                                <a:prstGeom prst="bentConnector2">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23.8pt;width:429.7pt;" coordsize="5457190,2842260" editas="canvas" o:gfxdata="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D0IcNa2AAAAAUBAAAP&#10;AAAAAAAAAAEAIAAAACIAAABkcnMvZG93bnJldi54bWxQSwECFAAUAAAACACHTuJAoFZPQsYIAAAI&#10;PgAADgAAAAAAAAABACAAAAAnAQAAZHJzL2Uyb0RvYy54bWxQSwUGAAAAAAYABgBZAQAAXwwAAAAA&#10;">
                      <o:lock v:ext="edit" aspectratio="f"/>
                      <v:shape id="_x0000_s1026" o:spid="_x0000_s1026" style="position:absolute;left:0;top:0;height:2842260;width:5457190;" filled="f" stroked="f" coordsize="21600,21600" o:gfxdata="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Qhw1rYAAAABQEAAA8AAAAAAAAA&#10;AQAgAAAAIgAAAGRycy9kb3ducmV2LnhtbFBLAQIUABQAAAAIAIdO4kB5fn6ghggAAIE9AAAOAAAA&#10;AAAAAAEAIAAAACcBAABkcnMvZTJvRG9jLnhtbFBLBQYAAAAABgAGAFkBAAAfDAAAAAA=&#10;">
                        <v:fill on="f" focussize="0,0"/>
                        <v:stroke on="f"/>
                        <v:imagedata o:title=""/>
                        <o:lock v:ext="edit" aspectratio="t"/>
                      </v:shape>
                      <v:rect id="矩形 32" o:spid="_x0000_s1026" o:spt="1" style="position:absolute;left:1868170;top:1172210;height:297180;width:666750;"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UbDzNYAAAAFAQAADwAAAAAAAAABACAAAAAi&#10;AAAAZHJzL2Rvd25yZXYueG1sUEsBAhQAFAAAAAgAh07iQGgvlDfTAQAAnwMAAA4AAAAAAAAAAQAg&#10;AAAAJQEAAGRycy9lMm9Eb2MueG1sUEsFBgAAAAAGAAYAWQEAAGoFAAAAAA==&#10;">
                        <v:fill on="t" opacity="0f" focussize="0,0"/>
                        <v:stroke on="f" weight="1pt"/>
                        <v:imagedata o:title=""/>
                        <o:lock v:ext="edit" aspectratio="f"/>
                        <v:textbox>
                          <w:txbxContent>
                            <w:p w14:paraId="540F84D8">
                              <w:pPr>
                                <w:adjustRightInd w:val="0"/>
                                <w:snapToGrid w:val="0"/>
                                <w:ind w:firstLine="105" w:firstLineChars="50"/>
                                <w:rPr>
                                  <w:rFonts w:hint="default" w:ascii="Times New Roman" w:hAnsi="Times New Roman" w:eastAsia="宋体" w:cs="Times New Roman"/>
                                  <w:b/>
                                  <w:szCs w:val="21"/>
                                  <w:lang w:val="en-US" w:eastAsia="zh-CN"/>
                                </w:rPr>
                              </w:pPr>
                              <w:r>
                                <w:rPr>
                                  <w:rFonts w:hint="default" w:ascii="Times New Roman" w:hAnsi="Times New Roman" w:cs="Times New Roman"/>
                                  <w:szCs w:val="21"/>
                                  <w:lang w:val="en-US" w:eastAsia="zh-CN"/>
                                </w:rPr>
                                <w:t>14880</w:t>
                              </w:r>
                            </w:p>
                          </w:txbxContent>
                        </v:textbox>
                      </v:rect>
                      <v:rect id="矩形 34" o:spid="_x0000_s1026" o:spt="1" style="position:absolute;left:1217295;top:1250315;height:301625;width:733425;" filled="f" stroked="t" coordsize="21600,21600" o:gfxdata="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U1Ap1QAAAAUBAAAPAAAAAAAAAAEAIAAAACIAAABkcnMv&#10;ZG93bnJldi54bWxQSwECFAAUAAAACACHTuJA4PH2bgYCAAAOBAAADgAAAAAAAAABACAAAAAkAQAA&#10;ZHJzL2Uyb0RvYy54bWxQSwUGAAAAAAYABgBZAQAAnAUAAAAA&#10;">
                        <v:fill on="f" focussize="0,0"/>
                        <v:stroke color="#000000" joinstyle="miter"/>
                        <v:imagedata o:title=""/>
                        <o:lock v:ext="edit" aspectratio="f"/>
                        <v:textbox>
                          <w:txbxContent>
                            <w:p w14:paraId="117F1870">
                              <w:pPr>
                                <w:adjustRightInd w:val="0"/>
                                <w:snapToGrid w:val="0"/>
                                <w:rPr>
                                  <w:b/>
                                  <w:szCs w:val="21"/>
                                </w:rPr>
                              </w:pPr>
                              <w:r>
                                <w:rPr>
                                  <w:rFonts w:hint="eastAsia" w:hAnsi="宋体"/>
                                  <w:szCs w:val="21"/>
                                </w:rPr>
                                <w:t>生活用水</w:t>
                              </w:r>
                            </w:p>
                          </w:txbxContent>
                        </v:textbox>
                      </v:rect>
                      <v:rect id="矩形 35" o:spid="_x0000_s1026" o:spt="1" style="position:absolute;left:1670050;top:19050;height:297180;width:1028700;"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UbDzNYAAAAFAQAADwAAAAAAAAABACAAAAAi&#10;AAAAZHJzL2Rvd25yZXYueG1sUEsBAhQAFAAAAAgAh07iQM/YJrTTAQAAngMAAA4AAAAAAAAAAQAg&#10;AAAAJQEAAGRycy9lMm9Eb2MueG1sUEsFBgAAAAAGAAYAWQEAAGoFAAAAAA==&#10;">
                        <v:fill on="t" opacity="0f" focussize="0,0"/>
                        <v:stroke on="f" weight="1pt"/>
                        <v:imagedata o:title=""/>
                        <o:lock v:ext="edit" aspectratio="f"/>
                        <v:textbox>
                          <w:txbxContent>
                            <w:p w14:paraId="66D25874">
                              <w:pPr>
                                <w:adjustRightInd w:val="0"/>
                                <w:snapToGrid w:val="0"/>
                                <w:rPr>
                                  <w:rFonts w:hint="default" w:eastAsia="宋体"/>
                                  <w:b/>
                                  <w:szCs w:val="21"/>
                                  <w:lang w:val="en-US" w:eastAsia="zh-CN"/>
                                </w:rPr>
                              </w:pPr>
                              <w:r>
                                <w:rPr>
                                  <w:rFonts w:hint="eastAsia" w:hAnsi="宋体"/>
                                  <w:szCs w:val="21"/>
                                  <w:lang w:val="en-US" w:eastAsia="zh-CN"/>
                                </w:rPr>
                                <w:t xml:space="preserve">蒸汽 </w:t>
                              </w:r>
                              <w:r>
                                <w:rPr>
                                  <w:rFonts w:hint="default" w:ascii="Times New Roman" w:hAnsi="Times New Roman" w:cs="Times New Roman"/>
                                  <w:szCs w:val="21"/>
                                  <w:lang w:val="en-US" w:eastAsia="zh-CN"/>
                                </w:rPr>
                                <w:t>7030</w:t>
                              </w:r>
                            </w:p>
                          </w:txbxContent>
                        </v:textbox>
                      </v:rect>
                      <v:rect id="矩形 37" o:spid="_x0000_s1026" o:spt="1" style="position:absolute;left:3540125;top:1185545;height:439420;width:1148715;" filled="f" stroked="f" coordsize="21600,21600" o:gfxdata="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Qh&#10;w1rYAAAABQEAAA8AAAAAAAAAAQAgAAAAIgAAAGRycy9kb3ducmV2LnhtbFBLAQIUABQAAAAIAIdO&#10;4kAERu93sQEAAFADAAAOAAAAAAAAAAEAIAAAACcBAABkcnMvZTJvRG9jLnhtbFBLBQYAAAAABgAG&#10;AFkBAABKBQAAAAA=&#10;">
                        <v:fill on="f" focussize="0,0"/>
                        <v:stroke on="f"/>
                        <v:imagedata o:title=""/>
                        <o:lock v:ext="edit" aspectratio="f"/>
                        <v:textbox>
                          <w:txbxContent>
                            <w:p w14:paraId="1A0E7FE3">
                              <w:pPr>
                                <w:rPr>
                                  <w:rFonts w:hint="default"/>
                                  <w:b/>
                                  <w:szCs w:val="21"/>
                                  <w:lang w:val="en-US"/>
                                </w:rPr>
                              </w:pPr>
                              <w:r>
                                <w:rPr>
                                  <w:rFonts w:hint="eastAsia" w:ascii="Times New Roman" w:hAnsi="Times New Roman" w:cs="Times New Roman"/>
                                  <w:color w:val="auto"/>
                                  <w:sz w:val="21"/>
                                  <w:szCs w:val="21"/>
                                  <w:lang w:val="en-US" w:eastAsia="zh-CN"/>
                                </w:rPr>
                                <w:t>南通市海门东洲水处理有限公司</w:t>
                              </w:r>
                            </w:p>
                            <w:p w14:paraId="2E9E312D"/>
                          </w:txbxContent>
                        </v:textbox>
                      </v:rect>
                      <v:rect id="矩形 39" o:spid="_x0000_s1026" o:spt="1" style="position:absolute;left:2376170;top:1259840;height:297180;width:742315;" filled="f" stroked="t" coordsize="21600,21600" o:gfxdata="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iqsMNQAAAAFAQAADwAAAAAAAAABACAAAAAiAAAA&#10;ZHJzL2Rvd25yZXYueG1sUEsBAhQAFAAAAAgAh07iQOw1ipkLAgAADgQAAA4AAAAAAAAAAQAgAAAA&#10;IwEAAGRycy9lMm9Eb2MueG1sUEsFBgAAAAAGAAYAWQEAAKAFAAAAAA==&#10;">
                        <v:fill on="f" focussize="0,0"/>
                        <v:stroke weight="0.5pt" color="#000000" joinstyle="miter"/>
                        <v:imagedata o:title=""/>
                        <o:lock v:ext="edit" aspectratio="f"/>
                        <v:textbox>
                          <w:txbxContent>
                            <w:p w14:paraId="2490E26B">
                              <w:pPr>
                                <w:adjustRightInd w:val="0"/>
                                <w:snapToGrid w:val="0"/>
                                <w:jc w:val="center"/>
                                <w:rPr>
                                  <w:b/>
                                  <w:szCs w:val="21"/>
                                </w:rPr>
                              </w:pPr>
                              <w:r>
                                <w:rPr>
                                  <w:rFonts w:hint="eastAsia"/>
                                  <w:szCs w:val="21"/>
                                </w:rPr>
                                <w:t>化粪池</w:t>
                              </w:r>
                            </w:p>
                          </w:txbxContent>
                        </v:textbox>
                      </v:rect>
                      <v:shape id="直接箭头连接符 40" o:spid="_x0000_s1026" o:spt="32" type="#_x0000_t32" style="position:absolute;left:628650;top:472440;height:635;width:581025;" filled="f" stroked="t" coordsize="21600,21600" o:gfxdata="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M9JD/XAAAABQEAAA8AAAAAAAAA&#10;AQAgAAAAIgAAAGRycy9kb3ducmV2LnhtbFBLAQIUABQAAAAIAIdO4kAWLH18EgIAAP4DAAAOAAAA&#10;AAAAAAEAIAAAACYBAABkcnMvZTJvRG9jLnhtbFBLBQYAAAAABgAGAFkBAACqBQAAAAA=&#10;">
                        <v:fill on="f" focussize="0,0"/>
                        <v:stroke color="#000000" joinstyle="round" endarrow="block"/>
                        <v:imagedata o:title=""/>
                        <o:lock v:ext="edit" aspectratio="f"/>
                      </v:shape>
                      <v:rect id="矩形 41" o:spid="_x0000_s1026" o:spt="1" style="position:absolute;left:3033395;top:1156970;height:297180;width:690880;"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1Gw8zWAAAABQEAAA8AAAAAAAAAAQAgAAAA&#10;IgAAAGRycy9kb3ducmV2LnhtbFBLAQIUABQAAAAIAIdO4kD3uLtG1AEAAJ8DAAAOAAAAAAAAAAEA&#10;IAAAACUBAABkcnMvZTJvRG9jLnhtbFBLBQYAAAAABgAGAFkBAABrBQAAAAA=&#10;">
                        <v:fill on="t" opacity="0f" focussize="0,0"/>
                        <v:stroke on="f" weight="1pt"/>
                        <v:imagedata o:title=""/>
                        <o:lock v:ext="edit" aspectratio="f"/>
                        <v:textbox>
                          <w:txbxContent>
                            <w:p w14:paraId="09FC02EE">
                              <w:pPr>
                                <w:adjustRightInd w:val="0"/>
                                <w:snapToGrid w:val="0"/>
                                <w:ind w:firstLine="105" w:firstLineChars="50"/>
                                <w:rPr>
                                  <w:rFonts w:hint="default" w:ascii="Times New Roman" w:hAnsi="Times New Roman" w:eastAsia="宋体" w:cs="Times New Roman"/>
                                  <w:b/>
                                  <w:szCs w:val="21"/>
                                  <w:lang w:val="en-US" w:eastAsia="zh-CN"/>
                                </w:rPr>
                              </w:pPr>
                              <w:r>
                                <w:rPr>
                                  <w:rFonts w:hint="default" w:ascii="Times New Roman" w:hAnsi="Times New Roman" w:cs="Times New Roman"/>
                                  <w:szCs w:val="21"/>
                                  <w:lang w:val="en-US" w:eastAsia="zh-CN"/>
                                </w:rPr>
                                <w:t>14880</w:t>
                              </w:r>
                            </w:p>
                          </w:txbxContent>
                        </v:textbox>
                      </v:rect>
                      <v:rect id="矩形 43" o:spid="_x0000_s1026" o:spt="1" style="position:absolute;left:568960;top:1174115;height:327660;width:610235;"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UbDzNYAAAAFAQAADwAAAAAAAAABACAA&#10;AAAiAAAAZHJzL2Rvd25yZXYueG1sUEsBAhQAFAAAAAgAh07iQEKaXbPWAQAAngMAAA4AAAAAAAAA&#10;AQAgAAAAJQEAAGRycy9lMm9Eb2MueG1sUEsFBgAAAAAGAAYAWQEAAG0FAAAAAA==&#10;">
                        <v:fill on="t" opacity="0f" focussize="0,0"/>
                        <v:stroke on="f" weight="1pt"/>
                        <v:imagedata o:title=""/>
                        <o:lock v:ext="edit" aspectratio="f"/>
                        <v:textbox>
                          <w:txbxContent>
                            <w:p w14:paraId="21A367B7">
                              <w:pPr>
                                <w:adjustRightInd w:val="0"/>
                                <w:snapToGrid w:val="0"/>
                                <w:rPr>
                                  <w:rFonts w:hint="default" w:ascii="Times New Roman" w:hAnsi="Times New Roman" w:eastAsia="宋体" w:cs="Times New Roman"/>
                                  <w:b/>
                                  <w:szCs w:val="21"/>
                                  <w:lang w:val="en-US" w:eastAsia="zh-CN"/>
                                </w:rPr>
                              </w:pPr>
                              <w:r>
                                <w:rPr>
                                  <w:rFonts w:hint="default" w:ascii="Times New Roman" w:hAnsi="Times New Roman" w:cs="Times New Roman"/>
                                  <w:szCs w:val="21"/>
                                  <w:lang w:val="en-US" w:eastAsia="zh-CN"/>
                                </w:rPr>
                                <w:t>18600</w:t>
                              </w:r>
                            </w:p>
                          </w:txbxContent>
                        </v:textbox>
                      </v:rect>
                      <v:shape id="直接箭头连接符 48" o:spid="_x0000_s1026" o:spt="32" type="#_x0000_t32" style="position:absolute;left:634365;top:480060;height:930275;width:12065;" filled="f" stroked="t" coordsize="21600,21600" o:gfxdata="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lO89YAAAAFAQAADwAAAAAAAAABACAAAAAiAAAA&#10;ZHJzL2Rvd25yZXYueG1sUEsBAhQAFAAAAAgAh07iQPeruEYJAgAA/AMAAA4AAAAAAAAAAQAgAAAA&#10;JQEAAGRycy9lMm9Eb2MueG1sUEsFBgAAAAAGAAYAWQEAAKAFAAAAAA==&#10;">
                        <v:fill on="f" focussize="0,0"/>
                        <v:stroke color="#000000" joinstyle="round"/>
                        <v:imagedata o:title=""/>
                        <o:lock v:ext="edit" aspectratio="f"/>
                      </v:shape>
                      <v:shape id="直接箭头连接符 51" o:spid="_x0000_s1026" o:spt="32" type="#_x0000_t32" style="position:absolute;left:152400;top:997585;height:635;width:485775;" filled="f" stroked="t" coordsize="21600,21600" o:gfxdata="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z0kP9cAAAAFAQAADwAAAAAA&#10;AAABACAAAAAiAAAAZHJzL2Rvd25yZXYueG1sUEsBAhQAFAAAAAgAh07iQKJREhkUAgAA/gMAAA4A&#10;AAAAAAAAAQAgAAAAJgEAAGRycy9lMm9Eb2MueG1sUEsFBgAAAAAGAAYAWQEAAKwFAAAAAA==&#10;">
                        <v:fill on="f" focussize="0,0"/>
                        <v:stroke color="#000000" joinstyle="round" endarrow="block"/>
                        <v:imagedata o:title=""/>
                        <o:lock v:ext="edit" aspectratio="f"/>
                      </v:shape>
                      <v:rect id="矩形 52" o:spid="_x0000_s1026" o:spt="1" style="position:absolute;left:47625;top:774700;height:280035;width:629285;"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1Gw8zWAAAABQEAAA8AAAAAAAAAAQAgAAAA&#10;IgAAAGRycy9kb3ducmV2LnhtbFBLAQIUABQAAAAIAIdO4kC7dc3x1AEAAJwDAAAOAAAAAAAAAAEA&#10;IAAAACUBAABkcnMvZTJvRG9jLnhtbFBLBQYAAAAABgAGAFkBAABrBQAAAAA=&#10;">
                        <v:fill on="t" opacity="0f" focussize="0,0"/>
                        <v:stroke on="f" weight="1pt"/>
                        <v:imagedata o:title=""/>
                        <o:lock v:ext="edit" aspectratio="f"/>
                        <v:textbox>
                          <w:txbxContent>
                            <w:p w14:paraId="55F7D638">
                              <w:pPr>
                                <w:rPr>
                                  <w:rFonts w:hint="default" w:ascii="Times New Roman" w:hAnsi="Times New Roman" w:eastAsia="宋体" w:cs="Times New Roman"/>
                                  <w:lang w:val="en-US" w:eastAsia="zh-CN"/>
                                </w:rPr>
                              </w:pPr>
                              <w:r>
                                <w:rPr>
                                  <w:rFonts w:hint="default" w:ascii="Times New Roman" w:hAnsi="Times New Roman" w:cs="Times New Roman"/>
                                  <w:szCs w:val="21"/>
                                  <w:lang w:val="en-US" w:eastAsia="zh-CN"/>
                                </w:rPr>
                                <w:t>2</w:t>
                              </w:r>
                              <w:r>
                                <w:rPr>
                                  <w:rFonts w:hint="eastAsia" w:ascii="Times New Roman" w:hAnsi="Times New Roman" w:cs="Times New Roman"/>
                                  <w:szCs w:val="21"/>
                                  <w:lang w:val="en-US" w:eastAsia="zh-CN"/>
                                </w:rPr>
                                <w:t>64</w:t>
                              </w:r>
                              <w:r>
                                <w:rPr>
                                  <w:rFonts w:hint="default" w:ascii="Times New Roman" w:hAnsi="Times New Roman" w:cs="Times New Roman"/>
                                  <w:szCs w:val="21"/>
                                  <w:lang w:val="en-US" w:eastAsia="zh-CN"/>
                                </w:rPr>
                                <w:t>00</w:t>
                              </w:r>
                            </w:p>
                          </w:txbxContent>
                        </v:textbox>
                      </v:rect>
                      <v:rect id="矩形 63" o:spid="_x0000_s1026" o:spt="1" style="position:absolute;left:1207770;top:314960;height:297180;width:742950;" filled="f" stroked="t" coordsize="21600,21600" o:gfxdata="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&#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qrDDUAAAABQEAAA8AAAAAAAAAAQAgAAAAIgAAAGRy&#10;cy9kb3ducmV2LnhtbFBLAQIUABQAAAAIAIdO4kAU4Z91CQIAAA0EAAAOAAAAAAAAAAEAIAAAACMB&#10;AABkcnMvZTJvRG9jLnhtbFBLBQYAAAAABgAGAFkBAACeBQAAAAA=&#10;">
                        <v:fill on="f" focussize="0,0"/>
                        <v:stroke weight="0.5pt" color="#000000" joinstyle="miter"/>
                        <v:imagedata o:title=""/>
                        <o:lock v:ext="edit" aspectratio="f"/>
                        <v:textbox>
                          <w:txbxContent>
                            <w:p w14:paraId="5F744F07">
                              <w:pPr>
                                <w:pStyle w:val="37"/>
                                <w:spacing w:before="0" w:beforeAutospacing="0" w:after="0" w:afterAutospacing="0"/>
                                <w:jc w:val="center"/>
                                <w:rPr>
                                  <w:rFonts w:hint="default" w:eastAsia="宋体"/>
                                  <w:b w:val="0"/>
                                  <w:bCs/>
                                  <w:sz w:val="21"/>
                                  <w:szCs w:val="16"/>
                                  <w:lang w:val="en-US" w:eastAsia="zh-CN"/>
                                </w:rPr>
                              </w:pPr>
                              <w:r>
                                <w:rPr>
                                  <w:rFonts w:hint="eastAsia"/>
                                  <w:b w:val="0"/>
                                  <w:bCs/>
                                  <w:sz w:val="21"/>
                                  <w:szCs w:val="16"/>
                                  <w:lang w:val="en-US" w:eastAsia="zh-CN"/>
                                </w:rPr>
                                <w:t>锅炉</w:t>
                              </w:r>
                            </w:p>
                          </w:txbxContent>
                        </v:textbox>
                      </v:rect>
                      <v:shape id="直接箭头连接符 64" o:spid="_x0000_s1026" o:spt="32" type="#_x0000_t32" style="position:absolute;left:647065;top:1407160;height:1270;width:572135;" filled="f" stroked="t" coordsize="21600,21600" o:gfxdata="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M9JD/XAAAABQEAAA8AAAAAAAAA&#10;AQAgAAAAIgAAAGRycy9kb3ducmV2LnhtbFBLAQIUABQAAAAIAIdO4kBff0TAEgIAAAAEAAAOAAAA&#10;AAAAAAEAIAAAACYBAABkcnMvZTJvRG9jLnhtbFBLBQYAAAAABgAGAFkBAACqBQAAAAA=&#10;">
                        <v:fill on="f" focussize="0,0"/>
                        <v:stroke color="#000000" joinstyle="round" endarrow="block"/>
                        <v:imagedata o:title=""/>
                        <o:lock v:ext="edit" aspectratio="f"/>
                      </v:shape>
                      <v:rect id="矩形 65" o:spid="_x0000_s1026" o:spt="1" style="position:absolute;left:570865;top:237490;height:260985;width:514985;"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1Gw8zWAAAABQEAAA8AAAAAAAAAAQAgAAAA&#10;IgAAAGRycy9kb3ducmV2LnhtbFBLAQIUABQAAAAIAIdO4kC18Ka21AEAAJ0DAAAOAAAAAAAAAAEA&#10;IAAAACUBAABkcnMvZTJvRG9jLnhtbFBLBQYAAAAABgAGAFkBAABrBQAAAAA=&#10;">
                        <v:fill on="t" opacity="0f" focussize="0,0"/>
                        <v:stroke on="f" weight="1pt"/>
                        <v:imagedata o:title=""/>
                        <o:lock v:ext="edit" aspectratio="f"/>
                        <v:textbox>
                          <w:txbxContent>
                            <w:p w14:paraId="4B058ABE">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7800</w:t>
                              </w:r>
                            </w:p>
                          </w:txbxContent>
                        </v:textbox>
                      </v:rect>
                      <v:shape id="任意多边形 66" o:spid="_x0000_s1026" o:spt="100" style="position:absolute;left:1536700;top:133985;height:173355;width:167005;" filled="f" stroked="t" coordsize="592,513" o:gfxdata="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SrpzA1wAAAAUBAAAPAAAAAAAAAAEAIAAAACIAAABkcnMvZG93bnJldi54bWxQ&#10;SwECFAAUAAAACACHTuJAF8e1wtwCAABxBgAADgAAAAAAAAABACAAAAAmAQAAZHJzL2Uyb0RvYy54&#10;bWxQSwUGAAAAAAYABgBZAQAAdAYAAAAA&#10;" path="m0,513c104,371,209,230,267,199c325,168,292,360,346,327c400,294,551,54,592,0e">
                        <v:path o:connectlocs="0,325755;169545,126365;219710,207645;375920,0" o:connectangles="0,0,0,0"/>
                        <v:fill on="f" focussize="0,0"/>
                        <v:stroke color="#000000" joinstyle="round" endarrow="block"/>
                        <v:imagedata o:title=""/>
                        <o:lock v:ext="edit" aspectratio="f"/>
                      </v:shape>
                      <v:rect id="矩形 67" o:spid="_x0000_s1026" o:spt="1" style="position:absolute;left:1498600;top:933450;height:297180;width:771525;"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1Gw8zWAAAABQEAAA8AAAAAAAAAAQAg&#10;AAAAIgAAAGRycy9kb3ducmV2LnhtbFBLAQIUABQAAAAIAIdO4kAstpJ51wEAAJ4DAAAOAAAAAAAA&#10;AAEAIAAAACUBAABkcnMvZTJvRG9jLnhtbFBLBQYAAAAABgAGAFkBAABuBQAAAAA=&#10;">
                        <v:fill on="t" opacity="0f" focussize="0,0"/>
                        <v:stroke on="f" weight="1pt"/>
                        <v:imagedata o:title=""/>
                        <o:lock v:ext="edit" aspectratio="f"/>
                        <v:textbox>
                          <w:txbxContent>
                            <w:p w14:paraId="602E94BE">
                              <w:pPr>
                                <w:adjustRightInd w:val="0"/>
                                <w:snapToGrid w:val="0"/>
                                <w:rPr>
                                  <w:rFonts w:hint="default" w:eastAsia="宋体"/>
                                  <w:b/>
                                  <w:sz w:val="21"/>
                                  <w:szCs w:val="21"/>
                                  <w:lang w:val="en-US" w:eastAsia="zh-CN"/>
                                </w:rPr>
                              </w:pPr>
                              <w:r>
                                <w:rPr>
                                  <w:rFonts w:hint="eastAsia" w:hAnsi="宋体"/>
                                  <w:sz w:val="21"/>
                                  <w:szCs w:val="21"/>
                                  <w:lang w:val="en-US" w:eastAsia="zh-CN"/>
                                </w:rPr>
                                <w:t>损耗</w:t>
                              </w:r>
                              <w:r>
                                <w:rPr>
                                  <w:rFonts w:hint="default" w:ascii="Times New Roman" w:hAnsi="Times New Roman" w:cs="Times New Roman"/>
                                  <w:sz w:val="21"/>
                                  <w:szCs w:val="21"/>
                                  <w:lang w:val="en-US" w:eastAsia="zh-CN"/>
                                </w:rPr>
                                <w:t>3720</w:t>
                              </w:r>
                            </w:p>
                          </w:txbxContent>
                        </v:textbox>
                      </v:rect>
                      <v:line id="直接连接符 36" o:spid="_x0000_s1026" o:spt="20" style="position:absolute;left:1960880;top:1408430;flip:y;height:1270;width:408940;" filled="f" stroked="t" coordsize="21600,21600" o:gfxdata="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5yxbXAAAABQEAAA8AAAAAAAAA&#10;AQAgAAAAIgAAAGRycy9kb3ducmV2LnhtbFBLAQIUABQAAAAIAIdO4kCHLeEBEgIAAAIEAAAOAAAA&#10;AAAAAAEAIAAAACYBAABkcnMvZTJvRG9jLnhtbFBLBQYAAAAABgAGAFkBAACqBQAAAAA=&#10;">
                        <v:fill on="f" focussize="0,0"/>
                        <v:stroke color="#000000" joinstyle="round" endarrow="block"/>
                        <v:imagedata o:title=""/>
                        <o:lock v:ext="edit" aspectratio="f"/>
                      </v:line>
                      <v:line id="直接连接符 36" o:spid="_x0000_s1026" o:spt="20" style="position:absolute;left:3132455;top:1398905;flip:y;height:1270;width:408940;" filled="f" stroked="t" coordsize="21600,21600" o:gfxdata="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OcsW1wAAAAUBAAAPAAAA&#10;AAAAAAEAIAAAACIAAABkcnMvZG93bnJldi54bWxQSwECFAAUAAAACACHTuJATkHakhYCAAADBAAA&#10;DgAAAAAAAAABACAAAAAmAQAAZHJzL2Uyb0RvYy54bWxQSwUGAAAAAAYABgBZAQAArgUAAAAA&#10;">
                        <v:fill on="f" focussize="0,0"/>
                        <v:stroke color="#000000" joinstyle="round" endarrow="block"/>
                        <v:imagedata o:title=""/>
                        <o:lock v:ext="edit" aspectratio="f"/>
                      </v:line>
                      <v:shape id="任意多边形 66" o:spid="_x0000_s1026" o:spt="100" style="position:absolute;left:1389380;top:1084580;height:173355;width:167005;" filled="f" stroked="t" coordsize="592,513" o:gfxdata="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SrpzA1wAAAAUBAAAPAAAAAAAAAAEAIAAAACIAAABkcnMvZG93bnJldi54bWxQ&#10;SwECFAAUAAAACACHTuJAksA3jdwCAABxBgAADgAAAAAAAAABACAAAAAmAQAAZHJzL2Uyb0RvYy54&#10;bWxQSwUGAAAAAAYABgBZAQAAdAYAAAAA&#10;" path="m0,513c104,371,209,230,267,199c325,168,292,360,346,327c400,294,551,54,592,0e">
                        <v:path o:connectlocs="0,325755;169545,126365;219710,207645;375920,0" o:connectangles="0,0,0,0"/>
                        <v:fill on="f" focussize="0,0"/>
                        <v:stroke color="#000000" joinstyle="round" endarrow="block"/>
                        <v:imagedata o:title=""/>
                        <o:lock v:ext="edit" aspectratio="f"/>
                      </v:shape>
                      <v:rect id="矩形 63" o:spid="_x0000_s1026" o:spt="1" style="position:absolute;left:2351405;top:313055;height:297180;width:742950;" filled="f" stroked="t" coordsize="21600,21600" o:gfxdata="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&#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Kqww1AAAAAUBAAAPAAAAAAAAAAEAIAAAACIAAABk&#10;cnMvZG93bnJldi54bWxQSwECFAAUAAAACACHTuJAPKy85goCAAANBAAADgAAAAAAAAABACAAAAAj&#10;AQAAZHJzL2Uyb0RvYy54bWxQSwUGAAAAAAYABgBZAQAAnwUAAAAA&#10;">
                        <v:fill on="f" focussize="0,0"/>
                        <v:stroke weight="0.5pt" color="#000000" joinstyle="miter"/>
                        <v:imagedata o:title=""/>
                        <o:lock v:ext="edit" aspectratio="f"/>
                        <v:textbox>
                          <w:txbxContent>
                            <w:p w14:paraId="172BC6C9">
                              <w:pPr>
                                <w:pStyle w:val="37"/>
                                <w:spacing w:before="0" w:beforeAutospacing="0" w:after="0" w:afterAutospacing="0"/>
                                <w:jc w:val="center"/>
                                <w:rPr>
                                  <w:rFonts w:hint="default" w:eastAsia="宋体"/>
                                  <w:b w:val="0"/>
                                  <w:bCs/>
                                  <w:sz w:val="21"/>
                                  <w:szCs w:val="16"/>
                                  <w:lang w:val="en-US" w:eastAsia="zh-CN"/>
                                </w:rPr>
                              </w:pPr>
                              <w:r>
                                <w:rPr>
                                  <w:rFonts w:hint="eastAsia"/>
                                  <w:b w:val="0"/>
                                  <w:bCs/>
                                  <w:sz w:val="21"/>
                                  <w:szCs w:val="16"/>
                                  <w:lang w:val="en-US" w:eastAsia="zh-CN"/>
                                </w:rPr>
                                <w:t>锅炉废水</w:t>
                              </w:r>
                            </w:p>
                          </w:txbxContent>
                        </v:textbox>
                      </v:rect>
                      <v:shape id="_x0000_s1026" o:spid="_x0000_s1026" o:spt="32" type="#_x0000_t32" style="position:absolute;left:1950720;top:461645;flip:y;height:1905;width:400685;" filled="f" stroked="t" coordsize="21600,21600" o:gfxdata="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8tcY2AAAAAUBAAAPAAAAAAAAAAEAIAAAACIAAABkcnMvZG93bnJldi54bWxQSwECFAAU&#10;AAAACACHTuJAsk6z4yoCAAAmBAAADgAAAAAAAAABACAAAAAnAQAAZHJzL2Uyb0RvYy54bWxQSwUG&#10;AAAAAAYABgBZAQAAwwUAAAAA&#10;">
                        <v:fill on="f" focussize="0,0"/>
                        <v:stroke weight="0.5pt" color="#000000 [3213]" joinstyle="round" endarrow="open"/>
                        <v:imagedata o:title=""/>
                        <o:lock v:ext="edit" aspectratio="f"/>
                      </v:shape>
                      <v:shape id="_x0000_s1026" o:spid="_x0000_s1026" o:spt="33" type="#_x0000_t33" style="position:absolute;left:3094355;top:461645;height:723900;width:1020445;" filled="f" stroked="t" coordsize="21600,21600" o:gfxdata="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p0aF1AAAAAUB&#10;AAAPAAAAAAAAAAEAIAAAACIAAABkcnMvZG93bnJldi54bWxQSwECFAAUAAAACACHTuJAo0SiPB8C&#10;AAAVBAAADgAAAAAAAAABACAAAAAjAQAAZHJzL2Uyb0RvYy54bWxQSwUGAAAAAAYABgBZAQAAtAUA&#10;AAAA&#10;">
                        <v:fill on="f" focussize="0,0"/>
                        <v:stroke color="#000000 [3213]" joinstyle="round" endarrow="open"/>
                        <v:imagedata o:title=""/>
                        <o:lock v:ext="edit" aspectratio="f"/>
                      </v:shape>
                      <v:rect id="矩形 65" o:spid="_x0000_s1026" o:spt="1" style="position:absolute;left:1913255;top:208280;height:260985;width:514985;"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9RsPM1gAAAAUBAAAPAAAAAAAAAAEAIAAA&#10;ACIAAABkcnMvZG93bnJldi54bWxQSwECFAAUAAAACACHTuJAabbA29UBAACeAwAADgAAAAAAAAAB&#10;ACAAAAAlAQAAZHJzL2Uyb0RvYy54bWxQSwUGAAAAAAYABgBZAQAAbAUAAAAA&#10;">
                        <v:fill on="t" opacity="0f" focussize="0,0"/>
                        <v:stroke on="f" weight="1pt"/>
                        <v:imagedata o:title=""/>
                        <o:lock v:ext="edit" aspectratio="f"/>
                        <v:textbox>
                          <w:txbxContent>
                            <w:p w14:paraId="5B7FCFE3">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770</w:t>
                              </w:r>
                            </w:p>
                          </w:txbxContent>
                        </v:textbox>
                      </v:rect>
                      <v:rect id="矩形 65" o:spid="_x0000_s1026" o:spt="1" style="position:absolute;left:3484880;top:208280;height:260985;width:514985;" fillcolor="#FFFFFF" filled="t" stroked="f" coordsize="21600,21600" o:gfxdata="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UbDzNYAAAAFAQAADwAAAAAAAAABACAA&#10;AAAiAAAAZHJzL2Rvd25yZXYueG1sUEsBAhQAFAAAAAgAh07iQMbNvcnWAQAAngMAAA4AAAAAAAAA&#10;AQAgAAAAJQEAAGRycy9lMm9Eb2MueG1sUEsFBgAAAAAGAAYAWQEAAG0FAAAAAA==&#10;">
                        <v:fill on="t" opacity="0f" focussize="0,0"/>
                        <v:stroke on="f" weight="1pt"/>
                        <v:imagedata o:title=""/>
                        <o:lock v:ext="edit" aspectratio="f"/>
                        <v:textbox>
                          <w:txbxContent>
                            <w:p w14:paraId="05384FC2">
                              <w:pPr>
                                <w:pStyle w:val="37"/>
                                <w:spacing w:before="0" w:beforeAutospacing="0" w:after="0" w:afterAutospacing="0"/>
                                <w:jc w:val="center"/>
                                <w:rPr>
                                  <w:rFonts w:hint="default" w:eastAsia="宋体"/>
                                  <w:b/>
                                  <w:lang w:val="en-US" w:eastAsia="zh-CN"/>
                                </w:rPr>
                              </w:pPr>
                              <w:r>
                                <w:rPr>
                                  <w:rFonts w:hint="eastAsia" w:ascii="Times New Roman" w:hAnsi="Times New Roman"/>
                                  <w:kern w:val="2"/>
                                  <w:sz w:val="21"/>
                                  <w:szCs w:val="21"/>
                                  <w:lang w:val="en-US" w:eastAsia="zh-CN"/>
                                </w:rPr>
                                <w:t>770</w:t>
                              </w:r>
                            </w:p>
                          </w:txbxContent>
                        </v:textbox>
                      </v:rect>
                      <v:rect id="矩形 39" o:spid="_x0000_s1026" o:spt="1" style="position:absolute;left:379730;top:2008505;height:297180;width:742315;" filled="f" stroked="t" coordsize="21600,21600" o:gfxdata="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&#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qrDDUAAAABQEAAA8AAAAAAAAAAQAgAAAAIgAAAGRy&#10;cy9kb3ducmV2LnhtbFBLAQIUABQAAAAIAIdO4kBxlf32CQIAAAsEAAAOAAAAAAAAAAEAIAAAACMB&#10;AABkcnMvZTJvRG9jLnhtbFBLBQYAAAAABgAGAFkBAACeBQAAAAA=&#10;">
                        <v:fill on="f" focussize="0,0"/>
                        <v:stroke weight="0.5pt" color="#000000" joinstyle="miter"/>
                        <v:imagedata o:title=""/>
                        <o:lock v:ext="edit" aspectratio="f"/>
                        <v:textbox>
                          <w:txbxContent>
                            <w:p w14:paraId="6DB9E6D6">
                              <w:pPr>
                                <w:adjustRightInd w:val="0"/>
                                <w:snapToGrid w:val="0"/>
                                <w:jc w:val="center"/>
                                <w:rPr>
                                  <w:rFonts w:hint="eastAsia" w:eastAsia="宋体"/>
                                  <w:b/>
                                  <w:szCs w:val="21"/>
                                  <w:lang w:val="en-US" w:eastAsia="zh-CN"/>
                                </w:rPr>
                              </w:pPr>
                              <w:r>
                                <w:rPr>
                                  <w:rFonts w:hint="eastAsia"/>
                                  <w:szCs w:val="21"/>
                                  <w:lang w:val="en-US" w:eastAsia="zh-CN"/>
                                </w:rPr>
                                <w:t>初期雨水</w:t>
                              </w:r>
                            </w:p>
                          </w:txbxContent>
                        </v:textbox>
                      </v:rect>
                      <v:rect id="矩形 39" o:spid="_x0000_s1026" o:spt="1" style="position:absolute;left:1627505;top:2008505;height:297180;width:1199515;" filled="f" stroked="t" coordsize="21600,21600" o:gfxdata="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iqsMNQAAAAFAQAADwAAAAAAAAABACAAAAAiAAAAZHJz&#10;L2Rvd25yZXYueG1sUEsBAhQAFAAAAAgAh07iQOgx7dMIAgAADQQAAA4AAAAAAAAAAQAgAAAAIwEA&#10;AGRycy9lMm9Eb2MueG1sUEsFBgAAAAAGAAYAWQEAAJ0FAAAAAA==&#10;">
                        <v:fill on="f" focussize="0,0"/>
                        <v:stroke weight="0.5pt" color="#000000" joinstyle="miter"/>
                        <v:imagedata o:title=""/>
                        <o:lock v:ext="edit" aspectratio="f"/>
                        <v:textbox>
                          <w:txbxContent>
                            <w:p w14:paraId="5F526ACD">
                              <w:pPr>
                                <w:adjustRightInd w:val="0"/>
                                <w:snapToGrid w:val="0"/>
                                <w:jc w:val="center"/>
                                <w:rPr>
                                  <w:rFonts w:hint="default" w:eastAsia="宋体"/>
                                  <w:b/>
                                  <w:szCs w:val="21"/>
                                  <w:lang w:val="en-US" w:eastAsia="zh-CN"/>
                                </w:rPr>
                              </w:pPr>
                              <w:r>
                                <w:rPr>
                                  <w:rFonts w:hint="eastAsia"/>
                                  <w:szCs w:val="21"/>
                                  <w:lang w:val="en-US" w:eastAsia="zh-CN"/>
                                </w:rPr>
                                <w:t>初期雨水收集池</w:t>
                              </w:r>
                            </w:p>
                          </w:txbxContent>
                        </v:textbox>
                      </v:rect>
                      <v:shape id="_x0000_s1026" o:spid="_x0000_s1026" o:spt="33" type="#_x0000_t33" style="position:absolute;left:2827020;top:1624965;flip:y;height:532130;width:1287780;" filled="f" stroked="t" coordsize="21600,21600" o:gfxdata="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kma&#10;t9UAAAAFAQAADwAAAAAAAAABACAAAAAiAAAAZHJzL2Rvd25yZXYueG1sUEsBAhQAFAAAAAgAh07i&#10;QMRmDxwlAgAAGgQAAA4AAAAAAAAAAQAgAAAAJAEAAGRycy9lMm9Eb2MueG1sUEsFBgAAAAAGAAYA&#10;WQEAALsFAAAAAA==&#10;">
                        <v:fill on="f" focussize="0,0"/>
                        <v:stroke color="#000000 [3213]" joinstyle="round" endarrow="open"/>
                        <v:imagedata o:title=""/>
                        <o:lock v:ext="edit" aspectratio="f"/>
                      </v:shape>
                      <w10:wrap type="none"/>
                      <w10:anchorlock/>
                    </v:group>
                  </w:pict>
                </mc:Fallback>
              </mc:AlternateContent>
            </w:r>
          </w:p>
          <w:p w14:paraId="69FDE90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themeColor="text1"/>
                <w:sz w:val="28"/>
                <w:szCs w:val="28"/>
                <w:lang w:val="en-US" w:eastAsia="zh-CN"/>
                <w14:textFill>
                  <w14:solidFill>
                    <w14:schemeClr w14:val="tx1"/>
                  </w14:solidFill>
                </w14:textFill>
              </w:rPr>
            </w:pPr>
            <w:r>
              <w:rPr>
                <w:rFonts w:hint="eastAsia" w:ascii="Times New Roman" w:hAnsi="Times New Roman" w:cs="Times New Roman"/>
                <w:b/>
                <w:color w:val="000000" w:themeColor="text1"/>
                <w:sz w:val="21"/>
                <w:szCs w:val="21"/>
                <w:lang w:val="en-US" w:eastAsia="zh-CN"/>
                <w14:textFill>
                  <w14:solidFill>
                    <w14:schemeClr w14:val="tx1"/>
                  </w14:solidFill>
                </w14:textFill>
              </w:rPr>
              <w:t>图2-2 全厂水平衡图   单位：t/a</w:t>
            </w:r>
          </w:p>
        </w:tc>
      </w:tr>
    </w:tbl>
    <w:p w14:paraId="3EF67F19">
      <w:pPr>
        <w:pStyle w:val="37"/>
        <w:adjustRightInd w:val="0"/>
        <w:snapToGrid w:val="0"/>
        <w:spacing w:before="0" w:beforeAutospacing="0" w:after="0" w:afterAutospacing="0"/>
        <w:jc w:val="center"/>
        <w:rPr>
          <w:rFonts w:hint="default" w:ascii="Times New Roman" w:hAnsi="Times New Roman" w:cs="Times New Roman"/>
          <w:color w:val="000000" w:themeColor="text1"/>
          <w:sz w:val="21"/>
          <w:szCs w:val="21"/>
          <w:lang w:val="en-US"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648"/>
      </w:tblGrid>
      <w:tr w14:paraId="23D58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17" w:hRule="atLeast"/>
          <w:jc w:val="center"/>
        </w:trPr>
        <w:tc>
          <w:tcPr>
            <w:tcW w:w="412" w:type="dxa"/>
            <w:noWrap w:val="0"/>
            <w:vAlign w:val="center"/>
          </w:tcPr>
          <w:p w14:paraId="1A648874">
            <w:pPr>
              <w:pStyle w:val="37"/>
              <w:adjustRightInd w:val="0"/>
              <w:snapToGrid w:val="0"/>
              <w:spacing w:before="0" w:beforeAutospacing="0" w:after="0" w:afterAutospacing="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工艺流程和产排污环节</w:t>
            </w:r>
          </w:p>
        </w:tc>
        <w:tc>
          <w:tcPr>
            <w:tcW w:w="8648" w:type="dxa"/>
            <w:noWrap w:val="0"/>
            <w:vAlign w:val="top"/>
          </w:tcPr>
          <w:p w14:paraId="4B83FFE5">
            <w:pPr>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1、生产工艺流程</w:t>
            </w:r>
          </w:p>
          <w:p w14:paraId="5EF07F7A">
            <w:pPr>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生产工艺流程及产污节点图</w:t>
            </w:r>
          </w:p>
          <w:p w14:paraId="690771FB">
            <w:pPr>
              <w:spacing w:line="360" w:lineRule="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color w:val="000000" w:themeColor="text1"/>
                <w:sz w:val="21"/>
                <w14:textFill>
                  <w14:solidFill>
                    <w14:schemeClr w14:val="tx1"/>
                  </w14:solidFill>
                </w14:textFill>
              </w:rPr>
              <mc:AlternateContent>
                <mc:Choice Requires="wpc">
                  <w:drawing>
                    <wp:inline distT="0" distB="0" distL="114300" distR="114300">
                      <wp:extent cx="5354320" cy="2052955"/>
                      <wp:effectExtent l="0" t="0" r="0" b="0"/>
                      <wp:docPr id="16" name="画布 16"/>
                      <wp:cNvGraphicFramePr/>
                      <a:graphic xmlns:a="http://schemas.openxmlformats.org/drawingml/2006/main">
                        <a:graphicData uri="http://schemas.microsoft.com/office/word/2010/wordprocessingCanvas">
                          <wpc:wpc>
                            <wpc:bg/>
                            <wpc:whole/>
                            <wps:wsp>
                              <wps:cNvPr id="23" name="矩形 20"/>
                              <wps:cNvSpPr/>
                              <wps:spPr>
                                <a:xfrm>
                                  <a:off x="1651000" y="380365"/>
                                  <a:ext cx="819150" cy="314325"/>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0837B714">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天然气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21"/>
                              <wps:cNvSpPr/>
                              <wps:spPr>
                                <a:xfrm>
                                  <a:off x="1656080" y="1046480"/>
                                  <a:ext cx="819150" cy="31432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EA7076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矩形 22"/>
                              <wps:cNvSpPr/>
                              <wps:spPr>
                                <a:xfrm>
                                  <a:off x="1656080" y="1665605"/>
                                  <a:ext cx="819150" cy="314325"/>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78BDBE0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蒸汽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直接箭头连接符 26"/>
                              <wps:cNvCnPr>
                                <a:stCxn id="23" idx="2"/>
                                <a:endCxn id="24" idx="0"/>
                              </wps:cNvCnPr>
                              <wps:spPr>
                                <a:xfrm>
                                  <a:off x="2060575" y="694690"/>
                                  <a:ext cx="5080" cy="35179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 name="直接箭头连接符 27"/>
                              <wps:cNvCnPr>
                                <a:stCxn id="24" idx="2"/>
                                <a:endCxn id="25" idx="0"/>
                              </wps:cNvCnPr>
                              <wps:spPr>
                                <a:xfrm>
                                  <a:off x="2065655" y="1360805"/>
                                  <a:ext cx="0" cy="30480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8" name="直接箭头连接符 28"/>
                              <wps:cNvCnPr>
                                <a:stCxn id="24" idx="3"/>
                              </wps:cNvCnPr>
                              <wps:spPr>
                                <a:xfrm flipV="1">
                                  <a:off x="2475230" y="1199515"/>
                                  <a:ext cx="549275" cy="4445"/>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29" name="矩形 21"/>
                              <wps:cNvSpPr/>
                              <wps:spPr>
                                <a:xfrm>
                                  <a:off x="3037205" y="1046480"/>
                                  <a:ext cx="704850" cy="314325"/>
                                </a:xfrm>
                                <a:prstGeom prst="rect">
                                  <a:avLst/>
                                </a:prstGeom>
                                <a:noFill/>
                                <a:ln w="9525">
                                  <a:noFill/>
                                </a:ln>
                              </wps:spPr>
                              <wps:style>
                                <a:lnRef idx="2">
                                  <a:schemeClr val="accent1">
                                    <a:lumMod val="75000"/>
                                  </a:schemeClr>
                                </a:lnRef>
                                <a:fillRef idx="1">
                                  <a:schemeClr val="accent1"/>
                                </a:fillRef>
                                <a:effectRef idx="0">
                                  <a:srgbClr val="FFFFFF"/>
                                </a:effectRef>
                                <a:fontRef idx="minor">
                                  <a:schemeClr val="lt1"/>
                                </a:fontRef>
                              </wps:style>
                              <wps:txbx>
                                <w:txbxContent>
                                  <w:p w14:paraId="3B81DEC4">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G1、W1</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161.65pt;width:421.6pt;" coordsize="5354320,2052955" editas="canvas" o:gfxdata="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">
                      <o:lock v:ext="edit" aspectratio="f"/>
                      <v:shape id="_x0000_s1026" o:spid="_x0000_s1026" style="position:absolute;left:0;top:0;height:2052955;width:5354320;" filled="f" stroked="f" coordsize="21600,21600" o:gfxdata="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PeZP6NcAAAAFAQAADwAA&#10;AAAAAAABACAAAAAiAAAAZHJzL2Rvd25yZXYueG1sUEsBAhQAFAAAAAgAh07iQAtUFioYBAAAKRQA&#10;AA4AAAAAAAAAAQAgAAAAJgEAAGRycy9lMm9Eb2MueG1sUEsFBgAAAAAGAAYAWQEAALAHAAAAAA==&#10;">
                        <v:fill on="f" focussize="0,0"/>
                        <v:stroke on="f"/>
                        <v:imagedata o:title=""/>
                        <o:lock v:ext="edit" aspectratio="f"/>
                      </v:shape>
                      <v:rect id="矩形 20" o:spid="_x0000_s1026" o:spt="1" style="position:absolute;left:1651000;top:380365;height:314325;width:819150;v-text-anchor:middle;" filled="f" stroked="f" coordsize="21600,21600" o:gfxdata="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taTaD0gAA&#10;AAUBAAAPAAAAAAAAAAEAIAAAACIAAABkcnMvZG93bnJldi54bWxQSwECFAAUAAAACACHTuJAZTtI&#10;AF0CAAChBAAADgAAAAAAAAABACAAAAAhAQAAZHJzL2Uyb0RvYy54bWxQSwUGAAAAAAYABgBZAQAA&#10;8AUAAAAA&#10;">
                        <v:fill on="f" focussize="0,0"/>
                        <v:stroke on="f"/>
                        <v:imagedata o:title=""/>
                        <o:lock v:ext="edit" aspectratio="f"/>
                        <v:textbox>
                          <w:txbxContent>
                            <w:p w14:paraId="0837B714">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天然气</w:t>
                              </w:r>
                            </w:p>
                          </w:txbxContent>
                        </v:textbox>
                      </v:rect>
                      <v:rect id="矩形 21" o:spid="_x0000_s1026" o:spt="1" style="position:absolute;left:1656080;top:1046480;height:314325;width:819150;v-text-anchor:middle;" filled="f" stroked="t" coordsize="21600,21600" o:gfxdata="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wJvbNYAAAAFAQAADwAAAAAAAAABACAAAAAiAAAAZHJzL2Rvd25yZXYueG1s&#10;UEsBAhQAFAAAAAgAh07iQClEX+hsAgAAywQAAA4AAAAAAAAAAQAgAAAAJQEAAGRycy9lMm9Eb2Mu&#10;eG1sUEsFBgAAAAAGAAYAWQEAAAMGAAAAAA==&#10;">
                        <v:fill on="f" focussize="0,0"/>
                        <v:stroke color="#000000 [3213]" joinstyle="round"/>
                        <v:imagedata o:title=""/>
                        <o:lock v:ext="edit" aspectratio="f"/>
                        <v:textbox>
                          <w:txbxContent>
                            <w:p w14:paraId="5EA7076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w:t>
                              </w:r>
                            </w:p>
                          </w:txbxContent>
                        </v:textbox>
                      </v:rect>
                      <v:rect id="矩形 22" o:spid="_x0000_s1026" o:spt="1" style="position:absolute;left:1656080;top:1665605;height:314325;width:819150;v-text-anchor:middle;" filled="f" stroked="f" coordsize="21600,21600" o:gfxdata="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Wk2g9IAAAAF&#10;AQAADwAAAAAAAAABACAAAAAiAAAAZHJzL2Rvd25yZXYueG1sUEsBAhQAFAAAAAgAh07iQNv0Jk9b&#10;AgAAogQAAA4AAAAAAAAAAQAgAAAAIQEAAGRycy9lMm9Eb2MueG1sUEsFBgAAAAAGAAYAWQEAAO4F&#10;AAAAAA==&#10;">
                        <v:fill on="f" focussize="0,0"/>
                        <v:stroke on="f"/>
                        <v:imagedata o:title=""/>
                        <o:lock v:ext="edit" aspectratio="f"/>
                        <v:textbox>
                          <w:txbxContent>
                            <w:p w14:paraId="78BDBE0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蒸汽</w:t>
                              </w:r>
                            </w:p>
                          </w:txbxContent>
                        </v:textbox>
                      </v:rect>
                      <v:shape id="_x0000_s1026" o:spid="_x0000_s1026" o:spt="32" type="#_x0000_t32" style="position:absolute;left:2060575;top:694690;height:351790;width:5080;" filled="f" stroked="t" coordsize="21600,21600" o:gfxdata="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sQbKPVAAAA&#10;BQEAAA8AAAAAAAAAAQAgAAAAIgAAAGRycy9kb3ducmV2LnhtbFBLAQIUABQAAAAIAIdO4kDLkjgF&#10;IAIAABgEAAAOAAAAAAAAAAEAIAAAACQBAABkcnMvZTJvRG9jLnhtbFBLBQYAAAAABgAGAFkBAAC2&#10;BQAAAAA=&#10;">
                        <v:fill on="f" focussize="0,0"/>
                        <v:stroke color="#000000 [3213]" joinstyle="round" endarrow="open"/>
                        <v:imagedata o:title=""/>
                        <o:lock v:ext="edit" aspectratio="f"/>
                      </v:shape>
                      <v:shape id="_x0000_s1026" o:spid="_x0000_s1026" o:spt="32" type="#_x0000_t32" style="position:absolute;left:2065655;top:1360805;height:304800;width:0;" filled="f" stroked="t" coordsize="21600,21600" o:gfxdata="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xBso9UAAAAF&#10;AQAADwAAAAAAAAABACAAAAAiAAAAZHJzL2Rvd25yZXYueG1sUEsBAhQAFAAAAAgAh07iQCxZgCQf&#10;AgAAFgQAAA4AAAAAAAAAAQAgAAAAJAEAAGRycy9lMm9Eb2MueG1sUEsFBgAAAAAGAAYAWQEAALUF&#10;AAAAAA==&#10;">
                        <v:fill on="f" focussize="0,0"/>
                        <v:stroke color="#000000 [3213]" joinstyle="round" endarrow="open"/>
                        <v:imagedata o:title=""/>
                        <o:lock v:ext="edit" aspectratio="f"/>
                      </v:shape>
                      <v:shape id="_x0000_s1026" o:spid="_x0000_s1026" o:spt="32" type="#_x0000_t32" style="position:absolute;left:2475230;top:1199515;flip:y;height:4445;width:549275;" filled="f" stroked="t" coordsize="21600,21600" o:gfxdata="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M2eu7VAAAA&#10;BQEAAA8AAAAAAAAAAQAgAAAAIgAAAGRycy9kb3ducmV2LnhtbFBLAQIUABQAAAAIAIdO4kCobs3p&#10;IAIAAAcEAAAOAAAAAAAAAAEAIAAAACQBAABkcnMvZTJvRG9jLnhtbFBLBQYAAAAABgAGAFkBAAC2&#10;BQAAAAA=&#10;">
                        <v:fill on="f" focussize="0,0"/>
                        <v:stroke color="#000000 [3213]" joinstyle="round" dashstyle="dash" endarrow="open"/>
                        <v:imagedata o:title=""/>
                        <o:lock v:ext="edit" aspectratio="f"/>
                      </v:shape>
                      <v:rect id="矩形 21" o:spid="_x0000_s1026" o:spt="1" style="position:absolute;left:3037205;top:1046480;height:314325;width:704850;v-text-anchor:middle;" filled="f" stroked="f" coordsize="21600,21600" o:gfxdata="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aTaD&#10;0gAAAAUBAAAPAAAAAAAAAAEAIAAAACIAAABkcnMvZG93bnJldi54bWxQSwECFAAUAAAACACHTuJA&#10;vk/cSWACAACiBAAADgAAAAAAAAABACAAAAAhAQAAZHJzL2Uyb0RvYy54bWxQSwUGAAAAAAYABgBZ&#10;AQAA8wUAAAAA&#10;">
                        <v:fill on="f" focussize="0,0"/>
                        <v:stroke on="f"/>
                        <v:imagedata o:title=""/>
                        <o:lock v:ext="edit" aspectratio="f"/>
                        <v:textbox>
                          <w:txbxContent>
                            <w:p w14:paraId="3B81DEC4">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G1、W1</w:t>
                              </w:r>
                            </w:p>
                          </w:txbxContent>
                        </v:textbox>
                      </v:rect>
                      <w10:wrap type="none"/>
                      <w10:anchorlock/>
                    </v:group>
                  </w:pict>
                </mc:Fallback>
              </mc:AlternateContent>
            </w:r>
          </w:p>
          <w:p w14:paraId="1053C1E7">
            <w:pPr>
              <w:spacing w:line="360" w:lineRule="auto"/>
              <w:jc w:val="center"/>
              <w:rPr>
                <w:rFonts w:hint="default" w:ascii="Times New Roman" w:hAnsi="Times New Roman" w:cs="Times New Roman"/>
                <w:b/>
                <w:bCs/>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3518535</wp:posOffset>
                      </wp:positionH>
                      <wp:positionV relativeFrom="paragraph">
                        <wp:posOffset>7541260</wp:posOffset>
                      </wp:positionV>
                      <wp:extent cx="295275" cy="0"/>
                      <wp:effectExtent l="0" t="48895" r="9525" b="65405"/>
                      <wp:wrapNone/>
                      <wp:docPr id="19" name="直接箭头连接符 19"/>
                      <wp:cNvGraphicFramePr/>
                      <a:graphic xmlns:a="http://schemas.openxmlformats.org/drawingml/2006/main">
                        <a:graphicData uri="http://schemas.microsoft.com/office/word/2010/wordprocessingShape">
                          <wps:wsp>
                            <wps:cNvCnPr/>
                            <wps:spPr>
                              <a:xfrm>
                                <a:off x="4752340" y="9152890"/>
                                <a:ext cx="295275"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7.05pt;margin-top:593.8pt;height:0pt;width:23.25pt;z-index:251665408;mso-width-relative:page;mso-height-relative:page;" filled="f" stroked="t" coordsize="21600,21600" o:gfxdata="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ocBD/XAAAADQEAAA8AAAAAAAAAAQAgAAAAIgAAAGRy&#10;cy9kb3ducmV2LnhtbFBLAQIUABQAAAAIAIdO4kB8B7kgBgIAANQDAAAOAAAAAAAAAAEAIAAAACYB&#10;AABkcnMvZTJvRG9jLnhtbFBLBQYAAAAABgAGAFkBAACeBQAAAAA=&#10;">
                      <v:fill on="f" focussize="0,0"/>
                      <v:stroke color="#000000 [3213]" joinstyle="round"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2423160</wp:posOffset>
                      </wp:positionH>
                      <wp:positionV relativeFrom="paragraph">
                        <wp:posOffset>7550785</wp:posOffset>
                      </wp:positionV>
                      <wp:extent cx="361950" cy="0"/>
                      <wp:effectExtent l="0" t="48895" r="0" b="65405"/>
                      <wp:wrapNone/>
                      <wp:docPr id="18" name="直接箭头连接符 18"/>
                      <wp:cNvGraphicFramePr/>
                      <a:graphic xmlns:a="http://schemas.openxmlformats.org/drawingml/2006/main">
                        <a:graphicData uri="http://schemas.microsoft.com/office/word/2010/wordprocessingShape">
                          <wps:wsp>
                            <wps:cNvCnPr/>
                            <wps:spPr>
                              <a:xfrm>
                                <a:off x="3656965" y="9162415"/>
                                <a:ext cx="36195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0.8pt;margin-top:594.55pt;height:0pt;width:28.5pt;z-index:251664384;mso-width-relative:page;mso-height-relative:page;" filled="f" stroked="t" coordsize="21600,21600" o:gfxdata="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x/rHYAAAADQEAAA8AAAAAAAAAAQAgAAAAIgAAAGRy&#10;cy9kb3ducmV2LnhtbFBLAQIUABQAAAAIAIdO4kCkqiIbBQIAANQDAAAOAAAAAAAAAAEAIAAAACcB&#10;AABkcnMvZTJvRG9jLnhtbFBLBQYAAAAABgAGAFkBAACeBQAAAAA=&#10;">
                      <v:fill on="f" focussize="0,0"/>
                      <v:stroke color="#000000 [3213]" joinstyle="round"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1804035</wp:posOffset>
                      </wp:positionH>
                      <wp:positionV relativeFrom="paragraph">
                        <wp:posOffset>7150735</wp:posOffset>
                      </wp:positionV>
                      <wp:extent cx="0" cy="247650"/>
                      <wp:effectExtent l="48895" t="0" r="65405" b="0"/>
                      <wp:wrapNone/>
                      <wp:docPr id="17" name="直接箭头连接符 17"/>
                      <wp:cNvGraphicFramePr/>
                      <a:graphic xmlns:a="http://schemas.openxmlformats.org/drawingml/2006/main">
                        <a:graphicData uri="http://schemas.microsoft.com/office/word/2010/wordprocessingShape">
                          <wps:wsp>
                            <wps:cNvCnPr/>
                            <wps:spPr>
                              <a:xfrm>
                                <a:off x="3037840" y="8762365"/>
                                <a:ext cx="0" cy="24765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2.05pt;margin-top:563.05pt;height:19.5pt;width:0pt;z-index:251663360;mso-width-relative:page;mso-height-relative:page;" filled="f" stroked="t" coordsize="21600,21600" o:gfxdata="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R/S1tgAAAANAQAADwAAAAAAAAABACAAAAAiAAAA&#10;ZHJzL2Rvd25yZXYueG1sUEsBAhQAFAAAAAgAh07iQExNv9MHAgAA1AMAAA4AAAAAAAAAAQAgAAAA&#10;JwEAAGRycy9lMm9Eb2MueG1sUEsFBgAAAAAGAAYAWQEAAKAFAAAAAA==&#10;">
                      <v:fill on="f" focussize="0,0"/>
                      <v:stroke color="#000000 [3213]" joinstyle="round" endarrow="open"/>
                      <v:imagedata o:title=""/>
                      <o:lock v:ext="edit" aspectratio="f"/>
                    </v:shape>
                  </w:pict>
                </mc:Fallback>
              </mc:AlternateContent>
            </w:r>
            <w:r>
              <w:rPr>
                <w:rFonts w:hint="default" w:ascii="Times New Roman" w:hAnsi="Times New Roman" w:cs="Times New Roman"/>
                <w:b/>
                <w:bCs/>
                <w:color w:val="000000" w:themeColor="text1"/>
                <w:sz w:val="21"/>
                <w:szCs w:val="21"/>
                <w14:textFill>
                  <w14:solidFill>
                    <w14:schemeClr w14:val="tx1"/>
                  </w14:solidFill>
                </w14:textFill>
              </w:rPr>
              <w:t>图2-</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蒸汽锅炉</w:t>
            </w:r>
            <w:r>
              <w:rPr>
                <w:rFonts w:hint="default" w:ascii="Times New Roman" w:hAnsi="Times New Roman" w:cs="Times New Roman"/>
                <w:b/>
                <w:bCs/>
                <w:color w:val="000000" w:themeColor="text1"/>
                <w:sz w:val="21"/>
                <w:szCs w:val="21"/>
                <w14:textFill>
                  <w14:solidFill>
                    <w14:schemeClr w14:val="tx1"/>
                  </w14:solidFill>
                </w14:textFill>
              </w:rPr>
              <w:t>生产工艺及产污节点图</w:t>
            </w:r>
          </w:p>
          <w:p w14:paraId="308E2B54">
            <w:pPr>
              <w:spacing w:line="360" w:lineRule="auto"/>
              <w:ind w:firstLine="422" w:firstLineChars="20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生产工艺流程及产污环节简述</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p>
          <w:p w14:paraId="0B57C153">
            <w:pPr>
              <w:numPr>
                <w:ilvl w:val="0"/>
                <w:numId w:val="0"/>
              </w:numPr>
              <w:spacing w:line="360" w:lineRule="auto"/>
              <w:ind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蒸汽锅炉使用天然气为原料，产生蒸汽。蒸汽锅炉产生的蒸汽使用于服装生产的</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裁片熨烫</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和成品熨烫工序。</w:t>
            </w:r>
          </w:p>
          <w:p w14:paraId="366E78CA">
            <w:pPr>
              <w:spacing w:line="360" w:lineRule="auto"/>
              <w:ind w:firstLine="420" w:firstLineChars="20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使用过程中产生天然气燃烧废气G1、锅炉废水W1。</w:t>
            </w:r>
          </w:p>
          <w:p w14:paraId="616BD8F6">
            <w:pPr>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2、产排污环节</w:t>
            </w:r>
          </w:p>
          <w:p w14:paraId="601295F5">
            <w:pPr>
              <w:pStyle w:val="5"/>
              <w:spacing w:line="360" w:lineRule="auto"/>
              <w:ind w:firstLine="48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本项目主要产污环节见表2</w:t>
            </w:r>
            <w:r>
              <w:rPr>
                <w:rFonts w:hint="eastAsia"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2CF8FF5F">
            <w:pPr>
              <w:pStyle w:val="185"/>
              <w:adjustRightInd w:val="0"/>
              <w:snapToGrid w:val="0"/>
              <w:jc w:val="center"/>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val="0"/>
                <w:color w:val="000000" w:themeColor="text1"/>
                <w:sz w:val="21"/>
                <w:szCs w:val="21"/>
                <w:lang w:eastAsia="zh-CN"/>
                <w14:textFill>
                  <w14:solidFill>
                    <w14:schemeClr w14:val="tx1"/>
                  </w14:solidFill>
                </w14:textFill>
              </w:rPr>
              <w:t>表2-</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8</w:t>
            </w:r>
            <w:r>
              <w:rPr>
                <w:rFonts w:hint="default" w:ascii="Times New Roman" w:hAnsi="Times New Roman" w:cs="Times New Roman"/>
                <w:b/>
                <w:bCs w:val="0"/>
                <w:color w:val="000000" w:themeColor="text1"/>
                <w:sz w:val="21"/>
                <w:szCs w:val="21"/>
                <w:lang w:eastAsia="zh-CN"/>
                <w14:textFill>
                  <w14:solidFill>
                    <w14:schemeClr w14:val="tx1"/>
                  </w14:solidFill>
                </w14:textFill>
              </w:rPr>
              <w:t xml:space="preserve"> 产污环节一览表</w:t>
            </w:r>
          </w:p>
          <w:tbl>
            <w:tblPr>
              <w:tblStyle w:val="4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98"/>
              <w:gridCol w:w="1321"/>
              <w:gridCol w:w="1512"/>
              <w:gridCol w:w="1966"/>
              <w:gridCol w:w="2475"/>
            </w:tblGrid>
            <w:tr w14:paraId="455713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noWrap w:val="0"/>
                  <w:vAlign w:val="center"/>
                </w:tcPr>
                <w:p w14:paraId="5A4F1D0C">
                  <w:pPr>
                    <w:pStyle w:val="239"/>
                    <w:adjustRightInd w:val="0"/>
                    <w:snapToGrid w:val="0"/>
                    <w:spacing w:line="240" w:lineRule="exact"/>
                    <w:jc w:val="center"/>
                    <w:rPr>
                      <w:rFonts w:hint="default" w:ascii="Times New Roman" w:hAnsi="Times New Roman" w:cs="Times New Roman"/>
                      <w:b/>
                      <w:snapToGrid w:val="0"/>
                      <w:color w:val="000000" w:themeColor="text1"/>
                      <w:sz w:val="21"/>
                      <w:szCs w:val="21"/>
                      <w:lang w:val="en-US"/>
                      <w14:textFill>
                        <w14:solidFill>
                          <w14:schemeClr w14:val="tx1"/>
                        </w14:solidFill>
                      </w14:textFill>
                    </w:rPr>
                  </w:pPr>
                  <w:r>
                    <w:rPr>
                      <w:rFonts w:hint="default" w:ascii="Times New Roman" w:hAnsi="Times New Roman" w:cs="Times New Roman"/>
                      <w:b/>
                      <w:snapToGrid w:val="0"/>
                      <w:color w:val="000000" w:themeColor="text1"/>
                      <w:sz w:val="21"/>
                      <w:szCs w:val="21"/>
                      <w:lang w:val="en-US"/>
                      <w14:textFill>
                        <w14:solidFill>
                          <w14:schemeClr w14:val="tx1"/>
                        </w14:solidFill>
                      </w14:textFill>
                    </w:rPr>
                    <w:t>污染类型</w:t>
                  </w:r>
                </w:p>
              </w:tc>
              <w:tc>
                <w:tcPr>
                  <w:tcW w:w="1321" w:type="dxa"/>
                  <w:noWrap w:val="0"/>
                  <w:vAlign w:val="center"/>
                </w:tcPr>
                <w:p w14:paraId="12714869">
                  <w:pPr>
                    <w:pStyle w:val="239"/>
                    <w:adjustRightInd w:val="0"/>
                    <w:snapToGrid w:val="0"/>
                    <w:spacing w:line="240" w:lineRule="exact"/>
                    <w:jc w:val="center"/>
                    <w:rPr>
                      <w:rFonts w:hint="default" w:ascii="Times New Roman" w:hAnsi="Times New Roman" w:eastAsia="宋体" w:cs="Times New Roman"/>
                      <w:b/>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b/>
                      <w:snapToGrid w:val="0"/>
                      <w:color w:val="000000" w:themeColor="text1"/>
                      <w:sz w:val="21"/>
                      <w:szCs w:val="21"/>
                      <w:lang w:val="en-US" w:eastAsia="zh-CN"/>
                      <w14:textFill>
                        <w14:solidFill>
                          <w14:schemeClr w14:val="tx1"/>
                        </w14:solidFill>
                      </w14:textFill>
                    </w:rPr>
                    <w:t>污染物名称</w:t>
                  </w:r>
                </w:p>
              </w:tc>
              <w:tc>
                <w:tcPr>
                  <w:tcW w:w="1512" w:type="dxa"/>
                  <w:noWrap w:val="0"/>
                  <w:vAlign w:val="center"/>
                </w:tcPr>
                <w:p w14:paraId="7CC29A5A">
                  <w:pPr>
                    <w:pStyle w:val="239"/>
                    <w:adjustRightInd w:val="0"/>
                    <w:snapToGrid w:val="0"/>
                    <w:spacing w:line="240" w:lineRule="exact"/>
                    <w:jc w:val="center"/>
                    <w:rPr>
                      <w:rFonts w:hint="default" w:ascii="Times New Roman" w:hAnsi="Times New Roman" w:cs="Times New Roman"/>
                      <w:b/>
                      <w:snapToGrid w:val="0"/>
                      <w:color w:val="000000" w:themeColor="text1"/>
                      <w:sz w:val="21"/>
                      <w:szCs w:val="21"/>
                      <w14:textFill>
                        <w14:solidFill>
                          <w14:schemeClr w14:val="tx1"/>
                        </w14:solidFill>
                      </w14:textFill>
                    </w:rPr>
                  </w:pPr>
                  <w:r>
                    <w:rPr>
                      <w:rFonts w:hint="default" w:ascii="Times New Roman" w:hAnsi="Times New Roman" w:cs="Times New Roman"/>
                      <w:b/>
                      <w:snapToGrid w:val="0"/>
                      <w:color w:val="000000" w:themeColor="text1"/>
                      <w:sz w:val="21"/>
                      <w:szCs w:val="21"/>
                      <w14:textFill>
                        <w14:solidFill>
                          <w14:schemeClr w14:val="tx1"/>
                        </w14:solidFill>
                      </w14:textFill>
                    </w:rPr>
                    <w:t>产生环节</w:t>
                  </w:r>
                </w:p>
              </w:tc>
              <w:tc>
                <w:tcPr>
                  <w:tcW w:w="1966" w:type="dxa"/>
                  <w:noWrap w:val="0"/>
                  <w:vAlign w:val="center"/>
                </w:tcPr>
                <w:p w14:paraId="0B44E614">
                  <w:pPr>
                    <w:pStyle w:val="239"/>
                    <w:adjustRightInd w:val="0"/>
                    <w:snapToGrid w:val="0"/>
                    <w:spacing w:line="240" w:lineRule="exact"/>
                    <w:jc w:val="center"/>
                    <w:rPr>
                      <w:rFonts w:hint="default" w:ascii="Times New Roman" w:hAnsi="Times New Roman" w:cs="Times New Roman"/>
                      <w:b/>
                      <w:snapToGrid w:val="0"/>
                      <w:color w:val="000000" w:themeColor="text1"/>
                      <w:sz w:val="21"/>
                      <w:szCs w:val="21"/>
                      <w14:textFill>
                        <w14:solidFill>
                          <w14:schemeClr w14:val="tx1"/>
                        </w14:solidFill>
                      </w14:textFill>
                    </w:rPr>
                  </w:pPr>
                  <w:r>
                    <w:rPr>
                      <w:rFonts w:hint="default" w:ascii="Times New Roman" w:hAnsi="Times New Roman" w:cs="Times New Roman"/>
                      <w:b/>
                      <w:snapToGrid w:val="0"/>
                      <w:color w:val="000000" w:themeColor="text1"/>
                      <w:sz w:val="21"/>
                      <w:szCs w:val="21"/>
                      <w14:textFill>
                        <w14:solidFill>
                          <w14:schemeClr w14:val="tx1"/>
                        </w14:solidFill>
                      </w14:textFill>
                    </w:rPr>
                    <w:t>污染因子</w:t>
                  </w:r>
                </w:p>
              </w:tc>
              <w:tc>
                <w:tcPr>
                  <w:tcW w:w="2475" w:type="dxa"/>
                  <w:noWrap w:val="0"/>
                  <w:vAlign w:val="center"/>
                </w:tcPr>
                <w:p w14:paraId="2C44EDA2">
                  <w:pPr>
                    <w:pStyle w:val="239"/>
                    <w:adjustRightInd w:val="0"/>
                    <w:snapToGrid w:val="0"/>
                    <w:spacing w:line="240" w:lineRule="exact"/>
                    <w:jc w:val="center"/>
                    <w:rPr>
                      <w:rFonts w:hint="default" w:ascii="Times New Roman" w:hAnsi="Times New Roman" w:cs="Times New Roman"/>
                      <w:b/>
                      <w:snapToGrid w:val="0"/>
                      <w:color w:val="000000" w:themeColor="text1"/>
                      <w:sz w:val="21"/>
                      <w:szCs w:val="21"/>
                      <w14:textFill>
                        <w14:solidFill>
                          <w14:schemeClr w14:val="tx1"/>
                        </w14:solidFill>
                      </w14:textFill>
                    </w:rPr>
                  </w:pPr>
                  <w:r>
                    <w:rPr>
                      <w:rFonts w:hint="default" w:ascii="Times New Roman" w:hAnsi="Times New Roman" w:cs="Times New Roman"/>
                      <w:b/>
                      <w:snapToGrid w:val="0"/>
                      <w:color w:val="000000" w:themeColor="text1"/>
                      <w:sz w:val="21"/>
                      <w:szCs w:val="21"/>
                      <w14:textFill>
                        <w14:solidFill>
                          <w14:schemeClr w14:val="tx1"/>
                        </w14:solidFill>
                      </w14:textFill>
                    </w:rPr>
                    <w:t>防治措施</w:t>
                  </w:r>
                </w:p>
              </w:tc>
            </w:tr>
            <w:tr w14:paraId="485BE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998" w:type="dxa"/>
                  <w:noWrap w:val="0"/>
                  <w:vAlign w:val="center"/>
                </w:tcPr>
                <w:p w14:paraId="4E311486">
                  <w:pPr>
                    <w:pStyle w:val="239"/>
                    <w:adjustRightInd w:val="0"/>
                    <w:snapToGrid w:val="0"/>
                    <w:spacing w:line="240" w:lineRule="exact"/>
                    <w:jc w:val="center"/>
                    <w:rPr>
                      <w:rFonts w:hint="default" w:ascii="Times New Roman" w:hAnsi="Times New Roman" w:cs="Times New Roman"/>
                      <w:snapToGrid w:val="0"/>
                      <w:color w:val="000000" w:themeColor="text1"/>
                      <w:sz w:val="21"/>
                      <w:szCs w:val="21"/>
                      <w:lang w:val="en-US"/>
                      <w14:textFill>
                        <w14:solidFill>
                          <w14:schemeClr w14:val="tx1"/>
                        </w14:solidFill>
                      </w14:textFill>
                    </w:rPr>
                  </w:pPr>
                  <w:r>
                    <w:rPr>
                      <w:rFonts w:hint="default" w:ascii="Times New Roman" w:hAnsi="Times New Roman" w:cs="Times New Roman"/>
                      <w:snapToGrid w:val="0"/>
                      <w:color w:val="000000" w:themeColor="text1"/>
                      <w:sz w:val="21"/>
                      <w:szCs w:val="21"/>
                      <w:lang w:val="en-US"/>
                      <w14:textFill>
                        <w14:solidFill>
                          <w14:schemeClr w14:val="tx1"/>
                        </w14:solidFill>
                      </w14:textFill>
                    </w:rPr>
                    <w:t>废气</w:t>
                  </w:r>
                </w:p>
              </w:tc>
              <w:tc>
                <w:tcPr>
                  <w:tcW w:w="1321" w:type="dxa"/>
                  <w:noWrap w:val="0"/>
                  <w:vAlign w:val="center"/>
                </w:tcPr>
                <w:p w14:paraId="345112E3">
                  <w:pPr>
                    <w:pStyle w:val="239"/>
                    <w:adjustRightInd w:val="0"/>
                    <w:snapToGrid w:val="0"/>
                    <w:spacing w:line="240" w:lineRule="exact"/>
                    <w:ind w:left="105" w:leftChars="5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G1</w:t>
                  </w:r>
                </w:p>
              </w:tc>
              <w:tc>
                <w:tcPr>
                  <w:tcW w:w="1512" w:type="dxa"/>
                  <w:noWrap w:val="0"/>
                  <w:vAlign w:val="center"/>
                </w:tcPr>
                <w:p w14:paraId="7177FED4">
                  <w:pPr>
                    <w:pStyle w:val="239"/>
                    <w:adjustRightInd w:val="0"/>
                    <w:snapToGrid w:val="0"/>
                    <w:spacing w:line="240" w:lineRule="exact"/>
                    <w:ind w:left="105" w:leftChars="5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蒸汽锅炉</w:t>
                  </w:r>
                </w:p>
              </w:tc>
              <w:tc>
                <w:tcPr>
                  <w:tcW w:w="1966" w:type="dxa"/>
                  <w:noWrap w:val="0"/>
                  <w:vAlign w:val="center"/>
                </w:tcPr>
                <w:p w14:paraId="12E2B811">
                  <w:pPr>
                    <w:pStyle w:val="239"/>
                    <w:adjustRightInd w:val="0"/>
                    <w:snapToGrid w:val="0"/>
                    <w:spacing w:line="240" w:lineRule="exact"/>
                    <w:ind w:left="105" w:leftChars="5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颗粒物、SO</w:t>
                  </w:r>
                  <w:r>
                    <w:rPr>
                      <w:rFonts w:hint="default" w:ascii="Times New Roman" w:hAnsi="Times New Roman" w:cs="Times New Roman"/>
                      <w:snapToGrid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、NO</w:t>
                  </w:r>
                  <w:r>
                    <w:rPr>
                      <w:rFonts w:hint="default" w:ascii="Times New Roman" w:hAnsi="Times New Roman" w:cs="Times New Roman"/>
                      <w:snapToGrid w:val="0"/>
                      <w:color w:val="000000" w:themeColor="text1"/>
                      <w:sz w:val="21"/>
                      <w:szCs w:val="21"/>
                      <w:vertAlign w:val="subscript"/>
                      <w:lang w:val="en-US" w:eastAsia="zh-CN"/>
                      <w14:textFill>
                        <w14:solidFill>
                          <w14:schemeClr w14:val="tx1"/>
                        </w14:solidFill>
                      </w14:textFill>
                    </w:rPr>
                    <w:t>X</w:t>
                  </w: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、林格曼黑度</w:t>
                  </w:r>
                </w:p>
              </w:tc>
              <w:tc>
                <w:tcPr>
                  <w:tcW w:w="2475" w:type="dxa"/>
                  <w:noWrap w:val="0"/>
                  <w:vAlign w:val="center"/>
                </w:tcPr>
                <w:p w14:paraId="4BD1A07F">
                  <w:pPr>
                    <w:pStyle w:val="239"/>
                    <w:adjustRightInd w:val="0"/>
                    <w:snapToGrid w:val="0"/>
                    <w:spacing w:line="240" w:lineRule="exact"/>
                    <w:ind w:left="105" w:leftChars="5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低氮燃烧+排气筒DA001</w:t>
                  </w:r>
                </w:p>
              </w:tc>
            </w:tr>
            <w:tr w14:paraId="23B12B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998" w:type="dxa"/>
                  <w:noWrap w:val="0"/>
                  <w:vAlign w:val="center"/>
                </w:tcPr>
                <w:p w14:paraId="129EF596">
                  <w:pPr>
                    <w:pStyle w:val="239"/>
                    <w:adjustRightInd w:val="0"/>
                    <w:snapToGrid w:val="0"/>
                    <w:spacing w:line="240" w:lineRule="exact"/>
                    <w:jc w:val="center"/>
                    <w:rPr>
                      <w:rFonts w:hint="default" w:ascii="Times New Roman" w:hAnsi="Times New Roman" w:cs="Times New Roman"/>
                      <w:snapToGrid w:val="0"/>
                      <w:color w:val="000000" w:themeColor="text1"/>
                      <w:sz w:val="21"/>
                      <w:szCs w:val="21"/>
                      <w:lang w:val="en-US"/>
                      <w14:textFill>
                        <w14:solidFill>
                          <w14:schemeClr w14:val="tx1"/>
                        </w14:solidFill>
                      </w14:textFill>
                    </w:rPr>
                  </w:pPr>
                  <w:r>
                    <w:rPr>
                      <w:rFonts w:hint="default" w:ascii="Times New Roman" w:hAnsi="Times New Roman" w:cs="Times New Roman"/>
                      <w:snapToGrid w:val="0"/>
                      <w:color w:val="000000" w:themeColor="text1"/>
                      <w:sz w:val="21"/>
                      <w:szCs w:val="21"/>
                      <w:lang w:val="en-US"/>
                      <w14:textFill>
                        <w14:solidFill>
                          <w14:schemeClr w14:val="tx1"/>
                        </w14:solidFill>
                      </w14:textFill>
                    </w:rPr>
                    <w:t>废水</w:t>
                  </w:r>
                </w:p>
              </w:tc>
              <w:tc>
                <w:tcPr>
                  <w:tcW w:w="1321" w:type="dxa"/>
                  <w:shd w:val="clear" w:color="auto" w:fill="auto"/>
                  <w:noWrap w:val="0"/>
                  <w:vAlign w:val="center"/>
                </w:tcPr>
                <w:p w14:paraId="348407AC">
                  <w:pPr>
                    <w:pStyle w:val="239"/>
                    <w:adjustRightInd w:val="0"/>
                    <w:snapToGrid w:val="0"/>
                    <w:spacing w:line="240" w:lineRule="exact"/>
                    <w:ind w:left="105" w:leftChars="5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bidi="ar-SA"/>
                      <w14:textFill>
                        <w14:solidFill>
                          <w14:schemeClr w14:val="tx1"/>
                        </w14:solidFill>
                      </w14:textFill>
                    </w:rPr>
                    <w:t>W1</w:t>
                  </w:r>
                  <w:r>
                    <w:rPr>
                      <w:rFonts w:hint="default" w:ascii="Times New Roman" w:hAnsi="Times New Roman" w:cs="Times New Roman"/>
                      <w:snapToGrid w:val="0"/>
                      <w:color w:val="000000" w:themeColor="text1"/>
                      <w:kern w:val="0"/>
                      <w:sz w:val="21"/>
                      <w:szCs w:val="21"/>
                      <w:highlight w:val="none"/>
                      <w:lang w:val="en-US" w:eastAsia="zh-CN" w:bidi="ar-SA"/>
                      <w14:textFill>
                        <w14:solidFill>
                          <w14:schemeClr w14:val="tx1"/>
                        </w14:solidFill>
                      </w14:textFill>
                    </w:rPr>
                    <w:t>锅炉废水</w:t>
                  </w:r>
                </w:p>
              </w:tc>
              <w:tc>
                <w:tcPr>
                  <w:tcW w:w="1512" w:type="dxa"/>
                  <w:shd w:val="clear" w:color="auto" w:fill="auto"/>
                  <w:noWrap w:val="0"/>
                  <w:vAlign w:val="center"/>
                </w:tcPr>
                <w:p w14:paraId="27380442">
                  <w:pPr>
                    <w:pStyle w:val="239"/>
                    <w:adjustRightInd w:val="0"/>
                    <w:snapToGrid w:val="0"/>
                    <w:spacing w:line="240" w:lineRule="exact"/>
                    <w:ind w:left="105" w:leftChars="5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z w:val="21"/>
                      <w:szCs w:val="21"/>
                      <w:highlight w:val="none"/>
                      <w:lang w:val="en-US" w:eastAsia="zh-CN"/>
                      <w14:textFill>
                        <w14:solidFill>
                          <w14:schemeClr w14:val="tx1"/>
                        </w14:solidFill>
                      </w14:textFill>
                    </w:rPr>
                    <w:t>天然气锅炉</w:t>
                  </w:r>
                </w:p>
              </w:tc>
              <w:tc>
                <w:tcPr>
                  <w:tcW w:w="1966" w:type="dxa"/>
                  <w:shd w:val="clear" w:color="auto" w:fill="auto"/>
                  <w:noWrap w:val="0"/>
                  <w:vAlign w:val="center"/>
                </w:tcPr>
                <w:p w14:paraId="427FEA6F">
                  <w:pPr>
                    <w:pStyle w:val="239"/>
                    <w:adjustRightInd w:val="0"/>
                    <w:snapToGrid w:val="0"/>
                    <w:spacing w:line="240" w:lineRule="exact"/>
                    <w:ind w:left="105" w:leftChars="5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z w:val="21"/>
                      <w:szCs w:val="21"/>
                      <w:highlight w:val="none"/>
                      <w:lang w:val="en-US" w:eastAsia="zh-CN"/>
                      <w14:textFill>
                        <w14:solidFill>
                          <w14:schemeClr w14:val="tx1"/>
                        </w14:solidFill>
                      </w14:textFill>
                    </w:rPr>
                    <w:t>COD</w:t>
                  </w: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、SS</w:t>
                  </w:r>
                </w:p>
              </w:tc>
              <w:tc>
                <w:tcPr>
                  <w:tcW w:w="2475" w:type="dxa"/>
                  <w:noWrap w:val="0"/>
                  <w:vAlign w:val="center"/>
                </w:tcPr>
                <w:p w14:paraId="55EC0740">
                  <w:pPr>
                    <w:pStyle w:val="239"/>
                    <w:adjustRightInd w:val="0"/>
                    <w:snapToGrid w:val="0"/>
                    <w:spacing w:line="240" w:lineRule="exact"/>
                    <w:ind w:left="105" w:leftChars="50"/>
                    <w:jc w:val="center"/>
                    <w:rPr>
                      <w:rFonts w:hint="default"/>
                      <w:color w:val="000000" w:themeColor="text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接管至</w:t>
                  </w:r>
                  <w:r>
                    <w:rPr>
                      <w:rFonts w:hint="eastAsia" w:ascii="Times New Roman" w:hAnsi="Times New Roman" w:cs="Times New Roman"/>
                      <w:bCs/>
                      <w:color w:val="000000" w:themeColor="text1"/>
                      <w14:textFill>
                        <w14:solidFill>
                          <w14:schemeClr w14:val="tx1"/>
                        </w14:solidFill>
                      </w14:textFill>
                    </w:rPr>
                    <w:t>南通</w:t>
                  </w:r>
                  <w:r>
                    <w:rPr>
                      <w:rFonts w:hint="eastAsia" w:ascii="Times New Roman" w:hAnsi="Times New Roman" w:cs="Times New Roman"/>
                      <w:bCs/>
                      <w:color w:val="000000" w:themeColor="text1"/>
                      <w:lang w:val="en-US" w:eastAsia="zh-CN"/>
                      <w14:textFill>
                        <w14:solidFill>
                          <w14:schemeClr w14:val="tx1"/>
                        </w14:solidFill>
                      </w14:textFill>
                    </w:rPr>
                    <w:t>海门东洲水处理</w:t>
                  </w:r>
                  <w:r>
                    <w:rPr>
                      <w:rFonts w:hint="eastAsia" w:ascii="Times New Roman" w:hAnsi="Times New Roman" w:cs="Times New Roman"/>
                      <w:bCs/>
                      <w:color w:val="000000" w:themeColor="text1"/>
                      <w14:textFill>
                        <w14:solidFill>
                          <w14:schemeClr w14:val="tx1"/>
                        </w14:solidFill>
                      </w14:textFill>
                    </w:rPr>
                    <w:t>有限公司</w:t>
                  </w:r>
                </w:p>
              </w:tc>
            </w:tr>
            <w:tr w14:paraId="51E149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noWrap w:val="0"/>
                  <w:vAlign w:val="center"/>
                </w:tcPr>
                <w:p w14:paraId="77939AC1">
                  <w:pPr>
                    <w:pStyle w:val="239"/>
                    <w:adjustRightInd w:val="0"/>
                    <w:snapToGrid w:val="0"/>
                    <w:spacing w:line="240" w:lineRule="exact"/>
                    <w:jc w:val="center"/>
                    <w:rPr>
                      <w:rFonts w:hint="default" w:ascii="Times New Roman" w:hAnsi="Times New Roman" w:cs="Times New Roman"/>
                      <w:snapToGrid w:val="0"/>
                      <w:color w:val="000000" w:themeColor="text1"/>
                      <w:sz w:val="21"/>
                      <w:szCs w:val="21"/>
                      <w:lang w:val="en-US"/>
                      <w14:textFill>
                        <w14:solidFill>
                          <w14:schemeClr w14:val="tx1"/>
                        </w14:solidFill>
                      </w14:textFill>
                    </w:rPr>
                  </w:pPr>
                  <w:r>
                    <w:rPr>
                      <w:rFonts w:hint="default" w:ascii="Times New Roman" w:hAnsi="Times New Roman" w:cs="Times New Roman"/>
                      <w:snapToGrid w:val="0"/>
                      <w:color w:val="000000" w:themeColor="text1"/>
                      <w:sz w:val="21"/>
                      <w:szCs w:val="21"/>
                      <w:lang w:val="en-US"/>
                      <w14:textFill>
                        <w14:solidFill>
                          <w14:schemeClr w14:val="tx1"/>
                        </w14:solidFill>
                      </w14:textFill>
                    </w:rPr>
                    <w:t>噪声</w:t>
                  </w:r>
                </w:p>
              </w:tc>
              <w:tc>
                <w:tcPr>
                  <w:tcW w:w="1321" w:type="dxa"/>
                  <w:noWrap w:val="0"/>
                  <w:vAlign w:val="center"/>
                </w:tcPr>
                <w:p w14:paraId="57DFABEE">
                  <w:pPr>
                    <w:pStyle w:val="239"/>
                    <w:adjustRightInd w:val="0"/>
                    <w:snapToGrid w:val="0"/>
                    <w:spacing w:line="240" w:lineRule="exact"/>
                    <w:ind w:left="105" w:leftChars="5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1512" w:type="dxa"/>
                  <w:noWrap w:val="0"/>
                  <w:vAlign w:val="center"/>
                </w:tcPr>
                <w:p w14:paraId="3287AF44">
                  <w:pPr>
                    <w:pStyle w:val="239"/>
                    <w:adjustRightInd w:val="0"/>
                    <w:snapToGrid w:val="0"/>
                    <w:spacing w:line="240" w:lineRule="exact"/>
                    <w:ind w:left="105" w:leftChars="50"/>
                    <w:jc w:val="center"/>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生产设备运行</w:t>
                  </w:r>
                </w:p>
              </w:tc>
              <w:tc>
                <w:tcPr>
                  <w:tcW w:w="1966" w:type="dxa"/>
                  <w:noWrap w:val="0"/>
                  <w:vAlign w:val="center"/>
                </w:tcPr>
                <w:p w14:paraId="6C5D1183">
                  <w:pPr>
                    <w:pStyle w:val="239"/>
                    <w:adjustRightInd w:val="0"/>
                    <w:snapToGrid w:val="0"/>
                    <w:spacing w:line="240" w:lineRule="exact"/>
                    <w:ind w:left="105" w:leftChars="50"/>
                    <w:jc w:val="center"/>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噪声</w:t>
                  </w:r>
                </w:p>
              </w:tc>
              <w:tc>
                <w:tcPr>
                  <w:tcW w:w="2475" w:type="dxa"/>
                  <w:noWrap w:val="0"/>
                  <w:vAlign w:val="center"/>
                </w:tcPr>
                <w:p w14:paraId="3A690D2A">
                  <w:pPr>
                    <w:pStyle w:val="239"/>
                    <w:adjustRightInd w:val="0"/>
                    <w:snapToGrid w:val="0"/>
                    <w:spacing w:line="240" w:lineRule="exact"/>
                    <w:ind w:left="105" w:leftChars="50"/>
                    <w:jc w:val="center"/>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减振、降噪</w:t>
                  </w:r>
                </w:p>
              </w:tc>
            </w:tr>
          </w:tbl>
          <w:p w14:paraId="536BE335">
            <w:pPr>
              <w:spacing w:line="360" w:lineRule="auto"/>
              <w:ind w:firstLine="420" w:firstLineChars="200"/>
              <w:rPr>
                <w:rFonts w:hint="default" w:ascii="Times New Roman" w:hAnsi="Times New Roman" w:cs="Times New Roman"/>
                <w:bCs/>
                <w:color w:val="000000" w:themeColor="text1"/>
                <w:sz w:val="21"/>
                <w:szCs w:val="21"/>
                <w14:textFill>
                  <w14:solidFill>
                    <w14:schemeClr w14:val="tx1"/>
                  </w14:solidFill>
                </w14:textFill>
              </w:rPr>
            </w:pPr>
          </w:p>
        </w:tc>
      </w:tr>
      <w:tr w14:paraId="43CF6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1" w:hRule="atLeast"/>
          <w:jc w:val="center"/>
        </w:trPr>
        <w:tc>
          <w:tcPr>
            <w:tcW w:w="412" w:type="dxa"/>
            <w:noWrap w:val="0"/>
            <w:vAlign w:val="center"/>
          </w:tcPr>
          <w:p w14:paraId="7CB805C0">
            <w:pPr>
              <w:pStyle w:val="37"/>
              <w:adjustRightInd w:val="0"/>
              <w:snapToGrid w:val="0"/>
              <w:spacing w:before="0" w:beforeAutospacing="0" w:after="0" w:afterAutospacing="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2"/>
                <w:sz w:val="21"/>
                <w:szCs w:val="21"/>
                <w:lang w:val="en-US" w:eastAsia="zh-CN"/>
                <w14:textFill>
                  <w14:solidFill>
                    <w14:schemeClr w14:val="tx1"/>
                  </w14:solidFill>
                </w14:textFill>
              </w:rPr>
              <w:t>与项目有关的原有环境污染问题</w:t>
            </w:r>
          </w:p>
        </w:tc>
        <w:tc>
          <w:tcPr>
            <w:tcW w:w="8648" w:type="dxa"/>
            <w:noWrap w:val="0"/>
            <w:vAlign w:val="top"/>
          </w:tcPr>
          <w:p w14:paraId="16E9C9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1、新厂区现有项目环保手续履行概况</w:t>
            </w:r>
          </w:p>
          <w:p w14:paraId="0FDF56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南通之禾时装有限公司</w:t>
            </w:r>
            <w:r>
              <w:rPr>
                <w:rFonts w:hint="eastAsia" w:ascii="Times New Roman" w:hAnsi="Times New Roman" w:cs="Times New Roman"/>
                <w:color w:val="000000" w:themeColor="text1"/>
                <w:sz w:val="21"/>
                <w:szCs w:val="21"/>
                <w:lang w:val="en-US" w:eastAsia="zh-CN"/>
                <w14:textFill>
                  <w14:solidFill>
                    <w14:schemeClr w14:val="tx1"/>
                  </w14:solidFill>
                </w14:textFill>
              </w:rPr>
              <w:t>（新厂区）现有</w:t>
            </w: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eastAsia" w:ascii="Times New Roman" w:hAnsi="Times New Roman" w:cs="Times New Roman"/>
                <w:color w:val="000000" w:themeColor="text1"/>
                <w:sz w:val="21"/>
                <w:szCs w:val="21"/>
                <w:lang w:val="en-US" w:eastAsia="zh-CN"/>
                <w14:textFill>
                  <w14:solidFill>
                    <w14:schemeClr w14:val="tx1"/>
                  </w14:solidFill>
                </w14:textFill>
              </w:rPr>
              <w:t>《南通之禾时装有限公司</w:t>
            </w:r>
            <w:r>
              <w:rPr>
                <w:rFonts w:hint="default" w:ascii="Times New Roman" w:hAnsi="Times New Roman" w:cs="Times New Roman"/>
                <w:color w:val="000000" w:themeColor="text1"/>
                <w:sz w:val="21"/>
                <w:szCs w:val="21"/>
                <w:lang w:val="en-US" w:eastAsia="zh-CN"/>
                <w14:textFill>
                  <w14:solidFill>
                    <w14:schemeClr w14:val="tx1"/>
                  </w14:solidFill>
                </w14:textFill>
              </w:rPr>
              <w:t>生产时装新建项目</w:t>
            </w:r>
            <w:r>
              <w:rPr>
                <w:rFonts w:hint="eastAsia" w:ascii="Times New Roman" w:hAnsi="Times New Roman" w:cs="Times New Roman"/>
                <w:color w:val="000000" w:themeColor="text1"/>
                <w:sz w:val="21"/>
                <w:szCs w:val="21"/>
                <w:lang w:val="en-US" w:eastAsia="zh-CN"/>
                <w14:textFill>
                  <w14:solidFill>
                    <w14:schemeClr w14:val="tx1"/>
                  </w14:solidFill>
                </w14:textFill>
              </w:rPr>
              <w:t>》（项目代码：2101-320684-89-01-881363）</w:t>
            </w:r>
            <w:r>
              <w:rPr>
                <w:rFonts w:hint="default" w:ascii="Times New Roman" w:hAnsi="Times New Roman" w:cs="Times New Roman"/>
                <w:color w:val="000000" w:themeColor="text1"/>
                <w:sz w:val="21"/>
                <w:szCs w:val="21"/>
                <w:lang w:val="en-US" w:eastAsia="zh-CN"/>
                <w14:textFill>
                  <w14:solidFill>
                    <w14:schemeClr w14:val="tx1"/>
                  </w14:solidFill>
                </w14:textFill>
              </w:rPr>
              <w:t>土地面积15243平方米，</w:t>
            </w:r>
            <w:r>
              <w:rPr>
                <w:rFonts w:hint="eastAsia" w:ascii="Times New Roman" w:hAnsi="Times New Roman" w:cs="Times New Roman"/>
                <w:color w:val="000000" w:themeColor="text1"/>
                <w:sz w:val="21"/>
                <w:szCs w:val="21"/>
                <w:lang w:val="en-US" w:eastAsia="zh-CN"/>
                <w14:textFill>
                  <w14:solidFill>
                    <w14:schemeClr w14:val="tx1"/>
                  </w14:solidFill>
                </w14:textFill>
              </w:rPr>
              <w:t>投资4亿元人民币，</w:t>
            </w:r>
            <w:r>
              <w:rPr>
                <w:rFonts w:hint="default" w:ascii="Times New Roman" w:hAnsi="Times New Roman" w:cs="Times New Roman"/>
                <w:color w:val="000000" w:themeColor="text1"/>
                <w:sz w:val="21"/>
                <w:szCs w:val="21"/>
                <w:lang w:val="en-US" w:eastAsia="zh-CN"/>
                <w14:textFill>
                  <w14:solidFill>
                    <w14:schemeClr w14:val="tx1"/>
                  </w14:solidFill>
                </w14:textFill>
              </w:rPr>
              <w:t>新建</w:t>
            </w:r>
            <w:r>
              <w:rPr>
                <w:rFonts w:hint="eastAsia" w:ascii="Times New Roman" w:hAnsi="Times New Roman" w:cs="Times New Roman"/>
                <w:color w:val="000000" w:themeColor="text1"/>
                <w:sz w:val="21"/>
                <w:szCs w:val="21"/>
                <w:lang w:val="en-US" w:eastAsia="zh-CN"/>
                <w14:textFill>
                  <w14:solidFill>
                    <w14:schemeClr w14:val="tx1"/>
                  </w14:solidFill>
                </w14:textFill>
              </w:rPr>
              <w:t>厂房</w:t>
            </w:r>
            <w:r>
              <w:rPr>
                <w:rFonts w:hint="default" w:ascii="Times New Roman" w:hAnsi="Times New Roman" w:cs="Times New Roman"/>
                <w:color w:val="000000" w:themeColor="text1"/>
                <w:sz w:val="21"/>
                <w:szCs w:val="21"/>
                <w:lang w:val="en-US" w:eastAsia="zh-CN"/>
                <w14:textFill>
                  <w14:solidFill>
                    <w14:schemeClr w14:val="tx1"/>
                  </w14:solidFill>
                </w14:textFill>
              </w:rPr>
              <w:t>建筑面积约64000平方米</w:t>
            </w:r>
            <w:r>
              <w:rPr>
                <w:rFonts w:hint="eastAsia" w:ascii="Times New Roman" w:hAnsi="Times New Roman" w:cs="Times New Roman"/>
                <w:color w:val="000000" w:themeColor="text1"/>
                <w:sz w:val="21"/>
                <w:szCs w:val="21"/>
                <w:lang w:val="en-US" w:eastAsia="zh-CN"/>
                <w14:textFill>
                  <w14:solidFill>
                    <w14:schemeClr w14:val="tx1"/>
                  </w14:solidFill>
                </w14:textFill>
              </w:rPr>
              <w:t>，项目用地投资强度1000万元/亩，拟购置设备平车、双针车等进行服装项目生产，主要生产工艺为验布、预缩、裁剪、缝制、检验、整烫、包装入库等，待项目全面达产后，在本区年应税销售额达到2亿元，年纳税总额2000万元。</w:t>
            </w:r>
          </w:p>
          <w:p w14:paraId="0E5556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根据建设项目环境影响评价分类管理名录（2021年版），十五、纺织服装、服饰业18，</w:t>
            </w:r>
            <w:r>
              <w:rPr>
                <w:rFonts w:hint="eastAsia" w:ascii="Times New Roman" w:hAnsi="Times New Roman" w:cs="Times New Roman"/>
                <w:color w:val="000000" w:themeColor="text1"/>
                <w:sz w:val="21"/>
                <w:szCs w:val="21"/>
                <w:lang w:val="en-US" w:eastAsia="zh-CN"/>
                <w14:textFill>
                  <w14:solidFill>
                    <w14:schemeClr w14:val="tx1"/>
                  </w14:solidFill>
                </w14:textFill>
              </w:rPr>
              <w:t>现</w:t>
            </w:r>
            <w:r>
              <w:rPr>
                <w:rFonts w:hint="default" w:ascii="Times New Roman" w:hAnsi="Times New Roman" w:cs="Times New Roman"/>
                <w:color w:val="000000" w:themeColor="text1"/>
                <w:sz w:val="21"/>
                <w:szCs w:val="21"/>
                <w:lang w:val="en-US" w:eastAsia="zh-CN"/>
                <w14:textFill>
                  <w14:solidFill>
                    <w14:schemeClr w14:val="tx1"/>
                  </w14:solidFill>
                </w14:textFill>
              </w:rPr>
              <w:t>有项目不涉及染色、印花、喷墨印花、数码印花、洗水及砂洗工序，无需编制建设项目环境影响报告书、环境影响报告表或者填报环境影响登记表，无需</w:t>
            </w:r>
            <w:r>
              <w:rPr>
                <w:rFonts w:hint="eastAsia" w:ascii="Times New Roman" w:hAnsi="Times New Roman" w:cs="Times New Roman"/>
                <w:color w:val="000000" w:themeColor="text1"/>
                <w:sz w:val="21"/>
                <w:szCs w:val="21"/>
                <w:lang w:val="en-US" w:eastAsia="zh-CN"/>
                <w14:textFill>
                  <w14:solidFill>
                    <w14:schemeClr w14:val="tx1"/>
                  </w14:solidFill>
                </w14:textFill>
              </w:rPr>
              <w:t>办理</w:t>
            </w:r>
            <w:r>
              <w:rPr>
                <w:rFonts w:hint="default" w:ascii="Times New Roman" w:hAnsi="Times New Roman" w:cs="Times New Roman"/>
                <w:color w:val="000000" w:themeColor="text1"/>
                <w:sz w:val="21"/>
                <w:szCs w:val="21"/>
                <w:lang w:val="en-US" w:eastAsia="zh-CN"/>
                <w14:textFill>
                  <w14:solidFill>
                    <w14:schemeClr w14:val="tx1"/>
                  </w14:solidFill>
                </w14:textFill>
              </w:rPr>
              <w:t>环境影响评价、竣工环保验收、排污许可证申领手续</w:t>
            </w:r>
            <w:r>
              <w:rPr>
                <w:rFonts w:hint="eastAsia" w:ascii="Times New Roman" w:hAnsi="Times New Roman" w:cs="Times New Roman"/>
                <w:color w:val="000000" w:themeColor="text1"/>
                <w:sz w:val="21"/>
                <w:szCs w:val="21"/>
                <w:lang w:val="en-US" w:eastAsia="zh-CN"/>
                <w14:textFill>
                  <w14:solidFill>
                    <w14:schemeClr w14:val="tx1"/>
                  </w14:solidFill>
                </w14:textFill>
              </w:rPr>
              <w:t>。现有项目建成后尚未投入生产，</w:t>
            </w:r>
            <w:r>
              <w:rPr>
                <w:rFonts w:hint="default" w:ascii="Times New Roman" w:hAnsi="Times New Roman" w:cs="Times New Roman"/>
                <w:color w:val="000000" w:themeColor="text1"/>
                <w:sz w:val="21"/>
                <w:szCs w:val="21"/>
                <w:lang w:val="en-US" w:eastAsia="zh-CN"/>
                <w14:textFill>
                  <w14:solidFill>
                    <w14:schemeClr w14:val="tx1"/>
                  </w14:solidFill>
                </w14:textFill>
              </w:rPr>
              <w:t>无现有项目环境问题。</w:t>
            </w:r>
          </w:p>
          <w:p w14:paraId="03C49F18">
            <w:pPr>
              <w:pStyle w:val="4"/>
              <w:pageBreakBefore w:val="0"/>
              <w:widowControl w:val="0"/>
              <w:kinsoku/>
              <w:wordWrap/>
              <w:overflowPunct/>
              <w:topLinePunct w:val="0"/>
              <w:autoSpaceDE/>
              <w:autoSpaceDN/>
              <w:bidi w:val="0"/>
              <w:adjustRightInd/>
              <w:snapToGrid/>
              <w:spacing w:before="0" w:after="0" w:line="360" w:lineRule="auto"/>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新厂区</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现有项目总量控制指标</w:t>
            </w:r>
          </w:p>
          <w:p w14:paraId="2031D2DD">
            <w:pPr>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9</w:t>
            </w:r>
            <w:r>
              <w:rPr>
                <w:rFonts w:hint="default" w:ascii="Times New Roman" w:hAnsi="Times New Roman" w:cs="Times New Roman"/>
                <w:b/>
                <w:bCs/>
                <w:color w:val="000000" w:themeColor="text1"/>
                <w:szCs w:val="21"/>
                <w14:textFill>
                  <w14:solidFill>
                    <w14:schemeClr w14:val="tx1"/>
                  </w14:solidFill>
                </w14:textFill>
              </w:rPr>
              <w:t xml:space="preserve">  </w:t>
            </w:r>
            <w:r>
              <w:rPr>
                <w:rFonts w:hint="default" w:ascii="Times New Roman" w:hAnsi="Times New Roman" w:cs="Times New Roman"/>
                <w:b/>
                <w:color w:val="000000" w:themeColor="text1"/>
                <w:szCs w:val="21"/>
                <w:lang w:val="en-US" w:eastAsia="zh-CN"/>
                <w14:textFill>
                  <w14:solidFill>
                    <w14:schemeClr w14:val="tx1"/>
                  </w14:solidFill>
                </w14:textFill>
              </w:rPr>
              <w:t>现有</w:t>
            </w:r>
            <w:r>
              <w:rPr>
                <w:rFonts w:hint="default" w:ascii="Times New Roman" w:hAnsi="Times New Roman" w:cs="Times New Roman"/>
                <w:b/>
                <w:color w:val="000000" w:themeColor="text1"/>
                <w:szCs w:val="21"/>
                <w14:textFill>
                  <w14:solidFill>
                    <w14:schemeClr w14:val="tx1"/>
                  </w14:solidFill>
                </w14:textFill>
              </w:rPr>
              <w:t>项目污染物产生、削减和排放</w:t>
            </w:r>
            <w:r>
              <w:rPr>
                <w:rFonts w:hint="default" w:ascii="Times New Roman" w:hAnsi="Times New Roman" w:cs="Times New Roman"/>
                <w:b/>
                <w:color w:val="000000" w:themeColor="text1"/>
                <w:szCs w:val="21"/>
                <w:lang w:val="en-US" w:eastAsia="zh-CN"/>
                <w14:textFill>
                  <w14:solidFill>
                    <w14:schemeClr w14:val="tx1"/>
                  </w14:solidFill>
                </w14:textFill>
              </w:rPr>
              <w:t>情况一览表</w:t>
            </w:r>
            <w:r>
              <w:rPr>
                <w:rFonts w:hint="default" w:ascii="Times New Roman" w:hAnsi="Times New Roman" w:cs="Times New Roman"/>
                <w:b/>
                <w:bCs/>
                <w:color w:val="000000" w:themeColor="text1"/>
                <w:szCs w:val="21"/>
                <w14:textFill>
                  <w14:solidFill>
                    <w14:schemeClr w14:val="tx1"/>
                  </w14:solidFill>
                </w14:textFill>
              </w:rPr>
              <w:t xml:space="preserve">  （单位：t/a）</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98"/>
              <w:gridCol w:w="1808"/>
              <w:gridCol w:w="1808"/>
              <w:gridCol w:w="1767"/>
            </w:tblGrid>
            <w:tr w14:paraId="081AA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45" w:type="pct"/>
                  <w:vMerge w:val="restart"/>
                  <w:noWrap w:val="0"/>
                  <w:vAlign w:val="center"/>
                </w:tcPr>
                <w:p w14:paraId="273803CF">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种类</w:t>
                  </w:r>
                </w:p>
              </w:tc>
              <w:tc>
                <w:tcPr>
                  <w:tcW w:w="1362" w:type="pct"/>
                  <w:vMerge w:val="restart"/>
                  <w:noWrap w:val="0"/>
                  <w:vAlign w:val="center"/>
                </w:tcPr>
                <w:p w14:paraId="76A76F13">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污染物名称</w:t>
                  </w:r>
                </w:p>
              </w:tc>
              <w:tc>
                <w:tcPr>
                  <w:tcW w:w="3192" w:type="pct"/>
                  <w:gridSpan w:val="3"/>
                  <w:noWrap w:val="0"/>
                  <w:vAlign w:val="center"/>
                </w:tcPr>
                <w:p w14:paraId="603CF512">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hAnsi="Times New Roman" w:cs="Times New Roman"/>
                      <w:b/>
                      <w:bCs/>
                      <w:color w:val="000000" w:themeColor="text1"/>
                      <w:sz w:val="21"/>
                      <w:szCs w:val="21"/>
                      <w:lang w:val="en-US" w:eastAsia="zh-CN"/>
                      <w14:textFill>
                        <w14:solidFill>
                          <w14:schemeClr w14:val="tx1"/>
                        </w14:solidFill>
                      </w14:textFill>
                    </w:rPr>
                    <w:t>现有</w:t>
                  </w:r>
                  <w:r>
                    <w:rPr>
                      <w:rFonts w:hint="default" w:ascii="Times New Roman" w:hAnsi="Times New Roman" w:cs="Times New Roman"/>
                      <w:b/>
                      <w:bCs/>
                      <w:color w:val="000000" w:themeColor="text1"/>
                      <w:sz w:val="21"/>
                      <w:szCs w:val="21"/>
                      <w:lang w:val="en-US" w:eastAsia="zh-CN"/>
                      <w14:textFill>
                        <w14:solidFill>
                          <w14:schemeClr w14:val="tx1"/>
                        </w14:solidFill>
                      </w14:textFill>
                    </w:rPr>
                    <w:t>项目</w:t>
                  </w:r>
                </w:p>
              </w:tc>
            </w:tr>
            <w:tr w14:paraId="71BC5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45" w:type="pct"/>
                  <w:vMerge w:val="continue"/>
                  <w:noWrap w:val="0"/>
                  <w:vAlign w:val="center"/>
                </w:tcPr>
                <w:p w14:paraId="0F24D7C0">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62" w:type="pct"/>
                  <w:vMerge w:val="continue"/>
                  <w:noWrap w:val="0"/>
                  <w:vAlign w:val="center"/>
                </w:tcPr>
                <w:p w14:paraId="1988E3DB">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72" w:type="pct"/>
                  <w:noWrap w:val="0"/>
                  <w:vAlign w:val="center"/>
                </w:tcPr>
                <w:p w14:paraId="51A5ED8C">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产生量</w:t>
                  </w:r>
                </w:p>
              </w:tc>
              <w:tc>
                <w:tcPr>
                  <w:tcW w:w="1072" w:type="pct"/>
                  <w:noWrap w:val="0"/>
                  <w:vAlign w:val="center"/>
                </w:tcPr>
                <w:p w14:paraId="376A85A5">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消减量</w:t>
                  </w:r>
                </w:p>
              </w:tc>
              <w:tc>
                <w:tcPr>
                  <w:tcW w:w="1047" w:type="pct"/>
                  <w:noWrap w:val="0"/>
                  <w:vAlign w:val="center"/>
                </w:tcPr>
                <w:p w14:paraId="0EC490D7">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排放量</w:t>
                  </w:r>
                </w:p>
              </w:tc>
            </w:tr>
            <w:tr w14:paraId="53757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restart"/>
                  <w:noWrap w:val="0"/>
                  <w:vAlign w:val="center"/>
                </w:tcPr>
                <w:p w14:paraId="258D1138">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1362" w:type="pct"/>
                  <w:noWrap w:val="0"/>
                  <w:vAlign w:val="center"/>
                </w:tcPr>
                <w:p w14:paraId="02D99150">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排放量</w:t>
                  </w:r>
                </w:p>
              </w:tc>
              <w:tc>
                <w:tcPr>
                  <w:tcW w:w="1072" w:type="pct"/>
                  <w:noWrap w:val="0"/>
                  <w:vAlign w:val="center"/>
                </w:tcPr>
                <w:p w14:paraId="207C59F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15292</w:t>
                  </w:r>
                </w:p>
              </w:tc>
              <w:tc>
                <w:tcPr>
                  <w:tcW w:w="1072" w:type="pct"/>
                  <w:noWrap w:val="0"/>
                  <w:vAlign w:val="center"/>
                </w:tcPr>
                <w:p w14:paraId="10AC1CD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1047" w:type="pct"/>
                  <w:shd w:val="clear" w:color="auto" w:fill="auto"/>
                  <w:noWrap w:val="0"/>
                  <w:vAlign w:val="center"/>
                </w:tcPr>
                <w:p w14:paraId="27D5E2A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15292</w:t>
                  </w:r>
                </w:p>
              </w:tc>
            </w:tr>
            <w:tr w14:paraId="6AC05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continue"/>
                  <w:noWrap w:val="0"/>
                  <w:vAlign w:val="center"/>
                </w:tcPr>
                <w:p w14:paraId="33803698">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62" w:type="pct"/>
                  <w:noWrap w:val="0"/>
                  <w:vAlign w:val="center"/>
                </w:tcPr>
                <w:p w14:paraId="637CB51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1072" w:type="pct"/>
                  <w:shd w:val="clear" w:color="auto" w:fill="auto"/>
                  <w:noWrap w:val="0"/>
                  <w:vAlign w:val="center"/>
                </w:tcPr>
                <w:p w14:paraId="570C026E">
                  <w:pPr>
                    <w:autoSpaceDE w:val="0"/>
                    <w:snapToGrid w:val="0"/>
                    <w:spacing w:line="24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7.646</w:t>
                  </w:r>
                </w:p>
              </w:tc>
              <w:tc>
                <w:tcPr>
                  <w:tcW w:w="1072" w:type="pct"/>
                  <w:noWrap w:val="0"/>
                  <w:vAlign w:val="center"/>
                </w:tcPr>
                <w:p w14:paraId="542E391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2.2938</w:t>
                  </w:r>
                </w:p>
              </w:tc>
              <w:tc>
                <w:tcPr>
                  <w:tcW w:w="1047" w:type="pct"/>
                  <w:shd w:val="clear" w:color="auto" w:fill="auto"/>
                  <w:noWrap w:val="0"/>
                  <w:vAlign w:val="center"/>
                </w:tcPr>
                <w:p w14:paraId="171F7601">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5.3522</w:t>
                  </w:r>
                </w:p>
              </w:tc>
            </w:tr>
            <w:tr w14:paraId="35824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continue"/>
                  <w:noWrap w:val="0"/>
                  <w:vAlign w:val="center"/>
                </w:tcPr>
                <w:p w14:paraId="66157A2F">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62" w:type="pct"/>
                  <w:noWrap w:val="0"/>
                  <w:vAlign w:val="center"/>
                </w:tcPr>
                <w:p w14:paraId="6E7D9E2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SS</w:t>
                  </w:r>
                </w:p>
              </w:tc>
              <w:tc>
                <w:tcPr>
                  <w:tcW w:w="1072" w:type="pct"/>
                  <w:shd w:val="clear" w:color="auto" w:fill="auto"/>
                  <w:noWrap w:val="0"/>
                  <w:vAlign w:val="center"/>
                </w:tcPr>
                <w:p w14:paraId="3E2D3C17">
                  <w:pPr>
                    <w:autoSpaceDE w:val="0"/>
                    <w:snapToGrid w:val="0"/>
                    <w:spacing w:line="24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7.646</w:t>
                  </w:r>
                </w:p>
              </w:tc>
              <w:tc>
                <w:tcPr>
                  <w:tcW w:w="1072" w:type="pct"/>
                  <w:noWrap w:val="0"/>
                  <w:vAlign w:val="center"/>
                </w:tcPr>
                <w:p w14:paraId="6C18FCA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1.5292</w:t>
                  </w:r>
                </w:p>
              </w:tc>
              <w:tc>
                <w:tcPr>
                  <w:tcW w:w="1047" w:type="pct"/>
                  <w:shd w:val="clear" w:color="auto" w:fill="auto"/>
                  <w:noWrap w:val="0"/>
                  <w:vAlign w:val="center"/>
                </w:tcPr>
                <w:p w14:paraId="19F99F4A">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6.1168</w:t>
                  </w:r>
                </w:p>
              </w:tc>
            </w:tr>
            <w:tr w14:paraId="520CF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continue"/>
                  <w:noWrap w:val="0"/>
                  <w:vAlign w:val="center"/>
                </w:tcPr>
                <w:p w14:paraId="7F2E581D">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62" w:type="pct"/>
                  <w:noWrap w:val="0"/>
                  <w:vAlign w:val="center"/>
                </w:tcPr>
                <w:p w14:paraId="3B7409A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1072" w:type="pct"/>
                  <w:shd w:val="clear" w:color="auto" w:fill="auto"/>
                  <w:noWrap w:val="0"/>
                  <w:vAlign w:val="center"/>
                </w:tcPr>
                <w:p w14:paraId="5C1DEF95">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1072" w:type="pct"/>
                  <w:noWrap w:val="0"/>
                  <w:vAlign w:val="center"/>
                </w:tcPr>
                <w:p w14:paraId="4737D37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1047" w:type="pct"/>
                  <w:shd w:val="clear" w:color="auto" w:fill="auto"/>
                  <w:noWrap w:val="0"/>
                  <w:vAlign w:val="center"/>
                </w:tcPr>
                <w:p w14:paraId="5BE13A49">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r>
            <w:tr w14:paraId="436EB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continue"/>
                  <w:noWrap w:val="0"/>
                  <w:vAlign w:val="center"/>
                </w:tcPr>
                <w:p w14:paraId="09D99AA1">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62" w:type="pct"/>
                  <w:noWrap w:val="0"/>
                  <w:vAlign w:val="center"/>
                </w:tcPr>
                <w:p w14:paraId="57266FF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TP</w:t>
                  </w:r>
                </w:p>
              </w:tc>
              <w:tc>
                <w:tcPr>
                  <w:tcW w:w="1072" w:type="pct"/>
                  <w:shd w:val="clear" w:color="auto" w:fill="auto"/>
                  <w:noWrap w:val="0"/>
                  <w:vAlign w:val="center"/>
                </w:tcPr>
                <w:p w14:paraId="5308DE46">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p>
              </w:tc>
              <w:tc>
                <w:tcPr>
                  <w:tcW w:w="1072" w:type="pct"/>
                  <w:noWrap w:val="0"/>
                  <w:vAlign w:val="center"/>
                </w:tcPr>
                <w:p w14:paraId="42CF7EE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1047" w:type="pct"/>
                  <w:shd w:val="clear" w:color="auto" w:fill="auto"/>
                  <w:noWrap w:val="0"/>
                  <w:vAlign w:val="center"/>
                </w:tcPr>
                <w:p w14:paraId="496B0DEC">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p>
              </w:tc>
            </w:tr>
            <w:tr w14:paraId="5019C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continue"/>
                  <w:noWrap w:val="0"/>
                  <w:vAlign w:val="center"/>
                </w:tcPr>
                <w:p w14:paraId="50B37802">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62" w:type="pct"/>
                  <w:noWrap w:val="0"/>
                  <w:vAlign w:val="center"/>
                </w:tcPr>
                <w:p w14:paraId="4B7A3A3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TN</w:t>
                  </w:r>
                </w:p>
              </w:tc>
              <w:tc>
                <w:tcPr>
                  <w:tcW w:w="1072" w:type="pct"/>
                  <w:shd w:val="clear" w:color="auto" w:fill="auto"/>
                  <w:noWrap w:val="0"/>
                  <w:vAlign w:val="center"/>
                </w:tcPr>
                <w:p w14:paraId="3BB77947">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0.61168</w:t>
                  </w:r>
                </w:p>
              </w:tc>
              <w:tc>
                <w:tcPr>
                  <w:tcW w:w="1072" w:type="pct"/>
                  <w:noWrap w:val="0"/>
                  <w:vAlign w:val="center"/>
                </w:tcPr>
                <w:p w14:paraId="3325544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r>
                    <w:rPr>
                      <w:rFonts w:hint="eastAsia" w:ascii="Times New Roman" w:hAnsi="Times New Roman" w:cs="Times New Roman"/>
                      <w:bCs/>
                      <w:color w:val="000000" w:themeColor="text1"/>
                      <w:sz w:val="21"/>
                      <w:szCs w:val="21"/>
                      <w:lang w:val="en-US" w:eastAsia="zh-CN"/>
                      <w14:textFill>
                        <w14:solidFill>
                          <w14:schemeClr w14:val="tx1"/>
                        </w14:solidFill>
                      </w14:textFill>
                    </w:rPr>
                    <w:t>5292</w:t>
                  </w:r>
                </w:p>
              </w:tc>
              <w:tc>
                <w:tcPr>
                  <w:tcW w:w="1047" w:type="pct"/>
                  <w:shd w:val="clear" w:color="auto" w:fill="auto"/>
                  <w:noWrap w:val="0"/>
                  <w:vAlign w:val="center"/>
                </w:tcPr>
                <w:p w14:paraId="39AEF575">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r>
            <w:tr w14:paraId="44894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restart"/>
                  <w:noWrap w:val="0"/>
                  <w:vAlign w:val="center"/>
                </w:tcPr>
                <w:p w14:paraId="1F647F4B">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固废</w:t>
                  </w:r>
                </w:p>
              </w:tc>
              <w:tc>
                <w:tcPr>
                  <w:tcW w:w="1362" w:type="pct"/>
                  <w:noWrap w:val="0"/>
                  <w:vAlign w:val="center"/>
                </w:tcPr>
                <w:p w14:paraId="6716A47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边角料</w:t>
                  </w:r>
                </w:p>
              </w:tc>
              <w:tc>
                <w:tcPr>
                  <w:tcW w:w="1072" w:type="pct"/>
                  <w:noWrap w:val="0"/>
                  <w:vAlign w:val="center"/>
                </w:tcPr>
                <w:p w14:paraId="7D4947F8">
                  <w:pPr>
                    <w:adjustRightInd w:val="0"/>
                    <w:snapToGrid w:val="0"/>
                    <w:jc w:val="center"/>
                    <w:textAlignment w:val="baseline"/>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w:t>
                  </w:r>
                </w:p>
              </w:tc>
              <w:tc>
                <w:tcPr>
                  <w:tcW w:w="1072" w:type="pct"/>
                  <w:noWrap w:val="0"/>
                  <w:vAlign w:val="center"/>
                </w:tcPr>
                <w:p w14:paraId="536DD696">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w:t>
                  </w:r>
                </w:p>
              </w:tc>
              <w:tc>
                <w:tcPr>
                  <w:tcW w:w="1047" w:type="pct"/>
                  <w:noWrap w:val="0"/>
                  <w:vAlign w:val="center"/>
                </w:tcPr>
                <w:p w14:paraId="514DDB4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14:paraId="690BF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continue"/>
                  <w:noWrap w:val="0"/>
                  <w:vAlign w:val="center"/>
                </w:tcPr>
                <w:p w14:paraId="0921CAE3">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62" w:type="pct"/>
                  <w:noWrap w:val="0"/>
                  <w:vAlign w:val="center"/>
                </w:tcPr>
                <w:p w14:paraId="7449CEF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不合格品</w:t>
                  </w:r>
                </w:p>
              </w:tc>
              <w:tc>
                <w:tcPr>
                  <w:tcW w:w="1072" w:type="pct"/>
                  <w:noWrap w:val="0"/>
                  <w:vAlign w:val="center"/>
                </w:tcPr>
                <w:p w14:paraId="501610F3">
                  <w:pPr>
                    <w:adjustRightInd w:val="0"/>
                    <w:snapToGrid w:val="0"/>
                    <w:jc w:val="center"/>
                    <w:textAlignment w:val="baseline"/>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1072" w:type="pct"/>
                  <w:noWrap w:val="0"/>
                  <w:vAlign w:val="center"/>
                </w:tcPr>
                <w:p w14:paraId="38DAE081">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1047" w:type="pct"/>
                  <w:noWrap w:val="0"/>
                  <w:vAlign w:val="center"/>
                </w:tcPr>
                <w:p w14:paraId="18902BB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14:paraId="07B3F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45" w:type="pct"/>
                  <w:vMerge w:val="continue"/>
                  <w:noWrap w:val="0"/>
                  <w:vAlign w:val="center"/>
                </w:tcPr>
                <w:p w14:paraId="77942948">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62" w:type="pct"/>
                  <w:noWrap w:val="0"/>
                  <w:vAlign w:val="center"/>
                </w:tcPr>
                <w:p w14:paraId="092AD72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生活垃圾</w:t>
                  </w:r>
                </w:p>
              </w:tc>
              <w:tc>
                <w:tcPr>
                  <w:tcW w:w="1072" w:type="pct"/>
                  <w:noWrap w:val="0"/>
                  <w:vAlign w:val="center"/>
                </w:tcPr>
                <w:p w14:paraId="63721A00">
                  <w:pPr>
                    <w:adjustRightInd w:val="0"/>
                    <w:snapToGrid w:val="0"/>
                    <w:jc w:val="center"/>
                    <w:textAlignment w:val="baseline"/>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w:t>
                  </w:r>
                </w:p>
              </w:tc>
              <w:tc>
                <w:tcPr>
                  <w:tcW w:w="1072" w:type="pct"/>
                  <w:noWrap w:val="0"/>
                  <w:vAlign w:val="center"/>
                </w:tcPr>
                <w:p w14:paraId="69981EC8">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w:t>
                  </w:r>
                </w:p>
              </w:tc>
              <w:tc>
                <w:tcPr>
                  <w:tcW w:w="1047" w:type="pct"/>
                  <w:noWrap w:val="0"/>
                  <w:vAlign w:val="center"/>
                </w:tcPr>
                <w:p w14:paraId="2D943E1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r>
          </w:tbl>
          <w:p w14:paraId="037690AE">
            <w:pPr>
              <w:pStyle w:val="4"/>
              <w:pageBreakBefore w:val="0"/>
              <w:widowControl w:val="0"/>
              <w:kinsoku/>
              <w:wordWrap/>
              <w:overflowPunct/>
              <w:topLinePunct w:val="0"/>
              <w:autoSpaceDE/>
              <w:autoSpaceDN/>
              <w:bidi w:val="0"/>
              <w:adjustRightInd/>
              <w:snapToGrid/>
              <w:spacing w:before="0" w:after="0" w:line="360" w:lineRule="auto"/>
              <w:ind w:left="0" w:leftChars="0" w:firstLine="422"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新厂区</w:t>
            </w:r>
            <w:r>
              <w:rPr>
                <w:rFonts w:hint="default" w:ascii="Times New Roman" w:hAnsi="Times New Roman" w:cs="Times New Roman"/>
                <w:color w:val="000000" w:themeColor="text1"/>
                <w:sz w:val="21"/>
                <w:szCs w:val="21"/>
                <w:lang w:val="en-US" w:eastAsia="zh-CN"/>
                <w14:textFill>
                  <w14:solidFill>
                    <w14:schemeClr w14:val="tx1"/>
                  </w14:solidFill>
                </w14:textFill>
              </w:rPr>
              <w:t>现有</w:t>
            </w:r>
            <w:r>
              <w:rPr>
                <w:rFonts w:hint="default" w:ascii="Times New Roman" w:hAnsi="Times New Roman" w:cs="Times New Roman"/>
                <w:color w:val="000000" w:themeColor="text1"/>
                <w:sz w:val="21"/>
                <w:szCs w:val="21"/>
                <w14:textFill>
                  <w14:solidFill>
                    <w14:schemeClr w14:val="tx1"/>
                  </w14:solidFill>
                </w14:textFill>
              </w:rPr>
              <w:t>项目主要问题及整改措施</w:t>
            </w:r>
          </w:p>
          <w:p w14:paraId="3FF79927">
            <w:pPr>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0"/>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现有项目建成后尚未投入生产，无现有项目环境问题。</w:t>
            </w:r>
          </w:p>
          <w:p w14:paraId="1B42C31F">
            <w:pPr>
              <w:numPr>
                <w:ilvl w:val="0"/>
                <w:numId w:val="0"/>
              </w:numPr>
              <w:adjustRightInd w:val="0"/>
              <w:snapToGrid w:val="0"/>
              <w:spacing w:line="360" w:lineRule="auto"/>
              <w:ind w:firstLine="420" w:firstLineChars="200"/>
              <w:jc w:val="both"/>
              <w:rPr>
                <w:rFonts w:hint="default" w:ascii="Times New Roman" w:hAnsi="Times New Roman" w:cs="Times New Roman"/>
                <w:color w:val="000000" w:themeColor="text1"/>
                <w:sz w:val="21"/>
                <w:lang w:val="en-US" w:eastAsia="zh-CN"/>
                <w14:textFill>
                  <w14:solidFill>
                    <w14:schemeClr w14:val="tx1"/>
                  </w14:solidFill>
                </w14:textFill>
              </w:rPr>
            </w:pPr>
          </w:p>
        </w:tc>
      </w:tr>
    </w:tbl>
    <w:p w14:paraId="69D202D7">
      <w:pPr>
        <w:pStyle w:val="37"/>
        <w:jc w:val="both"/>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A036E10">
      <w:pPr>
        <w:pStyle w:val="37"/>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p>
    <w:p w14:paraId="218D93AC">
      <w:pPr>
        <w:pStyle w:val="37"/>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三、区域环境质量现状、环境保护目标及评价标准</w:t>
      </w:r>
    </w:p>
    <w:tbl>
      <w:tblPr>
        <w:tblStyle w:val="42"/>
        <w:tblW w:w="90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74"/>
      </w:tblGrid>
      <w:tr w14:paraId="43CF0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08" w:hRule="atLeast"/>
          <w:jc w:val="center"/>
        </w:trPr>
        <w:tc>
          <w:tcPr>
            <w:tcW w:w="424" w:type="dxa"/>
            <w:noWrap w:val="0"/>
            <w:vAlign w:val="center"/>
          </w:tcPr>
          <w:p w14:paraId="600C84E8">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区域</w:t>
            </w:r>
          </w:p>
          <w:p w14:paraId="3117BE70">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环境</w:t>
            </w:r>
          </w:p>
          <w:p w14:paraId="01C6B53A">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质量</w:t>
            </w:r>
          </w:p>
          <w:p w14:paraId="60AE0083">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现状</w:t>
            </w:r>
          </w:p>
        </w:tc>
        <w:tc>
          <w:tcPr>
            <w:tcW w:w="8674" w:type="dxa"/>
            <w:noWrap w:val="0"/>
            <w:vAlign w:val="center"/>
          </w:tcPr>
          <w:p w14:paraId="54829A3C">
            <w:pPr>
              <w:pStyle w:val="4"/>
              <w:spacing w:before="0" w:after="0" w:line="360" w:lineRule="auto"/>
              <w:ind w:left="420" w:left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1、大气环境</w:t>
            </w:r>
          </w:p>
          <w:p w14:paraId="22CA53E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根据《环境影响评价技术导则 大气环境》（HJ2.2-2018），项目所在区域达标情况判定优先采用国家或地方生态环境主管部门公开发布的环境质量公告或环境质量报告中的数据和结论。根据《</w:t>
            </w:r>
            <w:r>
              <w:rPr>
                <w:rFonts w:hint="default" w:ascii="Times New Roman" w:hAnsi="Times New Roman" w:cs="Times New Roman"/>
                <w:color w:val="000000" w:themeColor="text1"/>
                <w:sz w:val="21"/>
                <w:szCs w:val="21"/>
                <w:lang w:eastAsia="zh-CN"/>
                <w14:textFill>
                  <w14:solidFill>
                    <w14:schemeClr w14:val="tx1"/>
                  </w14:solidFill>
                </w14:textFill>
              </w:rPr>
              <w:t>南通市生态环境状况公报</w:t>
            </w:r>
            <w:r>
              <w:rPr>
                <w:rFonts w:hint="default" w:ascii="Times New Roman" w:hAnsi="Times New Roman" w:cs="Times New Roman"/>
                <w:color w:val="000000" w:themeColor="text1"/>
                <w:sz w:val="21"/>
                <w:szCs w:val="21"/>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23年</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南通市</w:t>
            </w:r>
            <w:r>
              <w:rPr>
                <w:rFonts w:hint="default" w:ascii="Times New Roman" w:hAnsi="Times New Roman" w:cs="Times New Roman"/>
                <w:color w:val="000000" w:themeColor="text1"/>
                <w:sz w:val="21"/>
                <w:szCs w:val="21"/>
                <w14:textFill>
                  <w14:solidFill>
                    <w14:schemeClr w14:val="tx1"/>
                  </w14:solidFill>
                </w14:textFill>
              </w:rPr>
              <w:t>海门</w:t>
            </w:r>
            <w:r>
              <w:rPr>
                <w:rFonts w:hint="default" w:ascii="Times New Roman" w:hAnsi="Times New Roman" w:cs="Times New Roman"/>
                <w:color w:val="000000" w:themeColor="text1"/>
                <w:sz w:val="21"/>
                <w:szCs w:val="21"/>
                <w:lang w:eastAsia="zh-CN"/>
                <w14:textFill>
                  <w14:solidFill>
                    <w14:schemeClr w14:val="tx1"/>
                  </w14:solidFill>
                </w14:textFill>
              </w:rPr>
              <w:t>区空气环境质量现状见表</w:t>
            </w:r>
            <w:r>
              <w:rPr>
                <w:rFonts w:hint="default" w:ascii="Times New Roman" w:hAnsi="Times New Roman" w:cs="Times New Roman"/>
                <w:color w:val="000000" w:themeColor="text1"/>
                <w:sz w:val="21"/>
                <w:szCs w:val="21"/>
                <w14:textFill>
                  <w14:solidFill>
                    <w14:schemeClr w14:val="tx1"/>
                  </w14:solidFill>
                </w14:textFill>
              </w:rPr>
              <w:t>3-1。</w:t>
            </w:r>
          </w:p>
          <w:p w14:paraId="7B1747C0">
            <w:pPr>
              <w:autoSpaceDE w:val="0"/>
              <w:autoSpaceDN w:val="0"/>
              <w:adjustRightInd w:val="0"/>
              <w:ind w:firstLine="48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表3-1  大气环境质量现状监测     单位：μg/m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833"/>
              <w:gridCol w:w="1005"/>
              <w:gridCol w:w="1214"/>
              <w:gridCol w:w="1136"/>
              <w:gridCol w:w="1314"/>
            </w:tblGrid>
            <w:tr w14:paraId="7A618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41A0BA91">
                  <w:pPr>
                    <w:spacing w:line="4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674" w:type="pct"/>
                  <w:noWrap w:val="0"/>
                  <w:vAlign w:val="center"/>
                </w:tcPr>
                <w:p w14:paraId="74EFA8F7">
                  <w:pPr>
                    <w:spacing w:line="4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年评价指标</w:t>
                  </w:r>
                </w:p>
              </w:tc>
              <w:tc>
                <w:tcPr>
                  <w:tcW w:w="594" w:type="pct"/>
                  <w:noWrap w:val="0"/>
                  <w:vAlign w:val="center"/>
                </w:tcPr>
                <w:p w14:paraId="24A0B32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结果μg/m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c>
              <w:tc>
                <w:tcPr>
                  <w:tcW w:w="717" w:type="pct"/>
                  <w:noWrap w:val="0"/>
                  <w:vAlign w:val="center"/>
                </w:tcPr>
                <w:p w14:paraId="3E135CD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标准值μg/m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c>
              <w:tc>
                <w:tcPr>
                  <w:tcW w:w="671" w:type="pct"/>
                  <w:noWrap w:val="0"/>
                  <w:vAlign w:val="center"/>
                </w:tcPr>
                <w:p w14:paraId="7222F2A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超标倍数</w:t>
                  </w:r>
                  <w:r>
                    <w:rPr>
                      <w:rFonts w:hint="default" w:ascii="Times New Roman" w:hAnsi="Times New Roman" w:cs="Times New Roman"/>
                      <w:b/>
                      <w:bCs/>
                      <w:color w:val="000000" w:themeColor="text1"/>
                      <w:sz w:val="21"/>
                      <w:szCs w:val="21"/>
                      <w14:textFill>
                        <w14:solidFill>
                          <w14:schemeClr w14:val="tx1"/>
                        </w14:solidFill>
                      </w14:textFill>
                    </w:rPr>
                    <w:t>%</w:t>
                  </w:r>
                </w:p>
              </w:tc>
              <w:tc>
                <w:tcPr>
                  <w:tcW w:w="776" w:type="pct"/>
                  <w:noWrap w:val="0"/>
                  <w:vAlign w:val="center"/>
                </w:tcPr>
                <w:p w14:paraId="5B4AFCA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r>
            <w:tr w14:paraId="2F5F8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1617470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674" w:type="pct"/>
                  <w:noWrap w:val="0"/>
                  <w:vAlign w:val="center"/>
                </w:tcPr>
                <w:p w14:paraId="2035F21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48" w:type="dxa"/>
                  <w:noWrap w:val="0"/>
                  <w:vAlign w:val="center"/>
                </w:tcPr>
                <w:p w14:paraId="5F59DD91">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717" w:type="pct"/>
                  <w:noWrap w:val="0"/>
                  <w:vAlign w:val="center"/>
                </w:tcPr>
                <w:p w14:paraId="0E4BBC2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671" w:type="pct"/>
                  <w:noWrap w:val="0"/>
                  <w:vAlign w:val="center"/>
                </w:tcPr>
                <w:p w14:paraId="37833A21">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776" w:type="pct"/>
                  <w:noWrap w:val="0"/>
                  <w:vAlign w:val="center"/>
                </w:tcPr>
                <w:p w14:paraId="14FA7E7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6BCE4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24FA09A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674" w:type="pct"/>
                  <w:noWrap w:val="0"/>
                  <w:vAlign w:val="center"/>
                </w:tcPr>
                <w:p w14:paraId="5E77FDD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48" w:type="dxa"/>
                  <w:noWrap w:val="0"/>
                  <w:vAlign w:val="center"/>
                </w:tcPr>
                <w:p w14:paraId="79DC26A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717" w:type="pct"/>
                  <w:noWrap w:val="0"/>
                  <w:vAlign w:val="center"/>
                </w:tcPr>
                <w:p w14:paraId="2B8549B3">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671" w:type="pct"/>
                  <w:noWrap w:val="0"/>
                  <w:vAlign w:val="center"/>
                </w:tcPr>
                <w:p w14:paraId="43BFDE15">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776" w:type="pct"/>
                  <w:noWrap w:val="0"/>
                  <w:vAlign w:val="center"/>
                </w:tcPr>
                <w:p w14:paraId="21EA847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34EA5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13EAAC5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674" w:type="pct"/>
                  <w:noWrap w:val="0"/>
                  <w:vAlign w:val="center"/>
                </w:tcPr>
                <w:p w14:paraId="3CFF9E0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48" w:type="dxa"/>
                  <w:noWrap w:val="0"/>
                  <w:vAlign w:val="center"/>
                </w:tcPr>
                <w:p w14:paraId="1116A85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45</w:t>
                  </w:r>
                </w:p>
              </w:tc>
              <w:tc>
                <w:tcPr>
                  <w:tcW w:w="717" w:type="pct"/>
                  <w:noWrap w:val="0"/>
                  <w:vAlign w:val="center"/>
                </w:tcPr>
                <w:p w14:paraId="4D2E57A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671" w:type="pct"/>
                  <w:noWrap w:val="0"/>
                  <w:vAlign w:val="center"/>
                </w:tcPr>
                <w:p w14:paraId="3355E418">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776" w:type="pct"/>
                  <w:noWrap w:val="0"/>
                  <w:vAlign w:val="center"/>
                </w:tcPr>
                <w:p w14:paraId="145BA2D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6450F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0669ACC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674" w:type="pct"/>
                  <w:noWrap w:val="0"/>
                  <w:vAlign w:val="center"/>
                </w:tcPr>
                <w:p w14:paraId="601D0EE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48" w:type="dxa"/>
                  <w:noWrap w:val="0"/>
                  <w:vAlign w:val="center"/>
                </w:tcPr>
                <w:p w14:paraId="09ECAB2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27</w:t>
                  </w:r>
                </w:p>
              </w:tc>
              <w:tc>
                <w:tcPr>
                  <w:tcW w:w="717" w:type="pct"/>
                  <w:noWrap w:val="0"/>
                  <w:vAlign w:val="center"/>
                </w:tcPr>
                <w:p w14:paraId="4A673E1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671" w:type="pct"/>
                  <w:noWrap w:val="0"/>
                  <w:vAlign w:val="center"/>
                </w:tcPr>
                <w:p w14:paraId="0DB2D3A4">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776" w:type="pct"/>
                  <w:noWrap w:val="0"/>
                  <w:vAlign w:val="center"/>
                </w:tcPr>
                <w:p w14:paraId="74B0814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319F4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5EA101F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674" w:type="pct"/>
                  <w:noWrap w:val="0"/>
                  <w:vAlign w:val="center"/>
                </w:tcPr>
                <w:p w14:paraId="23F9858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24小时平均第95百分位数</w:t>
                  </w:r>
                </w:p>
              </w:tc>
              <w:tc>
                <w:tcPr>
                  <w:tcW w:w="948" w:type="dxa"/>
                  <w:noWrap w:val="0"/>
                  <w:vAlign w:val="center"/>
                </w:tcPr>
                <w:p w14:paraId="507B09D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1000</w:t>
                  </w:r>
                </w:p>
              </w:tc>
              <w:tc>
                <w:tcPr>
                  <w:tcW w:w="717" w:type="pct"/>
                  <w:noWrap w:val="0"/>
                  <w:vAlign w:val="center"/>
                </w:tcPr>
                <w:p w14:paraId="290441D8">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4000</w:t>
                  </w:r>
                </w:p>
              </w:tc>
              <w:tc>
                <w:tcPr>
                  <w:tcW w:w="671" w:type="pct"/>
                  <w:noWrap w:val="0"/>
                  <w:vAlign w:val="center"/>
                </w:tcPr>
                <w:p w14:paraId="2EBF2644">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776" w:type="pct"/>
                  <w:noWrap w:val="0"/>
                  <w:vAlign w:val="center"/>
                </w:tcPr>
                <w:p w14:paraId="02834E7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7AD73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56726DC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674" w:type="pct"/>
                  <w:noWrap w:val="0"/>
                  <w:vAlign w:val="center"/>
                </w:tcPr>
                <w:p w14:paraId="6C420C3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日最大</w:t>
                  </w:r>
                  <w:r>
                    <w:rPr>
                      <w:rFonts w:hint="default" w:ascii="Times New Roman" w:hAnsi="Times New Roman" w:cs="Times New Roman"/>
                      <w:color w:val="000000" w:themeColor="text1"/>
                      <w:sz w:val="21"/>
                      <w:szCs w:val="21"/>
                      <w14:textFill>
                        <w14:solidFill>
                          <w14:schemeClr w14:val="tx1"/>
                        </w14:solidFill>
                      </w14:textFill>
                    </w:rPr>
                    <w:t>8小时</w:t>
                  </w:r>
                  <w:r>
                    <w:rPr>
                      <w:rFonts w:hint="default" w:ascii="Times New Roman" w:hAnsi="Times New Roman" w:cs="Times New Roman"/>
                      <w:color w:val="000000" w:themeColor="text1"/>
                      <w:sz w:val="21"/>
                      <w:szCs w:val="21"/>
                      <w:lang w:eastAsia="zh-CN"/>
                      <w14:textFill>
                        <w14:solidFill>
                          <w14:schemeClr w14:val="tx1"/>
                        </w14:solidFill>
                      </w14:textFill>
                    </w:rPr>
                    <w:t>滑动平均值</w:t>
                  </w:r>
                  <w:r>
                    <w:rPr>
                      <w:rFonts w:hint="default" w:ascii="Times New Roman" w:hAnsi="Times New Roman" w:cs="Times New Roman"/>
                      <w:color w:val="000000" w:themeColor="text1"/>
                      <w:sz w:val="21"/>
                      <w:szCs w:val="21"/>
                      <w14:textFill>
                        <w14:solidFill>
                          <w14:schemeClr w14:val="tx1"/>
                        </w14:solidFill>
                      </w14:textFill>
                    </w:rPr>
                    <w:t>第90百分位数</w:t>
                  </w:r>
                </w:p>
              </w:tc>
              <w:tc>
                <w:tcPr>
                  <w:tcW w:w="948" w:type="dxa"/>
                  <w:noWrap w:val="0"/>
                  <w:vAlign w:val="center"/>
                </w:tcPr>
                <w:p w14:paraId="6F26CAC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168</w:t>
                  </w:r>
                </w:p>
              </w:tc>
              <w:tc>
                <w:tcPr>
                  <w:tcW w:w="717" w:type="pct"/>
                  <w:noWrap w:val="0"/>
                  <w:vAlign w:val="center"/>
                </w:tcPr>
                <w:p w14:paraId="01F0E6E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671" w:type="pct"/>
                  <w:noWrap w:val="0"/>
                  <w:vAlign w:val="center"/>
                </w:tcPr>
                <w:p w14:paraId="1E0D83E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105</w:t>
                  </w:r>
                </w:p>
              </w:tc>
              <w:tc>
                <w:tcPr>
                  <w:tcW w:w="776" w:type="pct"/>
                  <w:noWrap w:val="0"/>
                  <w:vAlign w:val="center"/>
                </w:tcPr>
                <w:p w14:paraId="4AA30C11">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超标</w:t>
                  </w:r>
                </w:p>
              </w:tc>
            </w:tr>
          </w:tbl>
          <w:p w14:paraId="4CFA15B6">
            <w:pPr>
              <w:pStyle w:val="5"/>
              <w:spacing w:line="360" w:lineRule="auto"/>
              <w:ind w:firstLine="480"/>
              <w:rPr>
                <w:rFonts w:ascii="Times New Roman" w:hAnsi="Times New Roman"/>
                <w:color w:val="000000" w:themeColor="text1"/>
                <w:sz w:val="21"/>
                <w:szCs w:val="16"/>
                <w14:textFill>
                  <w14:solidFill>
                    <w14:schemeClr w14:val="tx1"/>
                  </w14:solidFill>
                </w14:textFill>
              </w:rPr>
            </w:pPr>
            <w:r>
              <w:rPr>
                <w:rFonts w:hint="eastAsia" w:ascii="Times New Roman" w:hAnsi="Times New Roman"/>
                <w:color w:val="000000" w:themeColor="text1"/>
                <w:sz w:val="21"/>
                <w:szCs w:val="16"/>
                <w:lang w:val="en-US" w:eastAsia="zh-CN"/>
                <w14:textFill>
                  <w14:solidFill>
                    <w14:schemeClr w14:val="tx1"/>
                  </w14:solidFill>
                </w14:textFill>
              </w:rPr>
              <w:t>NOx</w:t>
            </w:r>
            <w:r>
              <w:rPr>
                <w:rFonts w:ascii="Times New Roman" w:hAnsi="Times New Roman"/>
                <w:color w:val="000000" w:themeColor="text1"/>
                <w:sz w:val="21"/>
                <w:szCs w:val="16"/>
                <w14:textFill>
                  <w14:solidFill>
                    <w14:schemeClr w14:val="tx1"/>
                  </w14:solidFill>
                </w14:textFill>
              </w:rPr>
              <w:t>现状调查引用</w:t>
            </w:r>
            <w:r>
              <w:rPr>
                <w:rFonts w:hint="eastAsia" w:ascii="Times New Roman" w:hAnsi="Times New Roman"/>
                <w:color w:val="000000" w:themeColor="text1"/>
                <w:sz w:val="21"/>
                <w:szCs w:val="16"/>
                <w:lang w:val="en-US" w:eastAsia="zh-CN"/>
                <w14:textFill>
                  <w14:solidFill>
                    <w14:schemeClr w14:val="tx1"/>
                  </w14:solidFill>
                </w14:textFill>
              </w:rPr>
              <w:t>南通市海门生态环境局自动监测站</w:t>
            </w:r>
            <w:r>
              <w:rPr>
                <w:rFonts w:ascii="Times New Roman" w:hAnsi="Times New Roman"/>
                <w:color w:val="000000" w:themeColor="text1"/>
                <w:sz w:val="21"/>
                <w:szCs w:val="16"/>
                <w14:textFill>
                  <w14:solidFill>
                    <w14:schemeClr w14:val="tx1"/>
                  </w14:solidFill>
                </w14:textFill>
              </w:rPr>
              <w:t>中</w:t>
            </w:r>
            <w:r>
              <w:rPr>
                <w:rFonts w:hint="eastAsia" w:ascii="Times New Roman" w:hAnsi="Times New Roman"/>
                <w:color w:val="000000" w:themeColor="text1"/>
                <w:sz w:val="21"/>
                <w:szCs w:val="16"/>
                <w14:textFill>
                  <w14:solidFill>
                    <w14:schemeClr w14:val="tx1"/>
                  </w14:solidFill>
                </w14:textFill>
              </w:rPr>
              <w:t>海门会展中心</w:t>
            </w:r>
            <w:r>
              <w:rPr>
                <w:rFonts w:hint="eastAsia" w:ascii="Times New Roman" w:hAnsi="Times New Roman"/>
                <w:color w:val="000000" w:themeColor="text1"/>
                <w:sz w:val="21"/>
                <w:szCs w:val="16"/>
                <w:lang w:val="en-US" w:eastAsia="zh-CN"/>
                <w14:textFill>
                  <w14:solidFill>
                    <w14:schemeClr w14:val="tx1"/>
                  </w14:solidFill>
                </w14:textFill>
              </w:rPr>
              <w:t>点位数据</w:t>
            </w:r>
            <w:r>
              <w:rPr>
                <w:rFonts w:ascii="Times New Roman" w:hAnsi="Times New Roman"/>
                <w:color w:val="000000" w:themeColor="text1"/>
                <w:sz w:val="21"/>
                <w:szCs w:val="16"/>
                <w14:textFill>
                  <w14:solidFill>
                    <w14:schemeClr w14:val="tx1"/>
                  </w14:solidFill>
                </w14:textFill>
              </w:rPr>
              <w:t>（本项目南侧</w:t>
            </w:r>
            <w:r>
              <w:rPr>
                <w:rFonts w:hint="eastAsia" w:ascii="Times New Roman" w:hAnsi="Times New Roman"/>
                <w:color w:val="000000" w:themeColor="text1"/>
                <w:sz w:val="21"/>
                <w:szCs w:val="16"/>
                <w:lang w:val="en-US" w:eastAsia="zh-CN"/>
                <w14:textFill>
                  <w14:solidFill>
                    <w14:schemeClr w14:val="tx1"/>
                  </w14:solidFill>
                </w14:textFill>
              </w:rPr>
              <w:t>2600</w:t>
            </w:r>
            <w:r>
              <w:rPr>
                <w:rFonts w:ascii="Times New Roman" w:hAnsi="Times New Roman"/>
                <w:color w:val="000000" w:themeColor="text1"/>
                <w:sz w:val="21"/>
                <w:szCs w:val="16"/>
                <w14:textFill>
                  <w14:solidFill>
                    <w14:schemeClr w14:val="tx1"/>
                  </w14:solidFill>
                </w14:textFill>
              </w:rPr>
              <w:t>米处）的监测数据，引用数据在三年有效期、厂址5km范围内。</w:t>
            </w:r>
          </w:p>
          <w:p w14:paraId="76462437">
            <w:pPr>
              <w:pStyle w:val="5"/>
              <w:ind w:firstLine="480"/>
              <w:jc w:val="center"/>
              <w:rPr>
                <w:rFonts w:ascii="Times New Roman" w:hAnsi="Times New Roman"/>
                <w:b/>
                <w:bCs/>
                <w:color w:val="000000" w:themeColor="text1"/>
                <w:sz w:val="21"/>
                <w:szCs w:val="16"/>
                <w14:textFill>
                  <w14:solidFill>
                    <w14:schemeClr w14:val="tx1"/>
                  </w14:solidFill>
                </w14:textFill>
              </w:rPr>
            </w:pPr>
            <w:r>
              <w:rPr>
                <w:rFonts w:ascii="Times New Roman" w:hAnsi="Times New Roman"/>
                <w:b/>
                <w:bCs/>
                <w:color w:val="000000" w:themeColor="text1"/>
                <w:sz w:val="21"/>
                <w:szCs w:val="16"/>
                <w14:textFill>
                  <w14:solidFill>
                    <w14:schemeClr w14:val="tx1"/>
                  </w14:solidFill>
                </w14:textFill>
              </w:rPr>
              <w:t>表3-</w:t>
            </w:r>
            <w:r>
              <w:rPr>
                <w:rFonts w:hint="eastAsia" w:ascii="Times New Roman" w:hAnsi="Times New Roman"/>
                <w:b/>
                <w:bCs/>
                <w:color w:val="000000" w:themeColor="text1"/>
                <w:sz w:val="21"/>
                <w:szCs w:val="16"/>
                <w:lang w:val="en-US" w:eastAsia="zh-CN"/>
                <w14:textFill>
                  <w14:solidFill>
                    <w14:schemeClr w14:val="tx1"/>
                  </w14:solidFill>
                </w14:textFill>
              </w:rPr>
              <w:t>2</w:t>
            </w:r>
            <w:r>
              <w:rPr>
                <w:rFonts w:ascii="Times New Roman" w:hAnsi="Times New Roman"/>
                <w:b/>
                <w:bCs/>
                <w:color w:val="000000" w:themeColor="text1"/>
                <w:sz w:val="21"/>
                <w:szCs w:val="16"/>
                <w14:textFill>
                  <w14:solidFill>
                    <w14:schemeClr w14:val="tx1"/>
                  </w14:solidFill>
                </w14:textFill>
              </w:rPr>
              <w:t xml:space="preserve"> </w:t>
            </w:r>
            <w:r>
              <w:rPr>
                <w:rFonts w:hint="eastAsia" w:ascii="Times New Roman" w:hAnsi="Times New Roman"/>
                <w:b/>
                <w:bCs/>
                <w:color w:val="000000" w:themeColor="text1"/>
                <w:sz w:val="21"/>
                <w:szCs w:val="16"/>
                <w:lang w:val="en-US" w:eastAsia="zh-CN"/>
                <w14:textFill>
                  <w14:solidFill>
                    <w14:schemeClr w14:val="tx1"/>
                  </w14:solidFill>
                </w14:textFill>
              </w:rPr>
              <w:t>NOx</w:t>
            </w:r>
            <w:r>
              <w:rPr>
                <w:rFonts w:ascii="Times New Roman" w:hAnsi="Times New Roman"/>
                <w:b/>
                <w:bCs/>
                <w:color w:val="000000" w:themeColor="text1"/>
                <w:sz w:val="21"/>
                <w:szCs w:val="16"/>
                <w14:textFill>
                  <w14:solidFill>
                    <w14:schemeClr w14:val="tx1"/>
                  </w14:solidFill>
                </w14:textFill>
              </w:rPr>
              <w:t>现状监测数据一览表（单位：mg/m</w:t>
            </w:r>
            <w:r>
              <w:rPr>
                <w:rFonts w:ascii="Times New Roman" w:hAnsi="Times New Roman"/>
                <w:b/>
                <w:bCs/>
                <w:color w:val="000000" w:themeColor="text1"/>
                <w:sz w:val="21"/>
                <w:szCs w:val="16"/>
                <w:vertAlign w:val="superscript"/>
                <w14:textFill>
                  <w14:solidFill>
                    <w14:schemeClr w14:val="tx1"/>
                  </w14:solidFill>
                </w14:textFill>
              </w:rPr>
              <w:t>3</w:t>
            </w:r>
            <w:r>
              <w:rPr>
                <w:rFonts w:ascii="Times New Roman" w:hAnsi="Times New Roman"/>
                <w:b/>
                <w:bCs/>
                <w:color w:val="000000" w:themeColor="text1"/>
                <w:sz w:val="21"/>
                <w:szCs w:val="16"/>
                <w14:textFill>
                  <w14:solidFill>
                    <w14:schemeClr w14:val="tx1"/>
                  </w14:solidFill>
                </w14:textFill>
              </w:rPr>
              <w:t>）</w:t>
            </w:r>
          </w:p>
          <w:tbl>
            <w:tblPr>
              <w:tblStyle w:val="42"/>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170"/>
              <w:gridCol w:w="1635"/>
              <w:gridCol w:w="2187"/>
              <w:gridCol w:w="1705"/>
            </w:tblGrid>
            <w:tr w14:paraId="5B56F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gridSpan w:val="2"/>
                  <w:vMerge w:val="restart"/>
                  <w:noWrap w:val="0"/>
                  <w:vAlign w:val="center"/>
                </w:tcPr>
                <w:p w14:paraId="7F36CA63">
                  <w:pPr>
                    <w:pStyle w:val="5"/>
                    <w:ind w:left="0" w:leftChars="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w:t>
                  </w:r>
                </w:p>
              </w:tc>
              <w:tc>
                <w:tcPr>
                  <w:tcW w:w="1635" w:type="dxa"/>
                  <w:vMerge w:val="restart"/>
                  <w:noWrap w:val="0"/>
                  <w:vAlign w:val="center"/>
                </w:tcPr>
                <w:p w14:paraId="06E4495E">
                  <w:pPr>
                    <w:pStyle w:val="5"/>
                    <w:ind w:left="0" w:leftChars="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监测时间</w:t>
                  </w:r>
                </w:p>
              </w:tc>
              <w:tc>
                <w:tcPr>
                  <w:tcW w:w="2187" w:type="dxa"/>
                  <w:vMerge w:val="restart"/>
                  <w:noWrap w:val="0"/>
                  <w:vAlign w:val="center"/>
                </w:tcPr>
                <w:p w14:paraId="36166C99">
                  <w:pPr>
                    <w:pStyle w:val="5"/>
                    <w:ind w:left="0" w:leftChars="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1小时平均（mg/m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w:t>
                  </w:r>
                </w:p>
              </w:tc>
              <w:tc>
                <w:tcPr>
                  <w:tcW w:w="1705" w:type="dxa"/>
                  <w:noWrap w:val="0"/>
                  <w:vAlign w:val="center"/>
                </w:tcPr>
                <w:p w14:paraId="2E2B55A1">
                  <w:pPr>
                    <w:pStyle w:val="5"/>
                    <w:ind w:left="0" w:leftChars="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标准</w:t>
                  </w:r>
                </w:p>
              </w:tc>
            </w:tr>
            <w:tr w14:paraId="0B0C7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7" w:type="dxa"/>
                  <w:gridSpan w:val="2"/>
                  <w:vMerge w:val="continue"/>
                  <w:noWrap w:val="0"/>
                  <w:vAlign w:val="center"/>
                </w:tcPr>
                <w:p w14:paraId="2E63C327">
                  <w:pPr>
                    <w:pStyle w:val="5"/>
                    <w:jc w:val="center"/>
                    <w:rPr>
                      <w:rFonts w:ascii="Times New Roman" w:hAnsi="Times New Roman"/>
                      <w:color w:val="000000" w:themeColor="text1"/>
                      <w:sz w:val="21"/>
                      <w:szCs w:val="21"/>
                      <w14:textFill>
                        <w14:solidFill>
                          <w14:schemeClr w14:val="tx1"/>
                        </w14:solidFill>
                      </w14:textFill>
                    </w:rPr>
                  </w:pPr>
                </w:p>
              </w:tc>
              <w:tc>
                <w:tcPr>
                  <w:tcW w:w="1635" w:type="dxa"/>
                  <w:vMerge w:val="continue"/>
                  <w:noWrap w:val="0"/>
                  <w:vAlign w:val="center"/>
                </w:tcPr>
                <w:p w14:paraId="09E4D059">
                  <w:pPr>
                    <w:pStyle w:val="5"/>
                    <w:jc w:val="center"/>
                    <w:rPr>
                      <w:rFonts w:ascii="Times New Roman" w:hAnsi="Times New Roman"/>
                      <w:color w:val="000000" w:themeColor="text1"/>
                      <w:sz w:val="21"/>
                      <w:szCs w:val="21"/>
                      <w14:textFill>
                        <w14:solidFill>
                          <w14:schemeClr w14:val="tx1"/>
                        </w14:solidFill>
                      </w14:textFill>
                    </w:rPr>
                  </w:pPr>
                </w:p>
              </w:tc>
              <w:tc>
                <w:tcPr>
                  <w:tcW w:w="2187" w:type="dxa"/>
                  <w:vMerge w:val="continue"/>
                  <w:noWrap w:val="0"/>
                  <w:vAlign w:val="center"/>
                </w:tcPr>
                <w:p w14:paraId="34AC18BC">
                  <w:pPr>
                    <w:pStyle w:val="5"/>
                    <w:ind w:left="0" w:leftChars="0" w:firstLine="0" w:firstLineChars="0"/>
                    <w:jc w:val="center"/>
                    <w:rPr>
                      <w:rFonts w:ascii="Times New Roman" w:hAnsi="Times New Roman"/>
                      <w:color w:val="000000" w:themeColor="text1"/>
                      <w:sz w:val="21"/>
                      <w:szCs w:val="21"/>
                      <w14:textFill>
                        <w14:solidFill>
                          <w14:schemeClr w14:val="tx1"/>
                        </w14:solidFill>
                      </w14:textFill>
                    </w:rPr>
                  </w:pPr>
                </w:p>
              </w:tc>
              <w:tc>
                <w:tcPr>
                  <w:tcW w:w="1705" w:type="dxa"/>
                  <w:noWrap w:val="0"/>
                  <w:vAlign w:val="center"/>
                </w:tcPr>
                <w:p w14:paraId="57304AC3">
                  <w:pPr>
                    <w:pStyle w:val="5"/>
                    <w:ind w:left="0" w:leftChars="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1小时平均浓度</w:t>
                  </w:r>
                </w:p>
              </w:tc>
            </w:tr>
            <w:tr w14:paraId="22547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vMerge w:val="restart"/>
                  <w:noWrap w:val="0"/>
                  <w:vAlign w:val="center"/>
                </w:tcPr>
                <w:p w14:paraId="30590730">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海门会展中心</w:t>
                  </w:r>
                </w:p>
              </w:tc>
              <w:tc>
                <w:tcPr>
                  <w:tcW w:w="1170" w:type="dxa"/>
                  <w:vMerge w:val="restart"/>
                  <w:noWrap w:val="0"/>
                  <w:vAlign w:val="center"/>
                </w:tcPr>
                <w:p w14:paraId="5642325F">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NOx</w:t>
                  </w:r>
                </w:p>
              </w:tc>
              <w:tc>
                <w:tcPr>
                  <w:tcW w:w="1635" w:type="dxa"/>
                  <w:noWrap w:val="0"/>
                  <w:vAlign w:val="center"/>
                </w:tcPr>
                <w:p w14:paraId="6A6F21DA">
                  <w:pPr>
                    <w:pStyle w:val="5"/>
                    <w:ind w:left="0" w:leftChars="0"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202</w:t>
                  </w:r>
                  <w:r>
                    <w:rPr>
                      <w:rFonts w:hint="eastAsia" w:ascii="Times New Roman" w:hAnsi="Times New Roman"/>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lang w:val="en-US" w:eastAsia="zh-CN"/>
                      <w14:textFill>
                        <w14:solidFill>
                          <w14:schemeClr w14:val="tx1"/>
                        </w14:solidFill>
                      </w14:textFill>
                    </w:rPr>
                    <w:t>5</w:t>
                  </w:r>
                </w:p>
              </w:tc>
              <w:tc>
                <w:tcPr>
                  <w:tcW w:w="2187" w:type="dxa"/>
                  <w:noWrap w:val="0"/>
                  <w:vAlign w:val="center"/>
                </w:tcPr>
                <w:p w14:paraId="3174F80A">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68.71</w:t>
                  </w:r>
                </w:p>
              </w:tc>
              <w:tc>
                <w:tcPr>
                  <w:tcW w:w="1705" w:type="dxa"/>
                  <w:vMerge w:val="restart"/>
                  <w:noWrap w:val="0"/>
                  <w:vAlign w:val="center"/>
                </w:tcPr>
                <w:p w14:paraId="36251B62">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200</w:t>
                  </w:r>
                </w:p>
              </w:tc>
            </w:tr>
            <w:tr w14:paraId="1A54E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vMerge w:val="continue"/>
                  <w:noWrap w:val="0"/>
                  <w:vAlign w:val="center"/>
                </w:tcPr>
                <w:p w14:paraId="4D4C4568">
                  <w:pPr>
                    <w:pStyle w:val="5"/>
                    <w:jc w:val="center"/>
                    <w:rPr>
                      <w:rFonts w:ascii="Times New Roman" w:hAnsi="Times New Roman"/>
                      <w:color w:val="000000" w:themeColor="text1"/>
                      <w:sz w:val="21"/>
                      <w:szCs w:val="21"/>
                      <w14:textFill>
                        <w14:solidFill>
                          <w14:schemeClr w14:val="tx1"/>
                        </w14:solidFill>
                      </w14:textFill>
                    </w:rPr>
                  </w:pPr>
                </w:p>
              </w:tc>
              <w:tc>
                <w:tcPr>
                  <w:tcW w:w="1170" w:type="dxa"/>
                  <w:vMerge w:val="continue"/>
                  <w:noWrap w:val="0"/>
                  <w:vAlign w:val="center"/>
                </w:tcPr>
                <w:p w14:paraId="3D8DE9A0">
                  <w:pPr>
                    <w:pStyle w:val="5"/>
                    <w:jc w:val="center"/>
                    <w:rPr>
                      <w:rFonts w:ascii="Times New Roman" w:hAnsi="Times New Roman"/>
                      <w:color w:val="000000" w:themeColor="text1"/>
                      <w:sz w:val="21"/>
                      <w:szCs w:val="21"/>
                      <w14:textFill>
                        <w14:solidFill>
                          <w14:schemeClr w14:val="tx1"/>
                        </w14:solidFill>
                      </w14:textFill>
                    </w:rPr>
                  </w:pPr>
                </w:p>
              </w:tc>
              <w:tc>
                <w:tcPr>
                  <w:tcW w:w="1635" w:type="dxa"/>
                  <w:noWrap w:val="0"/>
                  <w:vAlign w:val="center"/>
                </w:tcPr>
                <w:p w14:paraId="2DF85060">
                  <w:pPr>
                    <w:pStyle w:val="5"/>
                    <w:ind w:left="0" w:leftChars="0"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202</w:t>
                  </w:r>
                  <w:r>
                    <w:rPr>
                      <w:rFonts w:hint="eastAsia" w:ascii="Times New Roman" w:hAnsi="Times New Roman"/>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lang w:val="en-US" w:eastAsia="zh-CN"/>
                      <w14:textFill>
                        <w14:solidFill>
                          <w14:schemeClr w14:val="tx1"/>
                        </w14:solidFill>
                      </w14:textFill>
                    </w:rPr>
                    <w:t>6</w:t>
                  </w:r>
                </w:p>
              </w:tc>
              <w:tc>
                <w:tcPr>
                  <w:tcW w:w="2187" w:type="dxa"/>
                  <w:noWrap w:val="0"/>
                  <w:vAlign w:val="center"/>
                </w:tcPr>
                <w:p w14:paraId="0A572637">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82.79</w:t>
                  </w:r>
                </w:p>
              </w:tc>
              <w:tc>
                <w:tcPr>
                  <w:tcW w:w="1705" w:type="dxa"/>
                  <w:vMerge w:val="continue"/>
                  <w:noWrap w:val="0"/>
                  <w:vAlign w:val="center"/>
                </w:tcPr>
                <w:p w14:paraId="3C65E792">
                  <w:pPr>
                    <w:pStyle w:val="5"/>
                    <w:jc w:val="center"/>
                    <w:rPr>
                      <w:rFonts w:ascii="Times New Roman" w:hAnsi="Times New Roman"/>
                      <w:color w:val="000000" w:themeColor="text1"/>
                      <w:sz w:val="21"/>
                      <w:szCs w:val="21"/>
                      <w14:textFill>
                        <w14:solidFill>
                          <w14:schemeClr w14:val="tx1"/>
                        </w14:solidFill>
                      </w14:textFill>
                    </w:rPr>
                  </w:pPr>
                </w:p>
              </w:tc>
            </w:tr>
            <w:tr w14:paraId="0F5A1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vMerge w:val="continue"/>
                  <w:noWrap w:val="0"/>
                  <w:vAlign w:val="center"/>
                </w:tcPr>
                <w:p w14:paraId="7D360060">
                  <w:pPr>
                    <w:pStyle w:val="5"/>
                    <w:jc w:val="center"/>
                    <w:rPr>
                      <w:rFonts w:ascii="Times New Roman" w:hAnsi="Times New Roman"/>
                      <w:color w:val="000000" w:themeColor="text1"/>
                      <w:sz w:val="21"/>
                      <w:szCs w:val="21"/>
                      <w14:textFill>
                        <w14:solidFill>
                          <w14:schemeClr w14:val="tx1"/>
                        </w14:solidFill>
                      </w14:textFill>
                    </w:rPr>
                  </w:pPr>
                </w:p>
              </w:tc>
              <w:tc>
                <w:tcPr>
                  <w:tcW w:w="1170" w:type="dxa"/>
                  <w:vMerge w:val="continue"/>
                  <w:noWrap w:val="0"/>
                  <w:vAlign w:val="center"/>
                </w:tcPr>
                <w:p w14:paraId="7ED10690">
                  <w:pPr>
                    <w:pStyle w:val="5"/>
                    <w:jc w:val="center"/>
                    <w:rPr>
                      <w:rFonts w:ascii="Times New Roman" w:hAnsi="Times New Roman"/>
                      <w:color w:val="000000" w:themeColor="text1"/>
                      <w:sz w:val="21"/>
                      <w:szCs w:val="21"/>
                      <w14:textFill>
                        <w14:solidFill>
                          <w14:schemeClr w14:val="tx1"/>
                        </w14:solidFill>
                      </w14:textFill>
                    </w:rPr>
                  </w:pPr>
                </w:p>
              </w:tc>
              <w:tc>
                <w:tcPr>
                  <w:tcW w:w="1635" w:type="dxa"/>
                  <w:noWrap w:val="0"/>
                  <w:vAlign w:val="center"/>
                </w:tcPr>
                <w:p w14:paraId="690E4CB0">
                  <w:pPr>
                    <w:pStyle w:val="5"/>
                    <w:ind w:left="0" w:leftChars="0"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202</w:t>
                  </w:r>
                  <w:r>
                    <w:rPr>
                      <w:rFonts w:hint="eastAsia" w:ascii="Times New Roman" w:hAnsi="Times New Roman"/>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lang w:val="en-US" w:eastAsia="zh-CN"/>
                      <w14:textFill>
                        <w14:solidFill>
                          <w14:schemeClr w14:val="tx1"/>
                        </w14:solidFill>
                      </w14:textFill>
                    </w:rPr>
                    <w:t>7</w:t>
                  </w:r>
                </w:p>
              </w:tc>
              <w:tc>
                <w:tcPr>
                  <w:tcW w:w="2187" w:type="dxa"/>
                  <w:noWrap w:val="0"/>
                  <w:vAlign w:val="center"/>
                </w:tcPr>
                <w:p w14:paraId="5DAE841B">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27.25</w:t>
                  </w:r>
                </w:p>
              </w:tc>
              <w:tc>
                <w:tcPr>
                  <w:tcW w:w="1705" w:type="dxa"/>
                  <w:vMerge w:val="continue"/>
                  <w:noWrap w:val="0"/>
                  <w:vAlign w:val="center"/>
                </w:tcPr>
                <w:p w14:paraId="5CB29CD0">
                  <w:pPr>
                    <w:pStyle w:val="5"/>
                    <w:jc w:val="center"/>
                    <w:rPr>
                      <w:rFonts w:ascii="Times New Roman" w:hAnsi="Times New Roman"/>
                      <w:color w:val="000000" w:themeColor="text1"/>
                      <w:sz w:val="21"/>
                      <w:szCs w:val="21"/>
                      <w14:textFill>
                        <w14:solidFill>
                          <w14:schemeClr w14:val="tx1"/>
                        </w14:solidFill>
                      </w14:textFill>
                    </w:rPr>
                  </w:pPr>
                </w:p>
              </w:tc>
            </w:tr>
            <w:tr w14:paraId="7D655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vMerge w:val="continue"/>
                  <w:noWrap w:val="0"/>
                  <w:vAlign w:val="center"/>
                </w:tcPr>
                <w:p w14:paraId="099A80C9">
                  <w:pPr>
                    <w:pStyle w:val="5"/>
                    <w:jc w:val="center"/>
                    <w:rPr>
                      <w:rFonts w:ascii="Times New Roman" w:hAnsi="Times New Roman"/>
                      <w:color w:val="000000" w:themeColor="text1"/>
                      <w:sz w:val="21"/>
                      <w:szCs w:val="21"/>
                      <w14:textFill>
                        <w14:solidFill>
                          <w14:schemeClr w14:val="tx1"/>
                        </w14:solidFill>
                      </w14:textFill>
                    </w:rPr>
                  </w:pPr>
                </w:p>
              </w:tc>
              <w:tc>
                <w:tcPr>
                  <w:tcW w:w="1170" w:type="dxa"/>
                  <w:vMerge w:val="continue"/>
                  <w:noWrap w:val="0"/>
                  <w:vAlign w:val="center"/>
                </w:tcPr>
                <w:p w14:paraId="5120DB6D">
                  <w:pPr>
                    <w:pStyle w:val="5"/>
                    <w:jc w:val="center"/>
                    <w:rPr>
                      <w:rFonts w:ascii="Times New Roman" w:hAnsi="Times New Roman"/>
                      <w:color w:val="000000" w:themeColor="text1"/>
                      <w:sz w:val="21"/>
                      <w:szCs w:val="21"/>
                      <w14:textFill>
                        <w14:solidFill>
                          <w14:schemeClr w14:val="tx1"/>
                        </w14:solidFill>
                      </w14:textFill>
                    </w:rPr>
                  </w:pPr>
                </w:p>
              </w:tc>
              <w:tc>
                <w:tcPr>
                  <w:tcW w:w="1635" w:type="dxa"/>
                  <w:noWrap w:val="0"/>
                  <w:vAlign w:val="center"/>
                </w:tcPr>
                <w:p w14:paraId="1246B7EA">
                  <w:pPr>
                    <w:pStyle w:val="5"/>
                    <w:ind w:left="0" w:leftChars="0"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202</w:t>
                  </w:r>
                  <w:r>
                    <w:rPr>
                      <w:rFonts w:hint="eastAsia" w:ascii="Times New Roman" w:hAnsi="Times New Roman"/>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lang w:val="en-US" w:eastAsia="zh-CN"/>
                      <w14:textFill>
                        <w14:solidFill>
                          <w14:schemeClr w14:val="tx1"/>
                        </w14:solidFill>
                      </w14:textFill>
                    </w:rPr>
                    <w:t>8</w:t>
                  </w:r>
                </w:p>
              </w:tc>
              <w:tc>
                <w:tcPr>
                  <w:tcW w:w="2187" w:type="dxa"/>
                  <w:noWrap w:val="0"/>
                  <w:vAlign w:val="center"/>
                </w:tcPr>
                <w:p w14:paraId="5BF9BEE8">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14.54</w:t>
                  </w:r>
                </w:p>
              </w:tc>
              <w:tc>
                <w:tcPr>
                  <w:tcW w:w="1705" w:type="dxa"/>
                  <w:vMerge w:val="continue"/>
                  <w:noWrap w:val="0"/>
                  <w:vAlign w:val="center"/>
                </w:tcPr>
                <w:p w14:paraId="422ACC10">
                  <w:pPr>
                    <w:pStyle w:val="5"/>
                    <w:jc w:val="center"/>
                    <w:rPr>
                      <w:rFonts w:ascii="Times New Roman" w:hAnsi="Times New Roman"/>
                      <w:color w:val="000000" w:themeColor="text1"/>
                      <w:sz w:val="21"/>
                      <w:szCs w:val="21"/>
                      <w14:textFill>
                        <w14:solidFill>
                          <w14:schemeClr w14:val="tx1"/>
                        </w14:solidFill>
                      </w14:textFill>
                    </w:rPr>
                  </w:pPr>
                </w:p>
              </w:tc>
            </w:tr>
            <w:tr w14:paraId="0747F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vMerge w:val="continue"/>
                  <w:noWrap w:val="0"/>
                  <w:vAlign w:val="center"/>
                </w:tcPr>
                <w:p w14:paraId="44065B93">
                  <w:pPr>
                    <w:pStyle w:val="5"/>
                    <w:jc w:val="center"/>
                    <w:rPr>
                      <w:rFonts w:ascii="Times New Roman" w:hAnsi="Times New Roman"/>
                      <w:color w:val="000000" w:themeColor="text1"/>
                      <w:sz w:val="21"/>
                      <w:szCs w:val="21"/>
                      <w14:textFill>
                        <w14:solidFill>
                          <w14:schemeClr w14:val="tx1"/>
                        </w14:solidFill>
                      </w14:textFill>
                    </w:rPr>
                  </w:pPr>
                </w:p>
              </w:tc>
              <w:tc>
                <w:tcPr>
                  <w:tcW w:w="1170" w:type="dxa"/>
                  <w:vMerge w:val="continue"/>
                  <w:noWrap w:val="0"/>
                  <w:vAlign w:val="center"/>
                </w:tcPr>
                <w:p w14:paraId="478EF362">
                  <w:pPr>
                    <w:pStyle w:val="5"/>
                    <w:jc w:val="center"/>
                    <w:rPr>
                      <w:rFonts w:ascii="Times New Roman" w:hAnsi="Times New Roman"/>
                      <w:color w:val="000000" w:themeColor="text1"/>
                      <w:sz w:val="21"/>
                      <w:szCs w:val="21"/>
                      <w14:textFill>
                        <w14:solidFill>
                          <w14:schemeClr w14:val="tx1"/>
                        </w14:solidFill>
                      </w14:textFill>
                    </w:rPr>
                  </w:pPr>
                </w:p>
              </w:tc>
              <w:tc>
                <w:tcPr>
                  <w:tcW w:w="1635" w:type="dxa"/>
                  <w:noWrap w:val="0"/>
                  <w:vAlign w:val="center"/>
                </w:tcPr>
                <w:p w14:paraId="5E88A9EF">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202</w:t>
                  </w:r>
                  <w:r>
                    <w:rPr>
                      <w:rFonts w:hint="eastAsia" w:ascii="Times New Roman" w:hAnsi="Times New Roman"/>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29</w:t>
                  </w:r>
                </w:p>
              </w:tc>
              <w:tc>
                <w:tcPr>
                  <w:tcW w:w="2187" w:type="dxa"/>
                  <w:noWrap w:val="0"/>
                  <w:vAlign w:val="center"/>
                </w:tcPr>
                <w:p w14:paraId="0985AB10">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19.38</w:t>
                  </w:r>
                </w:p>
              </w:tc>
              <w:tc>
                <w:tcPr>
                  <w:tcW w:w="1705" w:type="dxa"/>
                  <w:vMerge w:val="continue"/>
                  <w:noWrap w:val="0"/>
                  <w:vAlign w:val="center"/>
                </w:tcPr>
                <w:p w14:paraId="0BF47CDB">
                  <w:pPr>
                    <w:pStyle w:val="5"/>
                    <w:jc w:val="center"/>
                    <w:rPr>
                      <w:rFonts w:ascii="Times New Roman" w:hAnsi="Times New Roman"/>
                      <w:color w:val="000000" w:themeColor="text1"/>
                      <w:sz w:val="21"/>
                      <w:szCs w:val="21"/>
                      <w14:textFill>
                        <w14:solidFill>
                          <w14:schemeClr w14:val="tx1"/>
                        </w14:solidFill>
                      </w14:textFill>
                    </w:rPr>
                  </w:pPr>
                </w:p>
              </w:tc>
            </w:tr>
            <w:tr w14:paraId="581D8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vMerge w:val="continue"/>
                  <w:noWrap w:val="0"/>
                  <w:vAlign w:val="center"/>
                </w:tcPr>
                <w:p w14:paraId="48E7B18C">
                  <w:pPr>
                    <w:pStyle w:val="5"/>
                    <w:jc w:val="center"/>
                    <w:rPr>
                      <w:rFonts w:ascii="Times New Roman" w:hAnsi="Times New Roman"/>
                      <w:color w:val="000000" w:themeColor="text1"/>
                      <w:sz w:val="21"/>
                      <w:szCs w:val="21"/>
                      <w14:textFill>
                        <w14:solidFill>
                          <w14:schemeClr w14:val="tx1"/>
                        </w14:solidFill>
                      </w14:textFill>
                    </w:rPr>
                  </w:pPr>
                </w:p>
              </w:tc>
              <w:tc>
                <w:tcPr>
                  <w:tcW w:w="1170" w:type="dxa"/>
                  <w:vMerge w:val="continue"/>
                  <w:noWrap w:val="0"/>
                  <w:vAlign w:val="center"/>
                </w:tcPr>
                <w:p w14:paraId="77F23938">
                  <w:pPr>
                    <w:pStyle w:val="5"/>
                    <w:jc w:val="center"/>
                    <w:rPr>
                      <w:rFonts w:ascii="Times New Roman" w:hAnsi="Times New Roman"/>
                      <w:color w:val="000000" w:themeColor="text1"/>
                      <w:sz w:val="21"/>
                      <w:szCs w:val="21"/>
                      <w14:textFill>
                        <w14:solidFill>
                          <w14:schemeClr w14:val="tx1"/>
                        </w14:solidFill>
                      </w14:textFill>
                    </w:rPr>
                  </w:pPr>
                </w:p>
              </w:tc>
              <w:tc>
                <w:tcPr>
                  <w:tcW w:w="1635" w:type="dxa"/>
                  <w:noWrap w:val="0"/>
                  <w:vAlign w:val="center"/>
                </w:tcPr>
                <w:p w14:paraId="5FB564DD">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202</w:t>
                  </w:r>
                  <w:r>
                    <w:rPr>
                      <w:rFonts w:hint="eastAsia" w:ascii="Times New Roman" w:hAnsi="Times New Roman"/>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30</w:t>
                  </w:r>
                </w:p>
              </w:tc>
              <w:tc>
                <w:tcPr>
                  <w:tcW w:w="2187" w:type="dxa"/>
                  <w:noWrap w:val="0"/>
                  <w:vAlign w:val="center"/>
                </w:tcPr>
                <w:p w14:paraId="19C750D9">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10.08</w:t>
                  </w:r>
                </w:p>
              </w:tc>
              <w:tc>
                <w:tcPr>
                  <w:tcW w:w="1705" w:type="dxa"/>
                  <w:vMerge w:val="continue"/>
                  <w:noWrap w:val="0"/>
                  <w:vAlign w:val="center"/>
                </w:tcPr>
                <w:p w14:paraId="30943D80">
                  <w:pPr>
                    <w:pStyle w:val="5"/>
                    <w:jc w:val="center"/>
                    <w:rPr>
                      <w:rFonts w:ascii="Times New Roman" w:hAnsi="Times New Roman"/>
                      <w:color w:val="000000" w:themeColor="text1"/>
                      <w:sz w:val="21"/>
                      <w:szCs w:val="21"/>
                      <w14:textFill>
                        <w14:solidFill>
                          <w14:schemeClr w14:val="tx1"/>
                        </w14:solidFill>
                      </w14:textFill>
                    </w:rPr>
                  </w:pPr>
                </w:p>
              </w:tc>
            </w:tr>
            <w:tr w14:paraId="35C18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vMerge w:val="continue"/>
                  <w:noWrap w:val="0"/>
                  <w:vAlign w:val="center"/>
                </w:tcPr>
                <w:p w14:paraId="13781F49">
                  <w:pPr>
                    <w:pStyle w:val="5"/>
                    <w:jc w:val="center"/>
                    <w:rPr>
                      <w:rFonts w:ascii="Times New Roman" w:hAnsi="Times New Roman"/>
                      <w:color w:val="000000" w:themeColor="text1"/>
                      <w:sz w:val="21"/>
                      <w:szCs w:val="21"/>
                      <w14:textFill>
                        <w14:solidFill>
                          <w14:schemeClr w14:val="tx1"/>
                        </w14:solidFill>
                      </w14:textFill>
                    </w:rPr>
                  </w:pPr>
                </w:p>
              </w:tc>
              <w:tc>
                <w:tcPr>
                  <w:tcW w:w="1170" w:type="dxa"/>
                  <w:vMerge w:val="continue"/>
                  <w:noWrap w:val="0"/>
                  <w:vAlign w:val="center"/>
                </w:tcPr>
                <w:p w14:paraId="1B7DA3ED">
                  <w:pPr>
                    <w:pStyle w:val="5"/>
                    <w:jc w:val="center"/>
                    <w:rPr>
                      <w:rFonts w:ascii="Times New Roman" w:hAnsi="Times New Roman"/>
                      <w:color w:val="000000" w:themeColor="text1"/>
                      <w:sz w:val="21"/>
                      <w:szCs w:val="21"/>
                      <w14:textFill>
                        <w14:solidFill>
                          <w14:schemeClr w14:val="tx1"/>
                        </w14:solidFill>
                      </w14:textFill>
                    </w:rPr>
                  </w:pPr>
                </w:p>
              </w:tc>
              <w:tc>
                <w:tcPr>
                  <w:tcW w:w="1635" w:type="dxa"/>
                  <w:noWrap w:val="0"/>
                  <w:vAlign w:val="center"/>
                </w:tcPr>
                <w:p w14:paraId="4B83F9F6">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202</w:t>
                  </w:r>
                  <w:r>
                    <w:rPr>
                      <w:rFonts w:hint="eastAsia" w:ascii="Times New Roman" w:hAnsi="Times New Roman"/>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31</w:t>
                  </w:r>
                </w:p>
              </w:tc>
              <w:tc>
                <w:tcPr>
                  <w:tcW w:w="2187" w:type="dxa"/>
                  <w:noWrap w:val="0"/>
                  <w:vAlign w:val="center"/>
                </w:tcPr>
                <w:p w14:paraId="1BD395AD">
                  <w:pPr>
                    <w:pStyle w:val="5"/>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8.04</w:t>
                  </w:r>
                </w:p>
              </w:tc>
              <w:tc>
                <w:tcPr>
                  <w:tcW w:w="1705" w:type="dxa"/>
                  <w:vMerge w:val="continue"/>
                  <w:noWrap w:val="0"/>
                  <w:vAlign w:val="center"/>
                </w:tcPr>
                <w:p w14:paraId="545805C3">
                  <w:pPr>
                    <w:pStyle w:val="5"/>
                    <w:jc w:val="center"/>
                    <w:rPr>
                      <w:rFonts w:ascii="Times New Roman" w:hAnsi="Times New Roman"/>
                      <w:color w:val="000000" w:themeColor="text1"/>
                      <w:sz w:val="21"/>
                      <w:szCs w:val="21"/>
                      <w14:textFill>
                        <w14:solidFill>
                          <w14:schemeClr w14:val="tx1"/>
                        </w14:solidFill>
                      </w14:textFill>
                    </w:rPr>
                  </w:pPr>
                </w:p>
              </w:tc>
            </w:tr>
          </w:tbl>
          <w:p w14:paraId="3216A9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根据大气环境功能区划，项目所在地区为二类区，大气环境质量执行《环境空气质量标准》（GB3095-2012）中的二级标准。</w:t>
            </w:r>
          </w:p>
          <w:p w14:paraId="7C1F881F">
            <w:pPr>
              <w:adjustRightInd w:val="0"/>
              <w:snapToGrid w:val="0"/>
              <w:spacing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本项目所在区域SO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、CO、PM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及PM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相关指标符合《环境空气质量标准》（GB3095-2012）二级标准，O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的日最大8小时滑动平均值第90百分位数浓度超过《环境空气质量标准》（GB3095-2012）二级标准浓度限值。因此区域属于大气环境质量不达标区，</w:t>
            </w:r>
            <w:r>
              <w:rPr>
                <w:rFonts w:ascii="Times New Roman" w:hAnsi="Times New Roman" w:cs="Times New Roman"/>
                <w:color w:val="000000" w:themeColor="text1"/>
                <w:kern w:val="0"/>
                <w:lang w:val="zh-CN"/>
                <w14:textFill>
                  <w14:solidFill>
                    <w14:schemeClr w14:val="tx1"/>
                  </w14:solidFill>
                </w14:textFill>
              </w:rPr>
              <w:t>坚持生态优先、绿色发展，推进大气环境治理体系和治理能力现代化建设。突出源头治理，坚持精准治污、科学治污、依法治污，强化减污降碳协同、臭氧和PM</w:t>
            </w:r>
            <w:r>
              <w:rPr>
                <w:rFonts w:ascii="Times New Roman" w:hAnsi="Times New Roman" w:cs="Times New Roman"/>
                <w:color w:val="000000" w:themeColor="text1"/>
                <w:kern w:val="0"/>
                <w:vertAlign w:val="subscript"/>
                <w:lang w:val="zh-CN"/>
                <w14:textFill>
                  <w14:solidFill>
                    <w14:schemeClr w14:val="tx1"/>
                  </w14:solidFill>
                </w14:textFill>
              </w:rPr>
              <w:t>2.5</w:t>
            </w:r>
            <w:r>
              <w:rPr>
                <w:rFonts w:ascii="Times New Roman" w:hAnsi="Times New Roman" w:cs="Times New Roman"/>
                <w:color w:val="000000" w:themeColor="text1"/>
                <w:kern w:val="0"/>
                <w:lang w:val="zh-CN"/>
                <w14:textFill>
                  <w14:solidFill>
                    <w14:schemeClr w14:val="tx1"/>
                  </w14:solidFill>
                </w14:textFill>
              </w:rPr>
              <w:t>防治协同、区域联防联控协同“三大协同”，持续改善环境空气质量</w:t>
            </w:r>
            <w:r>
              <w:rPr>
                <w:rFonts w:ascii="Times New Roman" w:hAnsi="Times New Roman" w:cs="Times New Roman"/>
                <w:color w:val="000000" w:themeColor="text1"/>
                <w14:textFill>
                  <w14:solidFill>
                    <w14:schemeClr w14:val="tx1"/>
                  </w14:solidFill>
                </w14:textFill>
              </w:rPr>
              <w:t>。</w:t>
            </w:r>
          </w:p>
          <w:p w14:paraId="3BE2C94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南通市在全省率先制定《2022-2023年臭氧污染综合治理实施方案》，提前实施VOCs治理项目1400个。完成钢结构、家具等行业180家企业清洁原料源头替代，积极培育源头替代示范企业20家。淘汰国三及以下标准柴油货车1万余辆， 超额完成省定目标。新上牌新能源汽车3.9万辆。采取上述措施后，预计202</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年臭氧超标情况将得到显著改善。</w:t>
            </w:r>
          </w:p>
          <w:p w14:paraId="2F22820B">
            <w:pPr>
              <w:pStyle w:val="4"/>
              <w:spacing w:before="0" w:after="0" w:line="360" w:lineRule="auto"/>
              <w:ind w:left="420" w:left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2、地表水环境</w:t>
            </w:r>
          </w:p>
          <w:p w14:paraId="187C8A97">
            <w:pPr>
              <w:spacing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南通市生态环境状况公报》（2023年），全市均以长江水作为饮用水源，长江狼山水源地（对应狼山水厂、崇海水厂）、长江洪港水源地（洪港水厂）、长江长青沙水源地（对应如皋鹏鹞水厂）、长江海门水源地（海门长江水厂）符合地表水Ⅲ类及以上标准，水质优良。全市共计年取水量6.03亿吨，饮用水源地水质达标率均为100%。</w:t>
            </w:r>
          </w:p>
          <w:p w14:paraId="17D18720">
            <w:pPr>
              <w:spacing w:line="360" w:lineRule="auto"/>
              <w:ind w:firstLine="420" w:firstLineChars="20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2023年，长江（南通段）水质为Ⅱ类，水质优良。其中，姚港（左岸）、团结闸（左岸）、小李港（左岸）断面水质保持Ⅱ类。南通市境内主要内河中，焦港河、通吕运河、如海运河、九圩港河、通启运河、新江海河、通扬运河、新通扬运河、栟茶运河、北凌河、如泰运河、遥望港水质基本达到Ⅲ类标准。市区濠河水质总体达到地表水Ⅲ类标准，水质良好；各县（市、区）城区水质在地表水Ⅲ～Ⅳ类之间波动。</w:t>
            </w:r>
          </w:p>
          <w:p w14:paraId="24DB1BC3">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3、声环境</w:t>
            </w:r>
          </w:p>
          <w:p w14:paraId="7BF58D03">
            <w:pPr>
              <w:adjustRightInd w:val="0"/>
              <w:snapToGrid w:val="0"/>
              <w:spacing w:line="360" w:lineRule="auto"/>
              <w:ind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本项目周边50米范围内无声环境敏感目标</w:t>
            </w:r>
            <w:r>
              <w:rPr>
                <w:rFonts w:hint="default" w:ascii="Times New Roman" w:hAnsi="Times New Roman" w:cs="Times New Roman"/>
                <w:color w:val="000000" w:themeColor="text1"/>
                <w14:textFill>
                  <w14:solidFill>
                    <w14:schemeClr w14:val="tx1"/>
                  </w14:solidFill>
                </w14:textFill>
              </w:rPr>
              <w:t>，故本项目区域声环境质量不进行现状监测</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27C471BC">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4、生态环境</w:t>
            </w:r>
          </w:p>
          <w:p w14:paraId="64C9C0FB">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本项目用地范围内不含有生态环境保护目标，故不进行生态现状调查。</w:t>
            </w:r>
          </w:p>
          <w:p w14:paraId="6B819D7B">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5、电磁辐射</w:t>
            </w:r>
          </w:p>
          <w:p w14:paraId="57F00E2F">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本项目不涉及电磁辐射类项目，故不进行电磁辐射现状调查和评价</w:t>
            </w:r>
            <w:r>
              <w:rPr>
                <w:rFonts w:hint="default" w:ascii="Times New Roman" w:hAnsi="Times New Roman" w:eastAsia="宋体" w:cs="Times New Roman"/>
                <w:color w:val="000000" w:themeColor="text1"/>
                <w:szCs w:val="21"/>
                <w:lang w:eastAsia="zh-CN"/>
                <w14:textFill>
                  <w14:solidFill>
                    <w14:schemeClr w14:val="tx1"/>
                  </w14:solidFill>
                </w14:textFill>
              </w:rPr>
              <w:t>。</w:t>
            </w:r>
          </w:p>
        </w:tc>
      </w:tr>
      <w:tr w14:paraId="3667D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4" w:type="dxa"/>
            <w:noWrap w:val="0"/>
            <w:vAlign w:val="center"/>
          </w:tcPr>
          <w:p w14:paraId="288123E1">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环境</w:t>
            </w:r>
          </w:p>
          <w:p w14:paraId="5AE8A42A">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保护</w:t>
            </w:r>
          </w:p>
          <w:p w14:paraId="3F082F47">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目标</w:t>
            </w:r>
          </w:p>
        </w:tc>
        <w:tc>
          <w:tcPr>
            <w:tcW w:w="8674" w:type="dxa"/>
            <w:noWrap w:val="0"/>
            <w:vAlign w:val="center"/>
          </w:tcPr>
          <w:p w14:paraId="02211B15">
            <w:pPr>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1、大气环境</w:t>
            </w:r>
          </w:p>
          <w:p w14:paraId="5CBF6C69">
            <w:pPr>
              <w:ind w:firstLine="422" w:firstLineChars="20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w:t>
            </w: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 xml:space="preserve">  大气环境保护目标</w:t>
            </w:r>
          </w:p>
          <w:tbl>
            <w:tblPr>
              <w:tblStyle w:val="4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694"/>
              <w:gridCol w:w="1275"/>
              <w:gridCol w:w="1215"/>
              <w:gridCol w:w="864"/>
              <w:gridCol w:w="806"/>
              <w:gridCol w:w="910"/>
              <w:gridCol w:w="776"/>
              <w:gridCol w:w="918"/>
            </w:tblGrid>
            <w:tr w14:paraId="3FFB89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4" w:hRule="atLeast"/>
                <w:tblHeader/>
                <w:jc w:val="center"/>
              </w:trPr>
              <w:tc>
                <w:tcPr>
                  <w:tcW w:w="1694" w:type="dxa"/>
                  <w:vMerge w:val="restart"/>
                  <w:shd w:val="clear" w:color="auto" w:fill="FFFFFF"/>
                  <w:vAlign w:val="center"/>
                </w:tcPr>
                <w:p w14:paraId="0386E6FC">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2490" w:type="dxa"/>
                  <w:gridSpan w:val="2"/>
                  <w:shd w:val="clear" w:color="auto" w:fill="FFFFFF"/>
                  <w:vAlign w:val="center"/>
                </w:tcPr>
                <w:p w14:paraId="3CB39276">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坐标/m</w:t>
                  </w:r>
                </w:p>
              </w:tc>
              <w:tc>
                <w:tcPr>
                  <w:tcW w:w="864" w:type="dxa"/>
                  <w:vMerge w:val="restart"/>
                  <w:shd w:val="clear" w:color="auto" w:fill="FFFFFF"/>
                  <w:vAlign w:val="center"/>
                </w:tcPr>
                <w:p w14:paraId="1A2FED34">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保护</w:t>
                  </w:r>
                </w:p>
                <w:p w14:paraId="56560A26">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对象</w:t>
                  </w:r>
                </w:p>
              </w:tc>
              <w:tc>
                <w:tcPr>
                  <w:tcW w:w="806" w:type="dxa"/>
                  <w:vMerge w:val="restart"/>
                  <w:shd w:val="clear" w:color="auto" w:fill="FFFFFF"/>
                  <w:vAlign w:val="center"/>
                </w:tcPr>
                <w:p w14:paraId="34B4C960">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保护内容</w:t>
                  </w:r>
                </w:p>
              </w:tc>
              <w:tc>
                <w:tcPr>
                  <w:tcW w:w="910" w:type="dxa"/>
                  <w:vMerge w:val="restart"/>
                  <w:shd w:val="clear" w:color="auto" w:fill="FFFFFF"/>
                  <w:vAlign w:val="center"/>
                </w:tcPr>
                <w:p w14:paraId="450C500B">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环境功能区</w:t>
                  </w:r>
                </w:p>
              </w:tc>
              <w:tc>
                <w:tcPr>
                  <w:tcW w:w="776" w:type="dxa"/>
                  <w:vMerge w:val="restart"/>
                  <w:shd w:val="clear" w:color="auto" w:fill="FFFFFF"/>
                  <w:vAlign w:val="center"/>
                </w:tcPr>
                <w:p w14:paraId="75095FF5">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相对厂址方位</w:t>
                  </w:r>
                </w:p>
              </w:tc>
              <w:tc>
                <w:tcPr>
                  <w:tcW w:w="918" w:type="dxa"/>
                  <w:vMerge w:val="restart"/>
                  <w:shd w:val="clear" w:color="auto" w:fill="FFFFFF"/>
                  <w:vAlign w:val="center"/>
                </w:tcPr>
                <w:p w14:paraId="4842FBE8">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相对厂界距离/m</w:t>
                  </w:r>
                </w:p>
              </w:tc>
            </w:tr>
            <w:tr w14:paraId="1DA085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9" w:hRule="atLeast"/>
                <w:jc w:val="center"/>
              </w:trPr>
              <w:tc>
                <w:tcPr>
                  <w:tcW w:w="1694" w:type="dxa"/>
                  <w:vMerge w:val="continue"/>
                  <w:shd w:val="clear" w:color="auto" w:fill="FFFFFF"/>
                  <w:vAlign w:val="center"/>
                </w:tcPr>
                <w:p w14:paraId="42AF79D1">
                  <w:pPr>
                    <w:pStyle w:val="80"/>
                    <w:rPr>
                      <w:rFonts w:hint="default" w:ascii="Times New Roman" w:hAnsi="Times New Roman" w:eastAsia="宋体" w:cs="Times New Roman"/>
                      <w:color w:val="000000" w:themeColor="text1"/>
                      <w:sz w:val="21"/>
                      <w:szCs w:val="21"/>
                      <w14:textFill>
                        <w14:solidFill>
                          <w14:schemeClr w14:val="tx1"/>
                        </w14:solidFill>
                      </w14:textFill>
                    </w:rPr>
                  </w:pPr>
                </w:p>
              </w:tc>
              <w:tc>
                <w:tcPr>
                  <w:tcW w:w="1275" w:type="dxa"/>
                  <w:shd w:val="clear" w:color="auto" w:fill="FFFFFF"/>
                  <w:vAlign w:val="center"/>
                </w:tcPr>
                <w:p w14:paraId="0A4DA0CE">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1215" w:type="dxa"/>
                  <w:shd w:val="clear" w:color="auto" w:fill="FFFFFF"/>
                  <w:vAlign w:val="center"/>
                </w:tcPr>
                <w:p w14:paraId="7064D69E">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864" w:type="dxa"/>
                  <w:vMerge w:val="continue"/>
                  <w:shd w:val="clear" w:color="auto" w:fill="FFFFFF"/>
                  <w:vAlign w:val="center"/>
                </w:tcPr>
                <w:p w14:paraId="42967ECC">
                  <w:pPr>
                    <w:pStyle w:val="80"/>
                    <w:rPr>
                      <w:rFonts w:hint="default" w:ascii="Times New Roman" w:hAnsi="Times New Roman" w:eastAsia="宋体" w:cs="Times New Roman"/>
                      <w:color w:val="000000" w:themeColor="text1"/>
                      <w:sz w:val="21"/>
                      <w:szCs w:val="21"/>
                      <w14:textFill>
                        <w14:solidFill>
                          <w14:schemeClr w14:val="tx1"/>
                        </w14:solidFill>
                      </w14:textFill>
                    </w:rPr>
                  </w:pPr>
                </w:p>
              </w:tc>
              <w:tc>
                <w:tcPr>
                  <w:tcW w:w="806" w:type="dxa"/>
                  <w:vMerge w:val="continue"/>
                  <w:shd w:val="clear" w:color="auto" w:fill="FFFFFF"/>
                  <w:vAlign w:val="center"/>
                </w:tcPr>
                <w:p w14:paraId="744502AB">
                  <w:pPr>
                    <w:pStyle w:val="80"/>
                    <w:rPr>
                      <w:rFonts w:hint="default" w:ascii="Times New Roman" w:hAnsi="Times New Roman" w:eastAsia="宋体" w:cs="Times New Roman"/>
                      <w:color w:val="000000" w:themeColor="text1"/>
                      <w:sz w:val="21"/>
                      <w:szCs w:val="21"/>
                      <w14:textFill>
                        <w14:solidFill>
                          <w14:schemeClr w14:val="tx1"/>
                        </w14:solidFill>
                      </w14:textFill>
                    </w:rPr>
                  </w:pPr>
                </w:p>
              </w:tc>
              <w:tc>
                <w:tcPr>
                  <w:tcW w:w="910" w:type="dxa"/>
                  <w:vMerge w:val="continue"/>
                  <w:shd w:val="clear" w:color="auto" w:fill="FFFFFF"/>
                  <w:vAlign w:val="center"/>
                </w:tcPr>
                <w:p w14:paraId="0CF50ABA">
                  <w:pPr>
                    <w:pStyle w:val="80"/>
                    <w:rPr>
                      <w:rFonts w:hint="default" w:ascii="Times New Roman" w:hAnsi="Times New Roman" w:eastAsia="宋体" w:cs="Times New Roman"/>
                      <w:color w:val="000000" w:themeColor="text1"/>
                      <w:sz w:val="21"/>
                      <w:szCs w:val="21"/>
                      <w14:textFill>
                        <w14:solidFill>
                          <w14:schemeClr w14:val="tx1"/>
                        </w14:solidFill>
                      </w14:textFill>
                    </w:rPr>
                  </w:pPr>
                </w:p>
              </w:tc>
              <w:tc>
                <w:tcPr>
                  <w:tcW w:w="776" w:type="dxa"/>
                  <w:vMerge w:val="continue"/>
                  <w:shd w:val="clear" w:color="auto" w:fill="FFFFFF"/>
                  <w:vAlign w:val="center"/>
                </w:tcPr>
                <w:p w14:paraId="3203BB20">
                  <w:pPr>
                    <w:pStyle w:val="80"/>
                    <w:rPr>
                      <w:rFonts w:hint="default" w:ascii="Times New Roman" w:hAnsi="Times New Roman" w:eastAsia="宋体" w:cs="Times New Roman"/>
                      <w:color w:val="000000" w:themeColor="text1"/>
                      <w:sz w:val="21"/>
                      <w:szCs w:val="21"/>
                      <w14:textFill>
                        <w14:solidFill>
                          <w14:schemeClr w14:val="tx1"/>
                        </w14:solidFill>
                      </w14:textFill>
                    </w:rPr>
                  </w:pPr>
                </w:p>
              </w:tc>
              <w:tc>
                <w:tcPr>
                  <w:tcW w:w="918" w:type="dxa"/>
                  <w:vMerge w:val="continue"/>
                  <w:shd w:val="clear" w:color="auto" w:fill="FFFFFF"/>
                  <w:vAlign w:val="center"/>
                </w:tcPr>
                <w:p w14:paraId="1B05C10A">
                  <w:pPr>
                    <w:pStyle w:val="80"/>
                    <w:rPr>
                      <w:rFonts w:hint="default" w:ascii="Times New Roman" w:hAnsi="Times New Roman" w:eastAsia="宋体" w:cs="Times New Roman"/>
                      <w:color w:val="000000" w:themeColor="text1"/>
                      <w:sz w:val="21"/>
                      <w:szCs w:val="21"/>
                      <w14:textFill>
                        <w14:solidFill>
                          <w14:schemeClr w14:val="tx1"/>
                        </w14:solidFill>
                      </w14:textFill>
                    </w:rPr>
                  </w:pPr>
                </w:p>
              </w:tc>
            </w:tr>
            <w:tr w14:paraId="5E2476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61CE29CC">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东风新村</w:t>
                  </w:r>
                </w:p>
              </w:tc>
              <w:tc>
                <w:tcPr>
                  <w:tcW w:w="1275" w:type="dxa"/>
                  <w:shd w:val="clear" w:color="auto" w:fill="FFFFFF"/>
                  <w:vAlign w:val="center"/>
                </w:tcPr>
                <w:p w14:paraId="0515F20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121.189892</w:t>
                  </w:r>
                </w:p>
              </w:tc>
              <w:tc>
                <w:tcPr>
                  <w:tcW w:w="1215" w:type="dxa"/>
                  <w:shd w:val="clear" w:color="auto" w:fill="FFFFFF"/>
                  <w:vAlign w:val="center"/>
                </w:tcPr>
                <w:p w14:paraId="02D0FD97">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31.899538</w:t>
                  </w:r>
                </w:p>
              </w:tc>
              <w:tc>
                <w:tcPr>
                  <w:tcW w:w="864" w:type="dxa"/>
                  <w:shd w:val="clear" w:color="auto" w:fill="FFFFFF"/>
                  <w:vAlign w:val="center"/>
                </w:tcPr>
                <w:p w14:paraId="62ABAF55">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2042FF43">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7500A08A">
                  <w:pPr>
                    <w:pStyle w:val="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3871D14B">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w:t>
                  </w:r>
                </w:p>
              </w:tc>
              <w:tc>
                <w:tcPr>
                  <w:tcW w:w="918" w:type="dxa"/>
                  <w:shd w:val="clear" w:color="auto" w:fill="FFFFFF"/>
                  <w:vAlign w:val="center"/>
                </w:tcPr>
                <w:p w14:paraId="1EACD20B">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w:t>
                  </w:r>
                </w:p>
              </w:tc>
            </w:tr>
            <w:tr w14:paraId="4BA547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1813F289">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海门区东洲小学</w:t>
                  </w:r>
                </w:p>
              </w:tc>
              <w:tc>
                <w:tcPr>
                  <w:tcW w:w="1275" w:type="dxa"/>
                  <w:shd w:val="clear" w:color="auto" w:fill="FFFFFF"/>
                  <w:vAlign w:val="center"/>
                </w:tcPr>
                <w:p w14:paraId="23279007">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121.194923</w:t>
                  </w:r>
                </w:p>
              </w:tc>
              <w:tc>
                <w:tcPr>
                  <w:tcW w:w="1215" w:type="dxa"/>
                  <w:shd w:val="clear" w:color="auto" w:fill="FFFFFF"/>
                  <w:vAlign w:val="center"/>
                </w:tcPr>
                <w:p w14:paraId="5F6A98D9">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31.899507</w:t>
                  </w:r>
                </w:p>
              </w:tc>
              <w:tc>
                <w:tcPr>
                  <w:tcW w:w="864" w:type="dxa"/>
                  <w:shd w:val="clear" w:color="auto" w:fill="FFFFFF"/>
                  <w:vAlign w:val="center"/>
                </w:tcPr>
                <w:p w14:paraId="19EC0FDF">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237DBA95">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07D13968">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2014949C">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NE</w:t>
                  </w:r>
                </w:p>
              </w:tc>
              <w:tc>
                <w:tcPr>
                  <w:tcW w:w="918" w:type="dxa"/>
                  <w:shd w:val="clear" w:color="auto" w:fill="FFFFFF"/>
                  <w:vAlign w:val="center"/>
                </w:tcPr>
                <w:p w14:paraId="6BEC03E0">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59</w:t>
                  </w:r>
                </w:p>
              </w:tc>
            </w:tr>
            <w:tr w14:paraId="33E455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77A7C0A7">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海门区少年宫幼儿园</w:t>
                  </w:r>
                </w:p>
              </w:tc>
              <w:tc>
                <w:tcPr>
                  <w:tcW w:w="1275" w:type="dxa"/>
                  <w:shd w:val="clear" w:color="auto" w:fill="FFFFFF"/>
                  <w:vAlign w:val="center"/>
                </w:tcPr>
                <w:p w14:paraId="1A5C8A5C">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121.194204</w:t>
                  </w:r>
                </w:p>
              </w:tc>
              <w:tc>
                <w:tcPr>
                  <w:tcW w:w="1215" w:type="dxa"/>
                  <w:shd w:val="clear" w:color="auto" w:fill="FFFFFF"/>
                  <w:vAlign w:val="center"/>
                </w:tcPr>
                <w:p w14:paraId="0D11B174">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31.900948</w:t>
                  </w:r>
                </w:p>
              </w:tc>
              <w:tc>
                <w:tcPr>
                  <w:tcW w:w="864" w:type="dxa"/>
                  <w:shd w:val="clear" w:color="auto" w:fill="FFFFFF"/>
                  <w:vAlign w:val="center"/>
                </w:tcPr>
                <w:p w14:paraId="675A3668">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0259C0D8">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1328D7C6">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711BD708">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NE</w:t>
                  </w:r>
                </w:p>
              </w:tc>
              <w:tc>
                <w:tcPr>
                  <w:tcW w:w="918" w:type="dxa"/>
                  <w:shd w:val="clear" w:color="auto" w:fill="FFFFFF"/>
                  <w:vAlign w:val="center"/>
                </w:tcPr>
                <w:p w14:paraId="672D41F1">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213</w:t>
                  </w:r>
                </w:p>
              </w:tc>
            </w:tr>
            <w:tr w14:paraId="21B19A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57277AC0">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金三角花园</w:t>
                  </w:r>
                </w:p>
              </w:tc>
              <w:tc>
                <w:tcPr>
                  <w:tcW w:w="1275" w:type="dxa"/>
                  <w:shd w:val="clear" w:color="auto" w:fill="FFFFFF"/>
                  <w:vAlign w:val="center"/>
                </w:tcPr>
                <w:p w14:paraId="44DF50F8">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121.199199</w:t>
                  </w:r>
                </w:p>
              </w:tc>
              <w:tc>
                <w:tcPr>
                  <w:tcW w:w="1215" w:type="dxa"/>
                  <w:shd w:val="clear" w:color="auto" w:fill="FFFFFF"/>
                  <w:vAlign w:val="center"/>
                </w:tcPr>
                <w:p w14:paraId="23FFE32C">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31.900611</w:t>
                  </w:r>
                </w:p>
              </w:tc>
              <w:tc>
                <w:tcPr>
                  <w:tcW w:w="864" w:type="dxa"/>
                  <w:shd w:val="clear" w:color="auto" w:fill="FFFFFF"/>
                  <w:vAlign w:val="center"/>
                </w:tcPr>
                <w:p w14:paraId="33C6CE7B">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2B25AE9C">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0AFEF6E2">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7A48255C">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NE</w:t>
                  </w:r>
                </w:p>
              </w:tc>
              <w:tc>
                <w:tcPr>
                  <w:tcW w:w="918" w:type="dxa"/>
                  <w:shd w:val="clear" w:color="auto" w:fill="FFFFFF"/>
                  <w:vAlign w:val="center"/>
                </w:tcPr>
                <w:p w14:paraId="6E6300D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187</w:t>
                  </w:r>
                </w:p>
              </w:tc>
            </w:tr>
            <w:tr w14:paraId="4BCACB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650315FE">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通源新村</w:t>
                  </w:r>
                </w:p>
              </w:tc>
              <w:tc>
                <w:tcPr>
                  <w:tcW w:w="1275" w:type="dxa"/>
                  <w:shd w:val="clear" w:color="auto" w:fill="FFFFFF"/>
                  <w:vAlign w:val="center"/>
                </w:tcPr>
                <w:p w14:paraId="493732F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121.208263</w:t>
                  </w:r>
                </w:p>
              </w:tc>
              <w:tc>
                <w:tcPr>
                  <w:tcW w:w="1215" w:type="dxa"/>
                  <w:shd w:val="clear" w:color="auto" w:fill="FFFFFF"/>
                  <w:vAlign w:val="center"/>
                </w:tcPr>
                <w:p w14:paraId="1F2FF20D">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31.911268</w:t>
                  </w:r>
                </w:p>
              </w:tc>
              <w:tc>
                <w:tcPr>
                  <w:tcW w:w="864" w:type="dxa"/>
                  <w:shd w:val="clear" w:color="auto" w:fill="FFFFFF"/>
                  <w:vAlign w:val="center"/>
                </w:tcPr>
                <w:p w14:paraId="47B6FF75">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0D6DE0C4">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7F3E03E8">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2F7BC42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NE</w:t>
                  </w:r>
                </w:p>
              </w:tc>
              <w:tc>
                <w:tcPr>
                  <w:tcW w:w="918" w:type="dxa"/>
                  <w:shd w:val="clear" w:color="auto" w:fill="FFFFFF"/>
                  <w:vAlign w:val="center"/>
                </w:tcPr>
                <w:p w14:paraId="3F30C564">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488</w:t>
                  </w:r>
                </w:p>
              </w:tc>
            </w:tr>
            <w:tr w14:paraId="761F9D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3C8779ED">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德兴苑</w:t>
                  </w:r>
                </w:p>
              </w:tc>
              <w:tc>
                <w:tcPr>
                  <w:tcW w:w="1275" w:type="dxa"/>
                  <w:shd w:val="clear" w:color="auto" w:fill="FFFFFF"/>
                  <w:vAlign w:val="center"/>
                </w:tcPr>
                <w:p w14:paraId="779BE7C2">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121.191016</w:t>
                  </w:r>
                </w:p>
              </w:tc>
              <w:tc>
                <w:tcPr>
                  <w:tcW w:w="1215" w:type="dxa"/>
                  <w:shd w:val="clear" w:color="auto" w:fill="FFFFFF"/>
                  <w:vAlign w:val="center"/>
                </w:tcPr>
                <w:p w14:paraId="7A81B2F0">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31.898639</w:t>
                  </w:r>
                </w:p>
              </w:tc>
              <w:tc>
                <w:tcPr>
                  <w:tcW w:w="864" w:type="dxa"/>
                  <w:shd w:val="clear" w:color="auto" w:fill="FFFFFF"/>
                  <w:vAlign w:val="center"/>
                </w:tcPr>
                <w:p w14:paraId="62C0DE78">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61F6878A">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45794016">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4E9AD54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NW</w:t>
                  </w:r>
                </w:p>
              </w:tc>
              <w:tc>
                <w:tcPr>
                  <w:tcW w:w="918" w:type="dxa"/>
                  <w:shd w:val="clear" w:color="auto" w:fill="FFFFFF"/>
                  <w:vAlign w:val="center"/>
                </w:tcPr>
                <w:p w14:paraId="0008268A">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474</w:t>
                  </w:r>
                </w:p>
              </w:tc>
            </w:tr>
            <w:tr w14:paraId="1EE07B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4257929F">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兴华园</w:t>
                  </w:r>
                </w:p>
              </w:tc>
              <w:tc>
                <w:tcPr>
                  <w:tcW w:w="1275" w:type="dxa"/>
                  <w:shd w:val="clear" w:color="auto" w:fill="FFFFFF"/>
                  <w:vAlign w:val="center"/>
                </w:tcPr>
                <w:p w14:paraId="4084ABD5">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121.191797</w:t>
                  </w:r>
                </w:p>
              </w:tc>
              <w:tc>
                <w:tcPr>
                  <w:tcW w:w="1215" w:type="dxa"/>
                  <w:shd w:val="clear" w:color="auto" w:fill="FFFFFF"/>
                  <w:vAlign w:val="center"/>
                </w:tcPr>
                <w:p w14:paraId="103C968B">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31.896533</w:t>
                  </w:r>
                </w:p>
              </w:tc>
              <w:tc>
                <w:tcPr>
                  <w:tcW w:w="864" w:type="dxa"/>
                  <w:shd w:val="clear" w:color="auto" w:fill="FFFFFF"/>
                  <w:vAlign w:val="center"/>
                </w:tcPr>
                <w:p w14:paraId="4208CC8C">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2FA44C0E">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79063137">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5B5B3FB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w:t>
                  </w:r>
                </w:p>
              </w:tc>
              <w:tc>
                <w:tcPr>
                  <w:tcW w:w="918" w:type="dxa"/>
                  <w:shd w:val="clear" w:color="auto" w:fill="FFFFFF"/>
                  <w:vAlign w:val="center"/>
                </w:tcPr>
                <w:p w14:paraId="68B411E7">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141</w:t>
                  </w:r>
                </w:p>
              </w:tc>
            </w:tr>
            <w:tr w14:paraId="511F70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70231ADD">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海景小区</w:t>
                  </w:r>
                </w:p>
              </w:tc>
              <w:tc>
                <w:tcPr>
                  <w:tcW w:w="1275" w:type="dxa"/>
                  <w:shd w:val="clear" w:color="auto" w:fill="FFFFFF"/>
                  <w:vAlign w:val="center"/>
                </w:tcPr>
                <w:p w14:paraId="406C2BD0">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121.188275</w:t>
                  </w:r>
                </w:p>
              </w:tc>
              <w:tc>
                <w:tcPr>
                  <w:tcW w:w="1215" w:type="dxa"/>
                  <w:shd w:val="clear" w:color="auto" w:fill="FFFFFF"/>
                  <w:vAlign w:val="center"/>
                </w:tcPr>
                <w:p w14:paraId="1666B16D">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31.897085</w:t>
                  </w:r>
                </w:p>
              </w:tc>
              <w:tc>
                <w:tcPr>
                  <w:tcW w:w="864" w:type="dxa"/>
                  <w:shd w:val="clear" w:color="auto" w:fill="FFFFFF"/>
                  <w:vAlign w:val="center"/>
                </w:tcPr>
                <w:p w14:paraId="3DBE8D66">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28527E6E">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37FC309B">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3F5F8377">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SW</w:t>
                  </w:r>
                </w:p>
              </w:tc>
              <w:tc>
                <w:tcPr>
                  <w:tcW w:w="918" w:type="dxa"/>
                  <w:shd w:val="clear" w:color="auto" w:fill="FFFFFF"/>
                  <w:vAlign w:val="center"/>
                </w:tcPr>
                <w:p w14:paraId="3DEA5E63">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437</w:t>
                  </w:r>
                </w:p>
              </w:tc>
            </w:tr>
            <w:tr w14:paraId="0C058C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3B43258E">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南通市海门第一中学</w:t>
                  </w:r>
                </w:p>
              </w:tc>
              <w:tc>
                <w:tcPr>
                  <w:tcW w:w="1275" w:type="dxa"/>
                  <w:shd w:val="clear" w:color="auto" w:fill="FFFFFF"/>
                  <w:vAlign w:val="center"/>
                </w:tcPr>
                <w:p w14:paraId="35D6E1B1">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121.191761</w:t>
                  </w:r>
                </w:p>
              </w:tc>
              <w:tc>
                <w:tcPr>
                  <w:tcW w:w="1215" w:type="dxa"/>
                  <w:shd w:val="clear" w:color="auto" w:fill="FFFFFF"/>
                  <w:vAlign w:val="center"/>
                </w:tcPr>
                <w:p w14:paraId="65AB5223">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31.89546</w:t>
                  </w:r>
                </w:p>
              </w:tc>
              <w:tc>
                <w:tcPr>
                  <w:tcW w:w="864" w:type="dxa"/>
                  <w:shd w:val="clear" w:color="auto" w:fill="FFFFFF"/>
                  <w:vAlign w:val="center"/>
                </w:tcPr>
                <w:p w14:paraId="7A8F8D33">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545BB7D5">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2D4757D8">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0200355E">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SW</w:t>
                  </w:r>
                </w:p>
              </w:tc>
              <w:tc>
                <w:tcPr>
                  <w:tcW w:w="918" w:type="dxa"/>
                  <w:shd w:val="clear" w:color="auto" w:fill="FFFFFF"/>
                  <w:vAlign w:val="center"/>
                </w:tcPr>
                <w:p w14:paraId="4D30DEDF">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379</w:t>
                  </w:r>
                </w:p>
              </w:tc>
            </w:tr>
            <w:tr w14:paraId="1D1AC2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34B32F34">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海盈花苑</w:t>
                  </w:r>
                </w:p>
              </w:tc>
              <w:tc>
                <w:tcPr>
                  <w:tcW w:w="1275" w:type="dxa"/>
                  <w:shd w:val="clear" w:color="auto" w:fill="FFFFFF"/>
                  <w:vAlign w:val="center"/>
                </w:tcPr>
                <w:p w14:paraId="1F0AB56F">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121.188051</w:t>
                  </w:r>
                </w:p>
              </w:tc>
              <w:tc>
                <w:tcPr>
                  <w:tcW w:w="1215" w:type="dxa"/>
                  <w:shd w:val="clear" w:color="auto" w:fill="FFFFFF"/>
                  <w:vAlign w:val="center"/>
                </w:tcPr>
                <w:p w14:paraId="30A86B04">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31.896365</w:t>
                  </w:r>
                </w:p>
              </w:tc>
              <w:tc>
                <w:tcPr>
                  <w:tcW w:w="864" w:type="dxa"/>
                  <w:shd w:val="clear" w:color="auto" w:fill="FFFFFF"/>
                  <w:vAlign w:val="center"/>
                </w:tcPr>
                <w:p w14:paraId="26A8028A">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0C45CF31">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31FE64A8">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3B76633F">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SW</w:t>
                  </w:r>
                </w:p>
              </w:tc>
              <w:tc>
                <w:tcPr>
                  <w:tcW w:w="918" w:type="dxa"/>
                  <w:shd w:val="clear" w:color="auto" w:fill="FFFFFF"/>
                  <w:vAlign w:val="center"/>
                </w:tcPr>
                <w:p w14:paraId="5E9AC03E">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372</w:t>
                  </w:r>
                </w:p>
              </w:tc>
            </w:tr>
            <w:tr w14:paraId="0BC700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1E79F78E">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春风里花苑</w:t>
                  </w:r>
                </w:p>
              </w:tc>
              <w:tc>
                <w:tcPr>
                  <w:tcW w:w="1275" w:type="dxa"/>
                  <w:shd w:val="clear" w:color="auto" w:fill="FFFFFF"/>
                  <w:vAlign w:val="center"/>
                </w:tcPr>
                <w:p w14:paraId="12597F96">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121.189272</w:t>
                  </w:r>
                </w:p>
              </w:tc>
              <w:tc>
                <w:tcPr>
                  <w:tcW w:w="1215" w:type="dxa"/>
                  <w:shd w:val="clear" w:color="auto" w:fill="FFFFFF"/>
                  <w:vAlign w:val="center"/>
                </w:tcPr>
                <w:p w14:paraId="7ECB649E">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31.892579</w:t>
                  </w:r>
                </w:p>
              </w:tc>
              <w:tc>
                <w:tcPr>
                  <w:tcW w:w="864" w:type="dxa"/>
                  <w:shd w:val="clear" w:color="auto" w:fill="FFFFFF"/>
                  <w:vAlign w:val="center"/>
                </w:tcPr>
                <w:p w14:paraId="70653609">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59A04EDE">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7BB5656C">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1F43045C">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SW</w:t>
                  </w:r>
                </w:p>
              </w:tc>
              <w:tc>
                <w:tcPr>
                  <w:tcW w:w="918" w:type="dxa"/>
                  <w:shd w:val="clear" w:color="auto" w:fill="FFFFFF"/>
                  <w:vAlign w:val="center"/>
                </w:tcPr>
                <w:p w14:paraId="0F9D4A9A">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474</w:t>
                  </w:r>
                </w:p>
              </w:tc>
            </w:tr>
            <w:tr w14:paraId="56FA50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2D112C5B">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嘉秀花园</w:t>
                  </w:r>
                </w:p>
              </w:tc>
              <w:tc>
                <w:tcPr>
                  <w:tcW w:w="1275" w:type="dxa"/>
                  <w:shd w:val="clear" w:color="auto" w:fill="FFFFFF"/>
                  <w:vAlign w:val="center"/>
                </w:tcPr>
                <w:p w14:paraId="72AB903E">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121.196477</w:t>
                  </w:r>
                </w:p>
              </w:tc>
              <w:tc>
                <w:tcPr>
                  <w:tcW w:w="1215" w:type="dxa"/>
                  <w:shd w:val="clear" w:color="auto" w:fill="FFFFFF"/>
                  <w:vAlign w:val="center"/>
                </w:tcPr>
                <w:p w14:paraId="32F4F192">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31.893345</w:t>
                  </w:r>
                </w:p>
              </w:tc>
              <w:tc>
                <w:tcPr>
                  <w:tcW w:w="864" w:type="dxa"/>
                  <w:shd w:val="clear" w:color="auto" w:fill="FFFFFF"/>
                  <w:vAlign w:val="center"/>
                </w:tcPr>
                <w:p w14:paraId="2968EAA3">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254CD9F5">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1C8AFC0D">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12532B57">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w:t>
                  </w:r>
                </w:p>
              </w:tc>
              <w:tc>
                <w:tcPr>
                  <w:tcW w:w="918" w:type="dxa"/>
                  <w:shd w:val="clear" w:color="auto" w:fill="FFFFFF"/>
                  <w:vAlign w:val="center"/>
                </w:tcPr>
                <w:p w14:paraId="2ADC31A0">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405</w:t>
                  </w:r>
                </w:p>
              </w:tc>
            </w:tr>
            <w:tr w14:paraId="2A1177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694" w:type="dxa"/>
                  <w:shd w:val="clear" w:color="auto" w:fill="FFFFFF"/>
                  <w:vAlign w:val="center"/>
                </w:tcPr>
                <w:p w14:paraId="4C997C2B">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融创盛和铂园</w:t>
                  </w:r>
                </w:p>
              </w:tc>
              <w:tc>
                <w:tcPr>
                  <w:tcW w:w="1275" w:type="dxa"/>
                  <w:shd w:val="clear" w:color="auto" w:fill="FFFFFF"/>
                  <w:vAlign w:val="center"/>
                </w:tcPr>
                <w:p w14:paraId="27584BB8">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121.199872</w:t>
                  </w:r>
                </w:p>
              </w:tc>
              <w:tc>
                <w:tcPr>
                  <w:tcW w:w="1215" w:type="dxa"/>
                  <w:shd w:val="clear" w:color="auto" w:fill="FFFFFF"/>
                  <w:vAlign w:val="center"/>
                </w:tcPr>
                <w:p w14:paraId="215EED8F">
                  <w:pPr>
                    <w:pStyle w:val="4"/>
                    <w:spacing w:before="0" w:after="0" w:line="240" w:lineRule="auto"/>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31.893514</w:t>
                  </w:r>
                </w:p>
              </w:tc>
              <w:tc>
                <w:tcPr>
                  <w:tcW w:w="864" w:type="dxa"/>
                  <w:shd w:val="clear" w:color="auto" w:fill="FFFFFF"/>
                  <w:vAlign w:val="center"/>
                </w:tcPr>
                <w:p w14:paraId="4C8876FF">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居住区</w:t>
                  </w:r>
                </w:p>
              </w:tc>
              <w:tc>
                <w:tcPr>
                  <w:tcW w:w="806" w:type="dxa"/>
                  <w:shd w:val="clear" w:color="auto" w:fill="FFFFFF"/>
                  <w:vAlign w:val="center"/>
                </w:tcPr>
                <w:p w14:paraId="682D34D5">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人群健康</w:t>
                  </w:r>
                </w:p>
              </w:tc>
              <w:tc>
                <w:tcPr>
                  <w:tcW w:w="910" w:type="dxa"/>
                  <w:shd w:val="clear" w:color="auto" w:fill="FFFFFF"/>
                  <w:vAlign w:val="center"/>
                </w:tcPr>
                <w:p w14:paraId="4CCFB6E5">
                  <w:pPr>
                    <w:pStyle w:val="80"/>
                    <w:rPr>
                      <w:rFonts w:hint="default" w:ascii="Times New Roman" w:hAnsi="Times New Roman" w:eastAsia="宋体" w:cs="Times New Roman"/>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二类区</w:t>
                  </w:r>
                </w:p>
              </w:tc>
              <w:tc>
                <w:tcPr>
                  <w:tcW w:w="776" w:type="dxa"/>
                  <w:shd w:val="clear" w:color="auto" w:fill="FFFFFF"/>
                  <w:vAlign w:val="center"/>
                </w:tcPr>
                <w:p w14:paraId="5C5BA033">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w:t>
                  </w:r>
                </w:p>
              </w:tc>
              <w:tc>
                <w:tcPr>
                  <w:tcW w:w="918" w:type="dxa"/>
                  <w:shd w:val="clear" w:color="auto" w:fill="FFFFFF"/>
                  <w:vAlign w:val="center"/>
                </w:tcPr>
                <w:p w14:paraId="6FD36D9F">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376</w:t>
                  </w:r>
                </w:p>
              </w:tc>
            </w:tr>
          </w:tbl>
          <w:p w14:paraId="4DCC458D">
            <w:pPr>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2、声环境</w:t>
            </w:r>
          </w:p>
          <w:p w14:paraId="6F277C74">
            <w:pPr>
              <w:spacing w:line="360" w:lineRule="auto"/>
              <w:ind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项目周边50米范围内无声环境保护目标。</w:t>
            </w:r>
          </w:p>
          <w:p w14:paraId="250F943D">
            <w:pPr>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3</w:t>
            </w:r>
            <w:r>
              <w:rPr>
                <w:rFonts w:hint="default" w:ascii="Times New Roman" w:hAnsi="Times New Roman" w:cs="Times New Roman"/>
                <w:b/>
                <w:color w:val="000000" w:themeColor="text1"/>
                <w:sz w:val="21"/>
                <w:szCs w:val="21"/>
                <w14:textFill>
                  <w14:solidFill>
                    <w14:schemeClr w14:val="tx1"/>
                  </w14:solidFill>
                </w14:textFill>
              </w:rPr>
              <w:t>、地下水环境</w:t>
            </w:r>
          </w:p>
          <w:p w14:paraId="4CD03AE2">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厂界外 500 米范围内无地下水集中式饮用水水源和热水、矿泉水、温泉等特殊地下水资源。</w:t>
            </w:r>
          </w:p>
          <w:p w14:paraId="6BB0E7A3">
            <w:pPr>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4</w:t>
            </w:r>
            <w:r>
              <w:rPr>
                <w:rFonts w:hint="default" w:ascii="Times New Roman" w:hAnsi="Times New Roman" w:cs="Times New Roman"/>
                <w:b/>
                <w:color w:val="000000" w:themeColor="text1"/>
                <w:sz w:val="21"/>
                <w:szCs w:val="21"/>
                <w14:textFill>
                  <w14:solidFill>
                    <w14:schemeClr w14:val="tx1"/>
                  </w14:solidFill>
                </w14:textFill>
              </w:rPr>
              <w:t>、生态环境</w:t>
            </w:r>
          </w:p>
          <w:p w14:paraId="32097682">
            <w:pPr>
              <w:adjustRightInd w:val="0"/>
              <w:snapToGrid w:val="0"/>
              <w:spacing w:line="360" w:lineRule="auto"/>
              <w:ind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本项目用地范围内不含有生态环境保护目标，</w:t>
            </w:r>
            <w:r>
              <w:rPr>
                <w:rFonts w:hint="default" w:ascii="Times New Roman" w:hAnsi="Times New Roman" w:cs="Times New Roman"/>
                <w:color w:val="000000" w:themeColor="text1"/>
                <w:sz w:val="21"/>
                <w:szCs w:val="21"/>
                <w:lang w:val="en-US" w:eastAsia="zh-CN"/>
                <w14:textFill>
                  <w14:solidFill>
                    <w14:schemeClr w14:val="tx1"/>
                  </w14:solidFill>
                </w14:textFill>
              </w:rPr>
              <w:t>因此不进行生态调查</w:t>
            </w:r>
            <w:r>
              <w:rPr>
                <w:rFonts w:hint="default" w:ascii="Times New Roman" w:hAnsi="Times New Roman" w:cs="Times New Roman"/>
                <w:color w:val="000000" w:themeColor="text1"/>
                <w:sz w:val="21"/>
                <w:szCs w:val="21"/>
                <w14:textFill>
                  <w14:solidFill>
                    <w14:schemeClr w14:val="tx1"/>
                  </w14:solidFill>
                </w14:textFill>
              </w:rPr>
              <w:t>。</w:t>
            </w:r>
          </w:p>
        </w:tc>
      </w:tr>
      <w:tr w14:paraId="1D523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24" w:type="dxa"/>
            <w:noWrap w:val="0"/>
            <w:tcMar>
              <w:left w:w="28" w:type="dxa"/>
              <w:right w:w="28" w:type="dxa"/>
            </w:tcMar>
            <w:vAlign w:val="center"/>
          </w:tcPr>
          <w:p w14:paraId="18B46290">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w:t>
            </w:r>
          </w:p>
          <w:p w14:paraId="26826C96">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物排</w:t>
            </w:r>
          </w:p>
          <w:p w14:paraId="5B2F76C5">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放控</w:t>
            </w:r>
          </w:p>
          <w:p w14:paraId="7961AAFD">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制标</w:t>
            </w:r>
          </w:p>
          <w:p w14:paraId="020704A3">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准</w:t>
            </w:r>
          </w:p>
        </w:tc>
        <w:tc>
          <w:tcPr>
            <w:tcW w:w="8674" w:type="dxa"/>
            <w:noWrap w:val="0"/>
            <w:vAlign w:val="center"/>
          </w:tcPr>
          <w:p w14:paraId="2F49B05A">
            <w:pPr>
              <w:numPr>
                <w:ilvl w:val="0"/>
                <w:numId w:val="10"/>
              </w:numPr>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废气排放标准</w:t>
            </w:r>
          </w:p>
          <w:p w14:paraId="6C16A4D1">
            <w:pPr>
              <w:numPr>
                <w:ilvl w:val="0"/>
                <w:numId w:val="0"/>
              </w:numPr>
              <w:spacing w:line="360" w:lineRule="auto"/>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天然气燃烧废气颗粒物、二氧化硫、氮氧化物排放</w:t>
            </w:r>
            <w:r>
              <w:rPr>
                <w:rFonts w:hint="default" w:ascii="Times New Roman" w:hAnsi="Times New Roman" w:cs="Times New Roman"/>
                <w:color w:val="000000" w:themeColor="text1"/>
                <w14:textFill>
                  <w14:solidFill>
                    <w14:schemeClr w14:val="tx1"/>
                  </w14:solidFill>
                </w14:textFill>
              </w:rPr>
              <w:t>执行</w:t>
            </w:r>
            <w:r>
              <w:rPr>
                <w:rFonts w:hint="default" w:ascii="Times New Roman" w:hAnsi="Times New Roman" w:cs="Times New Roman"/>
                <w:color w:val="000000" w:themeColor="text1"/>
                <w:szCs w:val="24"/>
                <w14:textFill>
                  <w14:solidFill>
                    <w14:schemeClr w14:val="tx1"/>
                  </w14:solidFill>
                </w14:textFill>
              </w:rPr>
              <w:t>《锅炉大气污染物排放标准》</w:t>
            </w:r>
            <w:r>
              <w:rPr>
                <w:rFonts w:hint="eastAsia" w:ascii="Times New Roman" w:hAnsi="Times New Roman" w:cs="Times New Roman"/>
                <w:color w:val="000000" w:themeColor="text1"/>
                <w:szCs w:val="24"/>
                <w:lang w:eastAsia="zh-CN"/>
                <w14:textFill>
                  <w14:solidFill>
                    <w14:schemeClr w14:val="tx1"/>
                  </w14:solidFill>
                </w14:textFill>
              </w:rPr>
              <w:t>（</w:t>
            </w:r>
            <w:r>
              <w:rPr>
                <w:rFonts w:hint="eastAsia" w:ascii="Times New Roman" w:hAnsi="Times New Roman" w:cs="Times New Roman"/>
                <w:color w:val="000000" w:themeColor="text1"/>
                <w:szCs w:val="24"/>
                <w:lang w:val="en-US" w:eastAsia="zh-CN"/>
                <w14:textFill>
                  <w14:solidFill>
                    <w14:schemeClr w14:val="tx1"/>
                  </w14:solidFill>
                </w14:textFill>
              </w:rPr>
              <w:t>DB32/4385-2022</w:t>
            </w:r>
            <w:r>
              <w:rPr>
                <w:rFonts w:hint="eastAsia"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表</w:t>
            </w:r>
            <w:r>
              <w:rPr>
                <w:rFonts w:hint="default" w:ascii="Times New Roman" w:hAnsi="Times New Roman" w:cs="Times New Roman"/>
                <w:color w:val="000000" w:themeColor="text1"/>
                <w:szCs w:val="24"/>
                <w:lang w:val="en-US" w:eastAsia="zh-CN"/>
                <w14:textFill>
                  <w14:solidFill>
                    <w14:schemeClr w14:val="tx1"/>
                  </w14:solidFill>
                </w14:textFill>
              </w:rPr>
              <w:t>1</w:t>
            </w:r>
            <w:r>
              <w:rPr>
                <w:rFonts w:hint="default" w:ascii="Times New Roman" w:hAnsi="Times New Roman" w:cs="Times New Roman"/>
                <w:color w:val="000000" w:themeColor="text1"/>
                <w:szCs w:val="24"/>
                <w14:textFill>
                  <w14:solidFill>
                    <w14:schemeClr w14:val="tx1"/>
                  </w14:solidFill>
                </w14:textFill>
              </w:rPr>
              <w:t>规定的大气污染物特别排放限值中燃</w:t>
            </w:r>
            <w:r>
              <w:rPr>
                <w:rFonts w:hint="default" w:ascii="Times New Roman" w:hAnsi="Times New Roman" w:cs="Times New Roman"/>
                <w:color w:val="000000" w:themeColor="text1"/>
                <w:szCs w:val="24"/>
                <w:lang w:val="en-US" w:eastAsia="zh-CN"/>
                <w14:textFill>
                  <w14:solidFill>
                    <w14:schemeClr w14:val="tx1"/>
                  </w14:solidFill>
                </w14:textFill>
              </w:rPr>
              <w:t>气</w:t>
            </w:r>
            <w:r>
              <w:rPr>
                <w:rFonts w:hint="default" w:ascii="Times New Roman" w:hAnsi="Times New Roman" w:cs="Times New Roman"/>
                <w:color w:val="000000" w:themeColor="text1"/>
                <w:szCs w:val="24"/>
                <w14:textFill>
                  <w14:solidFill>
                    <w14:schemeClr w14:val="tx1"/>
                  </w14:solidFill>
                </w14:textFill>
              </w:rPr>
              <w:t>锅炉限值</w:t>
            </w:r>
            <w:r>
              <w:rPr>
                <w:rFonts w:hint="default" w:ascii="Times New Roman" w:hAnsi="Times New Roman" w:cs="Times New Roman"/>
                <w:color w:val="000000" w:themeColor="text1"/>
                <w14:textFill>
                  <w14:solidFill>
                    <w14:schemeClr w14:val="tx1"/>
                  </w14:solidFill>
                </w14:textFill>
              </w:rPr>
              <w:t>。具体标准见表 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14:paraId="6701F419">
            <w:pPr>
              <w:numPr>
                <w:ilvl w:val="0"/>
                <w:numId w:val="0"/>
              </w:numPr>
              <w:spacing w:line="360" w:lineRule="auto"/>
              <w:ind w:firstLine="422" w:firstLineChars="20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szCs w:val="24"/>
                <w14:textFill>
                  <w14:solidFill>
                    <w14:schemeClr w14:val="tx1"/>
                  </w14:solidFill>
                </w14:textFill>
              </w:rPr>
              <w:t>锅炉大气污染物排放标准</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3501"/>
              <w:gridCol w:w="3048"/>
            </w:tblGrid>
            <w:tr w14:paraId="17B33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1128" w:type="pct"/>
                  <w:vMerge w:val="restart"/>
                  <w:vAlign w:val="center"/>
                </w:tcPr>
                <w:p w14:paraId="24880084">
                  <w:pPr>
                    <w:pStyle w:val="219"/>
                    <w:spacing w:line="360" w:lineRule="auto"/>
                    <w:ind w:firstLine="0" w:firstLineChars="0"/>
                    <w:jc w:val="center"/>
                    <w:rPr>
                      <w:rFonts w:hint="default" w:ascii="Times New Roman" w:hAnsi="Times New Roman" w:cs="Times New Roman"/>
                      <w:bCs w:val="0"/>
                      <w:color w:val="000000" w:themeColor="text1"/>
                      <w:kern w:val="0"/>
                      <w:sz w:val="21"/>
                      <w:szCs w:val="21"/>
                      <w14:textFill>
                        <w14:solidFill>
                          <w14:schemeClr w14:val="tx1"/>
                        </w14:solidFill>
                      </w14:textFill>
                    </w:rPr>
                  </w:pPr>
                  <w:r>
                    <w:rPr>
                      <w:rFonts w:hint="default" w:ascii="Times New Roman" w:hAnsi="Times New Roman" w:cs="Times New Roman"/>
                      <w:bCs w:val="0"/>
                      <w:color w:val="000000" w:themeColor="text1"/>
                      <w:kern w:val="0"/>
                      <w:sz w:val="21"/>
                      <w:szCs w:val="21"/>
                      <w14:textFill>
                        <w14:solidFill>
                          <w14:schemeClr w14:val="tx1"/>
                        </w14:solidFill>
                      </w14:textFill>
                    </w:rPr>
                    <w:t>污染物</w:t>
                  </w:r>
                </w:p>
              </w:tc>
              <w:tc>
                <w:tcPr>
                  <w:tcW w:w="2069" w:type="pct"/>
                  <w:vMerge w:val="restart"/>
                  <w:vAlign w:val="center"/>
                </w:tcPr>
                <w:p w14:paraId="3DD8D374">
                  <w:pPr>
                    <w:pStyle w:val="219"/>
                    <w:spacing w:line="360" w:lineRule="auto"/>
                    <w:ind w:firstLine="0" w:firstLineChars="0"/>
                    <w:jc w:val="center"/>
                    <w:rPr>
                      <w:rFonts w:hint="default" w:ascii="Times New Roman" w:hAnsi="Times New Roman" w:cs="Times New Roman"/>
                      <w:bCs w:val="0"/>
                      <w:color w:val="000000" w:themeColor="text1"/>
                      <w:kern w:val="0"/>
                      <w:sz w:val="21"/>
                      <w:szCs w:val="21"/>
                      <w14:textFill>
                        <w14:solidFill>
                          <w14:schemeClr w14:val="tx1"/>
                        </w14:solidFill>
                      </w14:textFill>
                    </w:rPr>
                  </w:pPr>
                  <w:r>
                    <w:rPr>
                      <w:rFonts w:hint="default" w:ascii="Times New Roman" w:hAnsi="Times New Roman" w:cs="Times New Roman"/>
                      <w:bCs w:val="0"/>
                      <w:color w:val="000000" w:themeColor="text1"/>
                      <w:kern w:val="0"/>
                      <w:sz w:val="21"/>
                      <w:szCs w:val="21"/>
                      <w14:textFill>
                        <w14:solidFill>
                          <w14:schemeClr w14:val="tx1"/>
                        </w14:solidFill>
                      </w14:textFill>
                    </w:rPr>
                    <w:t>排放浓度限值</w:t>
                  </w:r>
                </w:p>
              </w:tc>
              <w:tc>
                <w:tcPr>
                  <w:tcW w:w="1801" w:type="pct"/>
                  <w:vMerge w:val="restart"/>
                  <w:vAlign w:val="center"/>
                </w:tcPr>
                <w:p w14:paraId="5B9DD4C7">
                  <w:pPr>
                    <w:pStyle w:val="219"/>
                    <w:spacing w:line="360" w:lineRule="auto"/>
                    <w:ind w:firstLine="0" w:firstLineChars="0"/>
                    <w:jc w:val="center"/>
                    <w:rPr>
                      <w:rFonts w:hint="default" w:ascii="Times New Roman" w:hAnsi="Times New Roman" w:cs="Times New Roman"/>
                      <w:bCs w:val="0"/>
                      <w:color w:val="000000" w:themeColor="text1"/>
                      <w:kern w:val="0"/>
                      <w:sz w:val="21"/>
                      <w:szCs w:val="21"/>
                      <w14:textFill>
                        <w14:solidFill>
                          <w14:schemeClr w14:val="tx1"/>
                        </w14:solidFill>
                      </w14:textFill>
                    </w:rPr>
                  </w:pPr>
                  <w:r>
                    <w:rPr>
                      <w:rFonts w:hint="default" w:ascii="Times New Roman" w:hAnsi="Times New Roman" w:cs="Times New Roman"/>
                      <w:bCs w:val="0"/>
                      <w:color w:val="000000" w:themeColor="text1"/>
                      <w:kern w:val="0"/>
                      <w:sz w:val="21"/>
                      <w:szCs w:val="21"/>
                      <w14:textFill>
                        <w14:solidFill>
                          <w14:schemeClr w14:val="tx1"/>
                        </w14:solidFill>
                      </w14:textFill>
                    </w:rPr>
                    <w:t>污染物监控位置</w:t>
                  </w:r>
                </w:p>
              </w:tc>
            </w:tr>
            <w:tr w14:paraId="6A226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1128" w:type="pct"/>
                  <w:vMerge w:val="continue"/>
                  <w:vAlign w:val="center"/>
                </w:tcPr>
                <w:p w14:paraId="36B8958E">
                  <w:pPr>
                    <w:pStyle w:val="219"/>
                    <w:spacing w:line="360" w:lineRule="auto"/>
                    <w:ind w:firstLine="1785"/>
                    <w:jc w:val="center"/>
                    <w:rPr>
                      <w:rFonts w:hint="default" w:ascii="Times New Roman" w:hAnsi="Times New Roman" w:cs="Times New Roman"/>
                      <w:b w:val="0"/>
                      <w:color w:val="000000" w:themeColor="text1"/>
                      <w:kern w:val="0"/>
                      <w:sz w:val="21"/>
                      <w:szCs w:val="21"/>
                      <w14:textFill>
                        <w14:solidFill>
                          <w14:schemeClr w14:val="tx1"/>
                        </w14:solidFill>
                      </w14:textFill>
                    </w:rPr>
                  </w:pPr>
                </w:p>
              </w:tc>
              <w:tc>
                <w:tcPr>
                  <w:tcW w:w="2069" w:type="pct"/>
                  <w:vMerge w:val="continue"/>
                  <w:vAlign w:val="center"/>
                </w:tcPr>
                <w:p w14:paraId="7DFD2A84">
                  <w:pPr>
                    <w:pStyle w:val="219"/>
                    <w:spacing w:line="360" w:lineRule="auto"/>
                    <w:ind w:firstLine="1785"/>
                    <w:jc w:val="center"/>
                    <w:rPr>
                      <w:rFonts w:hint="default" w:ascii="Times New Roman" w:hAnsi="Times New Roman" w:cs="Times New Roman"/>
                      <w:b w:val="0"/>
                      <w:color w:val="000000" w:themeColor="text1"/>
                      <w:kern w:val="0"/>
                      <w:sz w:val="21"/>
                      <w:szCs w:val="21"/>
                      <w14:textFill>
                        <w14:solidFill>
                          <w14:schemeClr w14:val="tx1"/>
                        </w14:solidFill>
                      </w14:textFill>
                    </w:rPr>
                  </w:pPr>
                </w:p>
              </w:tc>
              <w:tc>
                <w:tcPr>
                  <w:tcW w:w="1801" w:type="pct"/>
                  <w:vMerge w:val="continue"/>
                  <w:vAlign w:val="center"/>
                </w:tcPr>
                <w:p w14:paraId="0E929869">
                  <w:pPr>
                    <w:pStyle w:val="219"/>
                    <w:spacing w:line="360" w:lineRule="auto"/>
                    <w:ind w:firstLine="0" w:firstLineChars="0"/>
                    <w:jc w:val="center"/>
                    <w:rPr>
                      <w:rFonts w:hint="default" w:ascii="Times New Roman" w:hAnsi="Times New Roman" w:cs="Times New Roman"/>
                      <w:b w:val="0"/>
                      <w:color w:val="000000" w:themeColor="text1"/>
                      <w:kern w:val="0"/>
                      <w:sz w:val="21"/>
                      <w:szCs w:val="21"/>
                      <w14:textFill>
                        <w14:solidFill>
                          <w14:schemeClr w14:val="tx1"/>
                        </w14:solidFill>
                      </w14:textFill>
                    </w:rPr>
                  </w:pPr>
                </w:p>
              </w:tc>
            </w:tr>
            <w:tr w14:paraId="0D4F8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8" w:type="pct"/>
                  <w:vAlign w:val="center"/>
                </w:tcPr>
                <w:p w14:paraId="3064BDD5">
                  <w:pPr>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2069" w:type="pct"/>
                  <w:vAlign w:val="center"/>
                </w:tcPr>
                <w:p w14:paraId="27C581C1">
                  <w:pPr>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r>
                    <w:rPr>
                      <w:rFonts w:hint="default" w:ascii="Times New Roman" w:hAnsi="Times New Roman" w:cs="Times New Roman"/>
                      <w:color w:val="000000" w:themeColor="text1"/>
                      <w:kern w:val="0"/>
                      <w:szCs w:val="21"/>
                      <w14:textFill>
                        <w14:solidFill>
                          <w14:schemeClr w14:val="tx1"/>
                        </w14:solidFill>
                      </w14:textFill>
                    </w:rPr>
                    <w:t>mg/m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801" w:type="pct"/>
                  <w:vMerge w:val="restart"/>
                  <w:vAlign w:val="center"/>
                </w:tcPr>
                <w:p w14:paraId="32E26EFB">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烟囱或烟道</w:t>
                  </w:r>
                </w:p>
              </w:tc>
            </w:tr>
            <w:tr w14:paraId="73E1D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8" w:type="pct"/>
                  <w:vAlign w:val="center"/>
                </w:tcPr>
                <w:p w14:paraId="26986C1E">
                  <w:pPr>
                    <w:spacing w:line="360" w:lineRule="auto"/>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二氧化硫</w:t>
                  </w:r>
                </w:p>
              </w:tc>
              <w:tc>
                <w:tcPr>
                  <w:tcW w:w="2069" w:type="pct"/>
                  <w:vAlign w:val="center"/>
                </w:tcPr>
                <w:p w14:paraId="43FD9D28">
                  <w:pPr>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35</w:t>
                  </w:r>
                  <w:r>
                    <w:rPr>
                      <w:rFonts w:hint="default" w:ascii="Times New Roman" w:hAnsi="Times New Roman" w:cs="Times New Roman"/>
                      <w:color w:val="000000" w:themeColor="text1"/>
                      <w:kern w:val="0"/>
                      <w:szCs w:val="21"/>
                      <w14:textFill>
                        <w14:solidFill>
                          <w14:schemeClr w14:val="tx1"/>
                        </w14:solidFill>
                      </w14:textFill>
                    </w:rPr>
                    <w:t>mg/m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801" w:type="pct"/>
                  <w:vMerge w:val="continue"/>
                  <w:vAlign w:val="center"/>
                </w:tcPr>
                <w:p w14:paraId="16016EA2">
                  <w:pPr>
                    <w:spacing w:line="360" w:lineRule="auto"/>
                    <w:jc w:val="center"/>
                    <w:rPr>
                      <w:rFonts w:hint="default" w:ascii="Times New Roman" w:hAnsi="Times New Roman" w:cs="Times New Roman"/>
                      <w:color w:val="000000" w:themeColor="text1"/>
                      <w:szCs w:val="21"/>
                      <w14:textFill>
                        <w14:solidFill>
                          <w14:schemeClr w14:val="tx1"/>
                        </w14:solidFill>
                      </w14:textFill>
                    </w:rPr>
                  </w:pPr>
                </w:p>
              </w:tc>
            </w:tr>
            <w:tr w14:paraId="62207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8" w:type="pct"/>
                  <w:vAlign w:val="center"/>
                </w:tcPr>
                <w:p w14:paraId="3DEF7F03">
                  <w:pPr>
                    <w:spacing w:line="360" w:lineRule="auto"/>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氮氧化物</w:t>
                  </w:r>
                </w:p>
              </w:tc>
              <w:tc>
                <w:tcPr>
                  <w:tcW w:w="2069" w:type="pct"/>
                  <w:vAlign w:val="center"/>
                </w:tcPr>
                <w:p w14:paraId="56B2906E">
                  <w:pPr>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r>
                    <w:rPr>
                      <w:rFonts w:hint="default" w:ascii="Times New Roman" w:hAnsi="Times New Roman" w:cs="Times New Roman"/>
                      <w:color w:val="000000" w:themeColor="text1"/>
                      <w:kern w:val="0"/>
                      <w:szCs w:val="21"/>
                      <w14:textFill>
                        <w14:solidFill>
                          <w14:schemeClr w14:val="tx1"/>
                        </w14:solidFill>
                      </w14:textFill>
                    </w:rPr>
                    <w:t>mg/m</w:t>
                  </w:r>
                  <w:r>
                    <w:rPr>
                      <w:rFonts w:hint="default" w:ascii="Times New Roman" w:hAnsi="Times New Roman" w:cs="Times New Roman"/>
                      <w:color w:val="000000" w:themeColor="text1"/>
                      <w:kern w:val="0"/>
                      <w:szCs w:val="21"/>
                      <w:vertAlign w:val="superscript"/>
                      <w14:textFill>
                        <w14:solidFill>
                          <w14:schemeClr w14:val="tx1"/>
                        </w14:solidFill>
                      </w14:textFill>
                    </w:rPr>
                    <w:t>3</w:t>
                  </w:r>
                </w:p>
              </w:tc>
              <w:tc>
                <w:tcPr>
                  <w:tcW w:w="1801" w:type="pct"/>
                  <w:vMerge w:val="continue"/>
                  <w:vAlign w:val="center"/>
                </w:tcPr>
                <w:p w14:paraId="1C1CE16B">
                  <w:pPr>
                    <w:spacing w:line="360" w:lineRule="auto"/>
                    <w:jc w:val="center"/>
                    <w:rPr>
                      <w:rFonts w:hint="default" w:ascii="Times New Roman" w:hAnsi="Times New Roman" w:cs="Times New Roman"/>
                      <w:color w:val="000000" w:themeColor="text1"/>
                      <w:szCs w:val="21"/>
                      <w14:textFill>
                        <w14:solidFill>
                          <w14:schemeClr w14:val="tx1"/>
                        </w14:solidFill>
                      </w14:textFill>
                    </w:rPr>
                  </w:pPr>
                </w:p>
              </w:tc>
            </w:tr>
            <w:tr w14:paraId="02E15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8" w:type="pct"/>
                  <w:vAlign w:val="center"/>
                </w:tcPr>
                <w:p w14:paraId="75BA4585">
                  <w:pPr>
                    <w:spacing w:line="360" w:lineRule="auto"/>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林格曼黑度</w:t>
                  </w:r>
                </w:p>
              </w:tc>
              <w:tc>
                <w:tcPr>
                  <w:tcW w:w="2069" w:type="pct"/>
                  <w:vAlign w:val="center"/>
                </w:tcPr>
                <w:p w14:paraId="194F9D5B">
                  <w:pPr>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1级</w:t>
                  </w:r>
                </w:p>
              </w:tc>
              <w:tc>
                <w:tcPr>
                  <w:tcW w:w="1801" w:type="pct"/>
                  <w:vAlign w:val="center"/>
                </w:tcPr>
                <w:p w14:paraId="6C8E3C4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烟囱排放口</w:t>
                  </w:r>
                </w:p>
              </w:tc>
            </w:tr>
          </w:tbl>
          <w:p w14:paraId="00D85D5D">
            <w:pPr>
              <w:adjustRightInd w:val="0"/>
              <w:snapToGrid w:val="0"/>
              <w:spacing w:line="360" w:lineRule="auto"/>
              <w:ind w:firstLine="422" w:firstLineChars="200"/>
              <w:jc w:val="left"/>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2、废水排放标准</w:t>
            </w:r>
          </w:p>
          <w:p w14:paraId="6AD1CE4A">
            <w:pPr>
              <w:adjustRightInd w:val="0"/>
              <w:snapToGrid w:val="0"/>
              <w:spacing w:line="360" w:lineRule="auto"/>
              <w:ind w:firstLine="420" w:firstLineChars="200"/>
              <w:jc w:val="left"/>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营运期</w:t>
            </w:r>
            <w:r>
              <w:rPr>
                <w:rFonts w:hint="eastAsia" w:ascii="Times New Roman" w:hAnsi="Times New Roman"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14:textFill>
                  <w14:solidFill>
                    <w14:schemeClr w14:val="tx1"/>
                  </w14:solidFill>
                </w14:textFill>
              </w:rPr>
              <w:t>废水</w:t>
            </w:r>
            <w:r>
              <w:rPr>
                <w:rFonts w:ascii="Times New Roman" w:hAnsi="Times New Roman" w:cs="Times New Roman"/>
                <w:color w:val="000000" w:themeColor="text1"/>
                <w14:textFill>
                  <w14:solidFill>
                    <w14:schemeClr w14:val="tx1"/>
                  </w14:solidFill>
                </w14:textFill>
              </w:rPr>
              <w:t>接管至南通市海门东洲水处理有限公司处理，执行《污水综合排放标准》（GB8978-1996）三级标准和南通市海门东洲水处理有限公司接管标准，南通市海门东洲水处理有限公司尾水排放执行《城镇污水处理厂污染物排放标准》（</w:t>
            </w:r>
            <w:r>
              <w:rPr>
                <w:rFonts w:hint="eastAsia" w:ascii="Times New Roman" w:hAnsi="Times New Roman" w:cs="Times New Roman"/>
                <w:color w:val="000000" w:themeColor="text1"/>
                <w14:textFill>
                  <w14:solidFill>
                    <w14:schemeClr w14:val="tx1"/>
                  </w14:solidFill>
                </w14:textFill>
              </w:rPr>
              <w:t>G</w:t>
            </w:r>
            <w:r>
              <w:rPr>
                <w:rFonts w:ascii="Times New Roman" w:hAnsi="Times New Roman" w:cs="Times New Roman"/>
                <w:color w:val="000000" w:themeColor="text1"/>
                <w14:textFill>
                  <w14:solidFill>
                    <w14:schemeClr w14:val="tx1"/>
                  </w14:solidFill>
                </w14:textFill>
              </w:rPr>
              <w:t>B</w:t>
            </w:r>
            <w:r>
              <w:rPr>
                <w:rFonts w:hint="eastAsia" w:ascii="Times New Roman" w:hAnsi="Times New Roman" w:cs="Times New Roman"/>
                <w:color w:val="000000" w:themeColor="text1"/>
                <w14:textFill>
                  <w14:solidFill>
                    <w14:schemeClr w14:val="tx1"/>
                  </w14:solidFill>
                </w14:textFill>
              </w:rPr>
              <w:t>18918-2002</w:t>
            </w:r>
            <w:r>
              <w:rPr>
                <w:rFonts w:ascii="Times New Roman" w:hAnsi="Times New Roman" w:cs="Times New Roman"/>
                <w:color w:val="000000" w:themeColor="text1"/>
                <w14:textFill>
                  <w14:solidFill>
                    <w14:schemeClr w14:val="tx1"/>
                  </w14:solidFill>
                </w14:textFill>
              </w:rPr>
              <w:t>）中一级</w:t>
            </w:r>
            <w:r>
              <w:rPr>
                <w:rFonts w:hint="eastAsia"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标准</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见表3-</w:t>
            </w:r>
            <w:r>
              <w:rPr>
                <w:rFonts w:hint="default" w:ascii="Times New Roman" w:hAnsi="Times New Roman" w:cs="Times New Roman"/>
                <w:color w:val="000000" w:themeColor="text1"/>
                <w:sz w:val="21"/>
                <w:szCs w:val="21"/>
                <w:lang w:val="en-US" w:eastAsia="zh-CN"/>
                <w14:textFill>
                  <w14:solidFill>
                    <w14:schemeClr w14:val="tx1"/>
                  </w14:solidFill>
                </w14:textFill>
              </w:rPr>
              <w:t>4。</w:t>
            </w:r>
          </w:p>
          <w:p w14:paraId="5A011F83">
            <w:pPr>
              <w:pStyle w:val="225"/>
              <w:shd w:val="clear" w:color="auto" w:fill="auto"/>
              <w:spacing w:after="0" w:line="240" w:lineRule="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水污染物排放标准</w:t>
            </w:r>
          </w:p>
          <w:tbl>
            <w:tblPr>
              <w:tblStyle w:val="42"/>
              <w:tblW w:w="8504"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
            <w:tblGrid>
              <w:gridCol w:w="1864"/>
              <w:gridCol w:w="2829"/>
              <w:gridCol w:w="3811"/>
            </w:tblGrid>
            <w:tr w14:paraId="5C6F0F4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84" w:hRule="exact"/>
                <w:jc w:val="center"/>
              </w:trPr>
              <w:tc>
                <w:tcPr>
                  <w:tcW w:w="1864" w:type="dxa"/>
                  <w:vAlign w:val="center"/>
                </w:tcPr>
                <w:p w14:paraId="4A8B02E4">
                  <w:pPr>
                    <w:pStyle w:val="239"/>
                    <w:ind w:left="3"/>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pacing w:val="2"/>
                      <w:sz w:val="21"/>
                      <w:szCs w:val="21"/>
                      <w14:textFill>
                        <w14:solidFill>
                          <w14:schemeClr w14:val="tx1"/>
                        </w14:solidFill>
                      </w14:textFill>
                    </w:rPr>
                    <w:t>污染物</w:t>
                  </w:r>
                </w:p>
              </w:tc>
              <w:tc>
                <w:tcPr>
                  <w:tcW w:w="2829" w:type="dxa"/>
                  <w:vAlign w:val="center"/>
                </w:tcPr>
                <w:p w14:paraId="7E6FD6DE">
                  <w:pPr>
                    <w:pStyle w:val="239"/>
                    <w:ind w:left="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接管标准</w:t>
                  </w:r>
                  <w:r>
                    <w:rPr>
                      <w:rFonts w:ascii="Times New Roman" w:hAnsi="Times New Roman" w:cs="Times New Roman"/>
                      <w:b/>
                      <w:bCs/>
                      <w:color w:val="000000" w:themeColor="text1"/>
                      <w:sz w:val="21"/>
                      <w:szCs w:val="21"/>
                      <w:lang w:val="en-US"/>
                      <w14:textFill>
                        <w14:solidFill>
                          <w14:schemeClr w14:val="tx1"/>
                        </w14:solidFill>
                      </w14:textFill>
                    </w:rPr>
                    <w:t xml:space="preserve"> </w:t>
                  </w:r>
                  <w:r>
                    <w:rPr>
                      <w:rFonts w:ascii="Times New Roman" w:hAnsi="Times New Roman" w:cs="Times New Roman"/>
                      <w:b/>
                      <w:bCs/>
                      <w:color w:val="000000" w:themeColor="text1"/>
                      <w:sz w:val="21"/>
                      <w:szCs w:val="21"/>
                      <w14:textFill>
                        <w14:solidFill>
                          <w14:schemeClr w14:val="tx1"/>
                        </w14:solidFill>
                      </w14:textFill>
                    </w:rPr>
                    <w:t>(mg</w:t>
                  </w:r>
                  <w:r>
                    <w:rPr>
                      <w:rFonts w:ascii="Times New Roman" w:hAnsi="Times New Roman" w:cs="Times New Roman"/>
                      <w:b/>
                      <w:bCs/>
                      <w:color w:val="000000" w:themeColor="text1"/>
                      <w:sz w:val="21"/>
                      <w:szCs w:val="21"/>
                      <w:lang w:val="en-US"/>
                      <w14:textFill>
                        <w14:solidFill>
                          <w14:schemeClr w14:val="tx1"/>
                        </w14:solidFill>
                      </w14:textFill>
                    </w:rPr>
                    <w:t>/L</w:t>
                  </w:r>
                  <w:r>
                    <w:rPr>
                      <w:rFonts w:ascii="Times New Roman" w:hAnsi="Times New Roman" w:cs="Times New Roman"/>
                      <w:b/>
                      <w:bCs/>
                      <w:color w:val="000000" w:themeColor="text1"/>
                      <w:sz w:val="21"/>
                      <w:szCs w:val="21"/>
                      <w14:textFill>
                        <w14:solidFill>
                          <w14:schemeClr w14:val="tx1"/>
                        </w14:solidFill>
                      </w14:textFill>
                    </w:rPr>
                    <w:t>)</w:t>
                  </w:r>
                </w:p>
              </w:tc>
              <w:tc>
                <w:tcPr>
                  <w:tcW w:w="3811" w:type="dxa"/>
                  <w:vAlign w:val="center"/>
                </w:tcPr>
                <w:p w14:paraId="3A75FCFC">
                  <w:pPr>
                    <w:pStyle w:val="239"/>
                    <w:jc w:val="center"/>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b/>
                      <w:bCs/>
                      <w:color w:val="000000" w:themeColor="text1"/>
                      <w:sz w:val="21"/>
                      <w:szCs w:val="21"/>
                      <w:lang w:val="en-US"/>
                      <w14:textFill>
                        <w14:solidFill>
                          <w14:schemeClr w14:val="tx1"/>
                        </w14:solidFill>
                      </w14:textFill>
                    </w:rPr>
                    <w:t>GB18918-2002</w:t>
                  </w:r>
                  <w:r>
                    <w:rPr>
                      <w:rFonts w:ascii="Times New Roman" w:hAnsi="Times New Roman" w:cs="Times New Roman"/>
                      <w:b/>
                      <w:bCs/>
                      <w:color w:val="000000" w:themeColor="text1"/>
                      <w:sz w:val="21"/>
                      <w:szCs w:val="21"/>
                      <w:lang w:val="en-US"/>
                      <w14:textFill>
                        <w14:solidFill>
                          <w14:schemeClr w14:val="tx1"/>
                        </w14:solidFill>
                      </w14:textFill>
                    </w:rPr>
                    <w:t>中一级</w:t>
                  </w:r>
                  <w:r>
                    <w:rPr>
                      <w:rFonts w:hint="eastAsia" w:ascii="Times New Roman" w:hAnsi="Times New Roman" w:cs="Times New Roman"/>
                      <w:b/>
                      <w:bCs/>
                      <w:color w:val="000000" w:themeColor="text1"/>
                      <w:sz w:val="21"/>
                      <w:szCs w:val="21"/>
                      <w:lang w:val="en-US"/>
                      <w14:textFill>
                        <w14:solidFill>
                          <w14:schemeClr w14:val="tx1"/>
                        </w14:solidFill>
                      </w14:textFill>
                    </w:rPr>
                    <w:t>A标准</w:t>
                  </w:r>
                  <w:r>
                    <w:rPr>
                      <w:rFonts w:ascii="Times New Roman" w:hAnsi="Times New Roman" w:cs="Times New Roman"/>
                      <w:b/>
                      <w:bCs/>
                      <w:color w:val="000000" w:themeColor="text1"/>
                      <w:sz w:val="21"/>
                      <w:szCs w:val="21"/>
                      <w:lang w:val="en-US"/>
                      <w14:textFill>
                        <w14:solidFill>
                          <w14:schemeClr w14:val="tx1"/>
                        </w14:solidFill>
                      </w14:textFill>
                    </w:rPr>
                    <w:t xml:space="preserve"> </w:t>
                  </w:r>
                  <w:r>
                    <w:rPr>
                      <w:rFonts w:ascii="Times New Roman" w:hAnsi="Times New Roman" w:cs="Times New Roman"/>
                      <w:b/>
                      <w:bCs/>
                      <w:color w:val="000000" w:themeColor="text1"/>
                      <w:sz w:val="21"/>
                      <w:szCs w:val="21"/>
                      <w14:textFill>
                        <w14:solidFill>
                          <w14:schemeClr w14:val="tx1"/>
                        </w14:solidFill>
                      </w14:textFill>
                    </w:rPr>
                    <w:t>(mg</w:t>
                  </w:r>
                  <w:r>
                    <w:rPr>
                      <w:rFonts w:ascii="Times New Roman" w:hAnsi="Times New Roman" w:cs="Times New Roman"/>
                      <w:b/>
                      <w:bCs/>
                      <w:color w:val="000000" w:themeColor="text1"/>
                      <w:sz w:val="21"/>
                      <w:szCs w:val="21"/>
                      <w:lang w:val="en-US"/>
                      <w14:textFill>
                        <w14:solidFill>
                          <w14:schemeClr w14:val="tx1"/>
                        </w14:solidFill>
                      </w14:textFill>
                    </w:rPr>
                    <w:t>/L</w:t>
                  </w:r>
                  <w:r>
                    <w:rPr>
                      <w:rFonts w:ascii="Times New Roman" w:hAnsi="Times New Roman" w:cs="Times New Roman"/>
                      <w:b/>
                      <w:bCs/>
                      <w:color w:val="000000" w:themeColor="text1"/>
                      <w:sz w:val="21"/>
                      <w:szCs w:val="21"/>
                      <w14:textFill>
                        <w14:solidFill>
                          <w14:schemeClr w14:val="tx1"/>
                        </w14:solidFill>
                      </w14:textFill>
                    </w:rPr>
                    <w:t>)</w:t>
                  </w:r>
                </w:p>
              </w:tc>
            </w:tr>
            <w:tr w14:paraId="4CDB559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34" w:hRule="exact"/>
                <w:jc w:val="center"/>
              </w:trPr>
              <w:tc>
                <w:tcPr>
                  <w:tcW w:w="1864" w:type="dxa"/>
                  <w:vAlign w:val="center"/>
                </w:tcPr>
                <w:p w14:paraId="58133DBF">
                  <w:pPr>
                    <w:pStyle w:val="239"/>
                    <w:spacing w:before="13"/>
                    <w:ind w:left="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pH</w:t>
                  </w:r>
                </w:p>
              </w:tc>
              <w:tc>
                <w:tcPr>
                  <w:tcW w:w="2829" w:type="dxa"/>
                  <w:vAlign w:val="center"/>
                </w:tcPr>
                <w:p w14:paraId="35EF7E88">
                  <w:pPr>
                    <w:pStyle w:val="239"/>
                    <w:ind w:right="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6～9</w:t>
                  </w:r>
                </w:p>
              </w:tc>
              <w:tc>
                <w:tcPr>
                  <w:tcW w:w="3811" w:type="dxa"/>
                  <w:vAlign w:val="center"/>
                </w:tcPr>
                <w:p w14:paraId="0900F00B">
                  <w:pPr>
                    <w:pStyle w:val="239"/>
                    <w:ind w:right="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6～9</w:t>
                  </w:r>
                </w:p>
              </w:tc>
            </w:tr>
            <w:tr w14:paraId="27B6BEB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72" w:hRule="exact"/>
                <w:jc w:val="center"/>
              </w:trPr>
              <w:tc>
                <w:tcPr>
                  <w:tcW w:w="1864" w:type="dxa"/>
                  <w:vAlign w:val="center"/>
                </w:tcPr>
                <w:p w14:paraId="1360DE7C">
                  <w:pPr>
                    <w:pStyle w:val="239"/>
                    <w:ind w:left="5"/>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COD</w:t>
                  </w:r>
                </w:p>
              </w:tc>
              <w:tc>
                <w:tcPr>
                  <w:tcW w:w="2829" w:type="dxa"/>
                  <w:vAlign w:val="center"/>
                </w:tcPr>
                <w:p w14:paraId="30432DEA">
                  <w:pPr>
                    <w:pStyle w:val="2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w:t>
                  </w:r>
                </w:p>
              </w:tc>
              <w:tc>
                <w:tcPr>
                  <w:tcW w:w="3811" w:type="dxa"/>
                  <w:vAlign w:val="center"/>
                </w:tcPr>
                <w:p w14:paraId="4F5C296B">
                  <w:pPr>
                    <w:pStyle w:val="239"/>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50</w:t>
                  </w:r>
                </w:p>
              </w:tc>
            </w:tr>
            <w:tr w14:paraId="00166B4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72" w:hRule="exact"/>
                <w:jc w:val="center"/>
              </w:trPr>
              <w:tc>
                <w:tcPr>
                  <w:tcW w:w="1864" w:type="dxa"/>
                  <w:vAlign w:val="center"/>
                </w:tcPr>
                <w:p w14:paraId="48146642">
                  <w:pPr>
                    <w:pStyle w:val="239"/>
                    <w:ind w:left="4"/>
                    <w:jc w:val="center"/>
                    <w:rPr>
                      <w:rFonts w:ascii="Times New Roman" w:hAnsi="Times New Roman" w:cs="Times New Roman"/>
                      <w:color w:val="000000" w:themeColor="text1"/>
                      <w:positio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SS</w:t>
                  </w:r>
                </w:p>
              </w:tc>
              <w:tc>
                <w:tcPr>
                  <w:tcW w:w="2829" w:type="dxa"/>
                  <w:vAlign w:val="center"/>
                </w:tcPr>
                <w:p w14:paraId="5F3D7BDE">
                  <w:pPr>
                    <w:pStyle w:val="2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3811" w:type="dxa"/>
                  <w:vAlign w:val="center"/>
                </w:tcPr>
                <w:p w14:paraId="52CDE8D6">
                  <w:pPr>
                    <w:pStyle w:val="239"/>
                    <w:spacing w:before="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10</w:t>
                  </w:r>
                </w:p>
              </w:tc>
            </w:tr>
            <w:tr w14:paraId="59F4806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4" w:hRule="exact"/>
                <w:jc w:val="center"/>
              </w:trPr>
              <w:tc>
                <w:tcPr>
                  <w:tcW w:w="1864" w:type="dxa"/>
                  <w:vAlign w:val="center"/>
                </w:tcPr>
                <w:p w14:paraId="4881F5A3">
                  <w:pPr>
                    <w:pStyle w:val="239"/>
                    <w:ind w:left="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r>
                    <w:rPr>
                      <w:rFonts w:ascii="Times New Roman" w:hAnsi="Times New Roman" w:cs="Times New Roman"/>
                      <w:color w:val="000000" w:themeColor="text1"/>
                      <w:position w:val="2"/>
                      <w:sz w:val="21"/>
                      <w:szCs w:val="21"/>
                      <w14:textFill>
                        <w14:solidFill>
                          <w14:schemeClr w14:val="tx1"/>
                        </w14:solidFill>
                      </w14:textFill>
                    </w:rPr>
                    <w:t>-N</w:t>
                  </w:r>
                </w:p>
              </w:tc>
              <w:tc>
                <w:tcPr>
                  <w:tcW w:w="2829" w:type="dxa"/>
                  <w:vAlign w:val="center"/>
                </w:tcPr>
                <w:p w14:paraId="40735899">
                  <w:pPr>
                    <w:pStyle w:val="239"/>
                    <w:spacing w:before="1"/>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w:t>
                  </w:r>
                  <w:r>
                    <w:rPr>
                      <w:rFonts w:ascii="Times New Roman" w:hAnsi="Times New Roman" w:cs="Times New Roman"/>
                      <w:color w:val="000000" w:themeColor="text1"/>
                      <w:sz w:val="21"/>
                      <w:szCs w:val="21"/>
                      <w:lang w:val="en-US"/>
                      <w14:textFill>
                        <w14:solidFill>
                          <w14:schemeClr w14:val="tx1"/>
                        </w14:solidFill>
                      </w14:textFill>
                    </w:rPr>
                    <w:t>*</w:t>
                  </w:r>
                </w:p>
              </w:tc>
              <w:tc>
                <w:tcPr>
                  <w:tcW w:w="3811" w:type="dxa"/>
                  <w:vAlign w:val="center"/>
                </w:tcPr>
                <w:p w14:paraId="24F110C9">
                  <w:pPr>
                    <w:pStyle w:val="239"/>
                    <w:ind w:right="1"/>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5（8）</w:t>
                  </w:r>
                </w:p>
              </w:tc>
            </w:tr>
            <w:tr w14:paraId="0F01BCD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12" w:hRule="exact"/>
                <w:jc w:val="center"/>
              </w:trPr>
              <w:tc>
                <w:tcPr>
                  <w:tcW w:w="1864" w:type="dxa"/>
                  <w:vAlign w:val="center"/>
                </w:tcPr>
                <w:p w14:paraId="4800549C">
                  <w:pPr>
                    <w:pStyle w:val="239"/>
                    <w:ind w:left="3"/>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TP</w:t>
                  </w:r>
                </w:p>
              </w:tc>
              <w:tc>
                <w:tcPr>
                  <w:tcW w:w="2829" w:type="dxa"/>
                  <w:vAlign w:val="center"/>
                </w:tcPr>
                <w:p w14:paraId="3C4AF493">
                  <w:pPr>
                    <w:pStyle w:val="239"/>
                    <w:spacing w:before="15"/>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8*</w:t>
                  </w:r>
                </w:p>
              </w:tc>
              <w:tc>
                <w:tcPr>
                  <w:tcW w:w="3811" w:type="dxa"/>
                  <w:vAlign w:val="center"/>
                </w:tcPr>
                <w:p w14:paraId="09D4D180">
                  <w:pPr>
                    <w:pStyle w:val="239"/>
                    <w:spacing w:before="14"/>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0.5</w:t>
                  </w:r>
                </w:p>
              </w:tc>
            </w:tr>
            <w:tr w14:paraId="566A8D91">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12" w:hRule="exact"/>
                <w:jc w:val="center"/>
              </w:trPr>
              <w:tc>
                <w:tcPr>
                  <w:tcW w:w="1864" w:type="dxa"/>
                  <w:vAlign w:val="center"/>
                </w:tcPr>
                <w:p w14:paraId="27F857B7">
                  <w:pPr>
                    <w:pStyle w:val="239"/>
                    <w:ind w:left="3"/>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TN</w:t>
                  </w:r>
                </w:p>
              </w:tc>
              <w:tc>
                <w:tcPr>
                  <w:tcW w:w="2829" w:type="dxa"/>
                  <w:vAlign w:val="center"/>
                </w:tcPr>
                <w:p w14:paraId="5C232C65">
                  <w:pPr>
                    <w:pStyle w:val="239"/>
                    <w:spacing w:before="15"/>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70*</w:t>
                  </w:r>
                </w:p>
              </w:tc>
              <w:tc>
                <w:tcPr>
                  <w:tcW w:w="3811" w:type="dxa"/>
                  <w:vAlign w:val="center"/>
                </w:tcPr>
                <w:p w14:paraId="5F2F1B2A">
                  <w:pPr>
                    <w:pStyle w:val="239"/>
                    <w:spacing w:before="14"/>
                    <w:jc w:val="center"/>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15</w:t>
                  </w:r>
                </w:p>
              </w:tc>
            </w:tr>
            <w:tr w14:paraId="7F1F453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876" w:hRule="exact"/>
                <w:jc w:val="center"/>
              </w:trPr>
              <w:tc>
                <w:tcPr>
                  <w:tcW w:w="1864" w:type="dxa"/>
                  <w:vAlign w:val="center"/>
                </w:tcPr>
                <w:p w14:paraId="665FF0E6">
                  <w:pPr>
                    <w:pStyle w:val="239"/>
                    <w:ind w:left="3"/>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备注</w:t>
                  </w:r>
                </w:p>
              </w:tc>
              <w:tc>
                <w:tcPr>
                  <w:tcW w:w="6640" w:type="dxa"/>
                  <w:gridSpan w:val="2"/>
                  <w:vAlign w:val="center"/>
                </w:tcPr>
                <w:p w14:paraId="727F36D5">
                  <w:pPr>
                    <w:pStyle w:val="239"/>
                    <w:spacing w:before="14"/>
                    <w:ind w:left="218" w:leftChars="10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※执行《污水排入城镇下水道水质标准》GB/T31962-2015中标准。</w:t>
                  </w:r>
                </w:p>
                <w:p w14:paraId="35CA4F4E">
                  <w:pPr>
                    <w:pStyle w:val="239"/>
                    <w:spacing w:before="14"/>
                    <w:ind w:left="218" w:leftChars="104"/>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括号内数值为≤12℃时的控制指标，括号外数值为＞12℃时的控制指标。</w:t>
                  </w:r>
                </w:p>
              </w:tc>
            </w:tr>
          </w:tbl>
          <w:p w14:paraId="42F39568">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后期</w:t>
            </w:r>
            <w:r>
              <w:rPr>
                <w:rFonts w:hint="default" w:ascii="Times New Roman" w:hAnsi="Times New Roman" w:eastAsia="宋体" w:cs="Times New Roman"/>
                <w:color w:val="000000" w:themeColor="text1"/>
                <w:sz w:val="21"/>
                <w:szCs w:val="21"/>
                <w14:textFill>
                  <w14:solidFill>
                    <w14:schemeClr w14:val="tx1"/>
                  </w14:solidFill>
                </w14:textFill>
              </w:rPr>
              <w:t>雨水排入市政雨水管网</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最终排入项目南侧572m处的十二号横河</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olor w:val="000000" w:themeColor="text1"/>
                <w:lang w:val="en-US" w:eastAsia="zh-CN"/>
                <w14:textFill>
                  <w14:solidFill>
                    <w14:schemeClr w14:val="tx1"/>
                  </w14:solidFill>
                </w14:textFill>
              </w:rPr>
              <w:t>十二号横河属于</w:t>
            </w:r>
            <w:r>
              <w:rPr>
                <w:rFonts w:ascii="Times New Roman" w:hAnsi="Times New Roman" w:cs="Times New Roman"/>
                <w:color w:val="000000" w:themeColor="text1"/>
                <w14:textFill>
                  <w14:solidFill>
                    <w14:schemeClr w14:val="tx1"/>
                  </w14:solidFill>
                </w14:textFill>
              </w:rPr>
              <w:t>Ⅲ</w:t>
            </w:r>
            <w:r>
              <w:rPr>
                <w:rFonts w:hint="eastAsia"/>
                <w:color w:val="000000" w:themeColor="text1"/>
                <w:lang w:val="en-US" w:eastAsia="zh-CN"/>
                <w14:textFill>
                  <w14:solidFill>
                    <w14:schemeClr w14:val="tx1"/>
                  </w14:solidFill>
                </w14:textFill>
              </w:rPr>
              <w:t>类水体。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后期雨水排放管理要求：根据关于印发《江苏省重点行业工业企业雨水排放环境管理办法（试行）》的通知（苏污防攻坚指办</w:t>
            </w:r>
            <w:r>
              <w:rPr>
                <w:rFonts w:hint="eastAsia" w:ascii="Times New Roman" w:hAnsi="Times New Roman" w:cs="Times New Roman"/>
                <w:color w:val="000000" w:themeColor="text1"/>
                <w:sz w:val="21"/>
                <w:szCs w:val="21"/>
                <w:lang w:val="en-US" w:eastAsia="zh-CN"/>
                <w14:textFill>
                  <w14:solidFill>
                    <w14:schemeClr w14:val="tx1"/>
                  </w14:solidFill>
                </w14:textFill>
              </w:rPr>
              <w:t>〔2023〕71号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），后期雨水应满足以下要求：</w:t>
            </w:r>
          </w:p>
          <w:p w14:paraId="3B5828CD">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①初期雨水收集到位后，应做好后期雨水的收集、监控和排放。</w:t>
            </w:r>
          </w:p>
          <w:p w14:paraId="4990B8D1">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后期雨水可直接排放或纳管市政雨水管网。雨水排放口水质应保持稳定、清洁。严禁将后期雨水排入污水收集处理设施，借道污水排口排放的，不得在污水排放监控点之前汇入，避免影响污水处理设施效能或产生稀释排污的嫌疑。</w:t>
            </w:r>
          </w:p>
          <w:p w14:paraId="6D9E93CC">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③工业企业原则上一个厂区只允许设置一个雨水排放口。确需设置两个及以上雨水排放口的，应书面告知生态环境部门。</w:t>
            </w:r>
          </w:p>
          <w:p w14:paraId="13E4CDE4">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④工业企业雨水排放口前须设置明渠或取样监测观察井。明渠长度一般不小于1.5米，检查井长宽不小于0.5米，检查井底部要低于管渠底部0.3米以上，内侧贴白色瓷砖。</w:t>
            </w:r>
          </w:p>
          <w:p w14:paraId="5C2E5E7E">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⑤工业企业雨水排放口应设立标志牌，标志牌安放位置醒目，保持清洁，不得污损、破坏。</w:t>
            </w:r>
          </w:p>
          <w:p w14:paraId="4810DDB9">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⑥工业企业雨水排放口应按相关规定和管理要求安装视频监控设备或水质在线监控设备，并与生态环境部门联网。水质在线监控因子由生态环境部门根据环境影响评价、排污许可管理、接管集中式污水处理厂去除能力，以及下游水功能区、国省考断面、饮用水源地等敏感目标管理要求等确定。</w:t>
            </w:r>
          </w:p>
          <w:p w14:paraId="34C53262">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⑦为有效防范后期雨水异常排放，必要时在雨水排放口前应安装自动紧急切断装置，并与水质在线监控设备</w:t>
            </w:r>
            <w:r>
              <w:rPr>
                <w:rFonts w:hint="eastAsia" w:ascii="Times New Roman" w:hAnsi="Times New Roman" w:cs="Times New Roman"/>
                <w:color w:val="000000" w:themeColor="text1"/>
                <w:sz w:val="21"/>
                <w:szCs w:val="21"/>
                <w:lang w:val="en-US" w:eastAsia="zh-CN"/>
                <w14:textFill>
                  <w14:solidFill>
                    <w14:schemeClr w14:val="tx1"/>
                  </w14:solidFill>
                </w14:textFill>
              </w:rPr>
              <w:t>联锁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。发现雨水排放口水质异常，如监控因子浓度出现明显升高，</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或超过受纳水体水功能区目标等管控要求时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，应立即启动工业企业突发环境事件应急预案，立即停止排水并排查超标原因，达到相关要求后方可恢复排水。</w:t>
            </w:r>
          </w:p>
          <w:p w14:paraId="43C10DE8">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⑧无降雨时，工业企业雨水排放口原则上应保持干燥；降雨后应及时排出积水，降雨停止1至3日后一般不应再出现对外排水。</w:t>
            </w:r>
          </w:p>
          <w:p w14:paraId="3E148280">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因此，本项目雨水排放标准执行《地表水环境质量标准》（GB3838-2002）中的</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类水质标准。</w:t>
            </w:r>
          </w:p>
          <w:p w14:paraId="325BD24F">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3、噪声排放标准</w:t>
            </w:r>
          </w:p>
          <w:p w14:paraId="2E6EB4D0">
            <w:pPr>
              <w:numPr>
                <w:ilvl w:val="0"/>
                <w:numId w:val="0"/>
              </w:numPr>
              <w:spacing w:line="360" w:lineRule="auto"/>
              <w:ind w:leftChars="0" w:firstLine="420" w:firstLineChars="20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①施工期噪声排放标准 </w:t>
            </w:r>
          </w:p>
          <w:p w14:paraId="3E43920A">
            <w:pPr>
              <w:numPr>
                <w:ilvl w:val="0"/>
                <w:numId w:val="0"/>
              </w:numPr>
              <w:spacing w:line="360" w:lineRule="auto"/>
              <w:ind w:leftChars="0" w:firstLine="420" w:firstLineChars="20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施工期噪声排放执行《建筑施工场界环境噪声排放标准》（GB12523-2011）表1中排放限值标准。 </w:t>
            </w:r>
          </w:p>
          <w:p w14:paraId="1A5953BC">
            <w:pPr>
              <w:numPr>
                <w:ilvl w:val="0"/>
                <w:numId w:val="0"/>
              </w:numPr>
              <w:spacing w:line="360" w:lineRule="auto"/>
              <w:ind w:leftChars="0" w:firstLine="422" w:firstLineChars="200"/>
              <w:jc w:val="center"/>
              <w:rPr>
                <w:rFonts w:hint="default" w:ascii="Times New Roman" w:hAnsi="Times New Roman" w:cs="Times New Roman"/>
                <w:b/>
                <w:bCs/>
                <w:color w:val="000000" w:themeColor="text1"/>
                <w:vertAlign w:val="baseline"/>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表3-5 施工期噪声排放标准（单位：dB（A））</w:t>
            </w:r>
          </w:p>
          <w:tbl>
            <w:tblPr>
              <w:tblStyle w:val="4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5"/>
              <w:gridCol w:w="4136"/>
            </w:tblGrid>
            <w:tr w14:paraId="5C157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57FC33D8">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昼间</w:t>
                  </w:r>
                </w:p>
              </w:tc>
              <w:tc>
                <w:tcPr>
                  <w:tcW w:w="4136" w:type="dxa"/>
                  <w:tcBorders>
                    <w:tl2br w:val="nil"/>
                    <w:tr2bl w:val="nil"/>
                  </w:tcBorders>
                  <w:vAlign w:val="top"/>
                </w:tcPr>
                <w:p w14:paraId="26158004">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夜间</w:t>
                  </w:r>
                </w:p>
              </w:tc>
            </w:tr>
            <w:tr w14:paraId="737A1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52AA66AA">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70</w:t>
                  </w:r>
                </w:p>
              </w:tc>
              <w:tc>
                <w:tcPr>
                  <w:tcW w:w="4136" w:type="dxa"/>
                  <w:tcBorders>
                    <w:tl2br w:val="nil"/>
                    <w:tr2bl w:val="nil"/>
                  </w:tcBorders>
                  <w:vAlign w:val="top"/>
                </w:tcPr>
                <w:p w14:paraId="619464EE">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55</w:t>
                  </w:r>
                </w:p>
              </w:tc>
            </w:tr>
          </w:tbl>
          <w:p w14:paraId="4458583F">
            <w:pPr>
              <w:adjustRightInd w:val="0"/>
              <w:snapToGrid w:val="0"/>
              <w:spacing w:line="360" w:lineRule="auto"/>
              <w:ind w:firstLine="420" w:firstLineChars="200"/>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②营运期噪声排放标准</w:t>
            </w:r>
          </w:p>
          <w:p w14:paraId="4AFFEAF5">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本项目营运期厂界四周噪声执行《工业企业厂界环境噪声排放标准》（GB12348－2008）</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类标准，具体见表3-</w:t>
            </w: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w:t>
            </w:r>
          </w:p>
          <w:p w14:paraId="1528FB1B">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表3-</w:t>
            </w:r>
            <w:r>
              <w:rPr>
                <w:rFonts w:hint="eastAsia" w:ascii="Times New Roman" w:hAnsi="Times New Roman" w:cs="Times New Roman"/>
                <w:b/>
                <w:color w:val="000000" w:themeColor="text1"/>
                <w:sz w:val="21"/>
                <w:szCs w:val="21"/>
                <w:lang w:val="en-US" w:eastAsia="zh-CN"/>
                <w14:textFill>
                  <w14:solidFill>
                    <w14:schemeClr w14:val="tx1"/>
                  </w14:solidFill>
                </w14:textFill>
              </w:rPr>
              <w:t>6</w:t>
            </w:r>
            <w:r>
              <w:rPr>
                <w:rFonts w:hint="default" w:ascii="Times New Roman" w:hAnsi="Times New Roman" w:cs="Times New Roman"/>
                <w:b/>
                <w:color w:val="000000" w:themeColor="text1"/>
                <w:sz w:val="21"/>
                <w:szCs w:val="21"/>
                <w14:textFill>
                  <w14:solidFill>
                    <w14:schemeClr w14:val="tx1"/>
                  </w14:solidFill>
                </w14:textFill>
              </w:rPr>
              <w:t xml:space="preserve">  工业企业厂界环境噪声排放标准值    单位：dB(A)</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2758"/>
              <w:gridCol w:w="2759"/>
            </w:tblGrid>
            <w:tr w14:paraId="7C752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757" w:type="dxa"/>
                  <w:noWrap w:val="0"/>
                  <w:vAlign w:val="center"/>
                </w:tcPr>
                <w:p w14:paraId="1085F9D3">
                  <w:pPr>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类别</w:t>
                  </w:r>
                </w:p>
              </w:tc>
              <w:tc>
                <w:tcPr>
                  <w:tcW w:w="2758" w:type="dxa"/>
                  <w:noWrap w:val="0"/>
                  <w:vAlign w:val="center"/>
                </w:tcPr>
                <w:p w14:paraId="769E99ED">
                  <w:pPr>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昼间</w:t>
                  </w:r>
                </w:p>
              </w:tc>
              <w:tc>
                <w:tcPr>
                  <w:tcW w:w="2759" w:type="dxa"/>
                  <w:noWrap w:val="0"/>
                  <w:vAlign w:val="center"/>
                </w:tcPr>
                <w:p w14:paraId="2C0ABC5D">
                  <w:pPr>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夜间</w:t>
                  </w:r>
                </w:p>
              </w:tc>
            </w:tr>
            <w:tr w14:paraId="17366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57" w:type="dxa"/>
                  <w:noWrap w:val="0"/>
                  <w:vAlign w:val="center"/>
                </w:tcPr>
                <w:p w14:paraId="13264DD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2758" w:type="dxa"/>
                  <w:noWrap w:val="0"/>
                  <w:vAlign w:val="center"/>
                </w:tcPr>
                <w:p w14:paraId="2A6D872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60</w:t>
                  </w:r>
                </w:p>
              </w:tc>
              <w:tc>
                <w:tcPr>
                  <w:tcW w:w="2759" w:type="dxa"/>
                  <w:noWrap w:val="0"/>
                  <w:vAlign w:val="center"/>
                </w:tcPr>
                <w:p w14:paraId="67B3F1F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50</w:t>
                  </w:r>
                </w:p>
              </w:tc>
            </w:tr>
          </w:tbl>
          <w:p w14:paraId="0A4FB7F3">
            <w:pPr>
              <w:pStyle w:val="5"/>
              <w:topLinePunct/>
              <w:adjustRightInd w:val="0"/>
              <w:snapToGrid w:val="0"/>
              <w:spacing w:line="360" w:lineRule="auto"/>
              <w:ind w:firstLine="482"/>
              <w:rPr>
                <w:rFonts w:hint="default" w:ascii="Times New Roman" w:hAnsi="Times New Roman"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4、固废</w:t>
            </w:r>
          </w:p>
          <w:p w14:paraId="36B555A9">
            <w:pPr>
              <w:pStyle w:val="5"/>
              <w:topLinePunct/>
              <w:adjustRightInd w:val="0"/>
              <w:snapToGrid w:val="0"/>
              <w:spacing w:line="360" w:lineRule="auto"/>
              <w:ind w:firstLine="48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项目一般工业固体废物储存执行《一般工业固体废物贮存和填埋污染控制标准》（GB 18599-2020）中的相关规定。</w:t>
            </w:r>
          </w:p>
          <w:p w14:paraId="77ECEE49">
            <w:pPr>
              <w:adjustRightInd w:val="0"/>
              <w:snapToGrid w:val="0"/>
              <w:spacing w:line="360" w:lineRule="auto"/>
              <w:ind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生活垃圾处理执行《城市生活垃圾处理及污染防治技术政策》（建城</w:t>
            </w:r>
            <w:r>
              <w:rPr>
                <w:rFonts w:hint="eastAsia" w:ascii="Times New Roman" w:hAnsi="Times New Roman" w:cs="Times New Roman"/>
                <w:color w:val="000000" w:themeColor="text1"/>
                <w:sz w:val="21"/>
                <w:szCs w:val="21"/>
                <w:lang w:eastAsia="zh-CN"/>
                <w14:textFill>
                  <w14:solidFill>
                    <w14:schemeClr w14:val="tx1"/>
                  </w14:solidFill>
                </w14:textFill>
              </w:rPr>
              <w:t>〔2000〕120号</w:t>
            </w:r>
            <w:r>
              <w:rPr>
                <w:rFonts w:hint="default" w:ascii="Times New Roman" w:hAnsi="Times New Roman" w:cs="Times New Roman"/>
                <w:color w:val="000000" w:themeColor="text1"/>
                <w:sz w:val="21"/>
                <w:szCs w:val="21"/>
                <w14:textFill>
                  <w14:solidFill>
                    <w14:schemeClr w14:val="tx1"/>
                  </w14:solidFill>
                </w14:textFill>
              </w:rPr>
              <w:t>）和《生活垃圾处理技术指南》（建城[1810]61号）以及国家、省市关于固体废物污染环境防治的法律法规。</w:t>
            </w:r>
          </w:p>
        </w:tc>
      </w:tr>
      <w:tr w14:paraId="72298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4" w:type="dxa"/>
            <w:noWrap w:val="0"/>
            <w:vAlign w:val="center"/>
          </w:tcPr>
          <w:p w14:paraId="1B4F5774">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总量</w:t>
            </w:r>
          </w:p>
          <w:p w14:paraId="639D034E">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控制</w:t>
            </w:r>
          </w:p>
          <w:p w14:paraId="45E236E5">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指标</w:t>
            </w:r>
          </w:p>
        </w:tc>
        <w:tc>
          <w:tcPr>
            <w:tcW w:w="8674" w:type="dxa"/>
            <w:noWrap w:val="0"/>
            <w:vAlign w:val="center"/>
          </w:tcPr>
          <w:p w14:paraId="052E1891">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本项目</w:t>
            </w:r>
            <w:r>
              <w:rPr>
                <w:rFonts w:hint="default" w:ascii="Times New Roman" w:hAnsi="Times New Roman" w:cs="Times New Roman"/>
                <w:bCs/>
                <w:color w:val="000000" w:themeColor="text1"/>
                <w:sz w:val="21"/>
                <w:szCs w:val="21"/>
                <w14:textFill>
                  <w14:solidFill>
                    <w14:schemeClr w14:val="tx1"/>
                  </w14:solidFill>
                </w14:textFill>
              </w:rPr>
              <w:t>污染物达标排放量见表3-</w:t>
            </w:r>
            <w:r>
              <w:rPr>
                <w:rFonts w:hint="eastAsia" w:ascii="Times New Roman" w:hAnsi="Times New Roman" w:cs="Times New Roman"/>
                <w:bCs/>
                <w:color w:val="000000" w:themeColor="text1"/>
                <w:sz w:val="21"/>
                <w:szCs w:val="21"/>
                <w:lang w:val="en-US" w:eastAsia="zh-CN"/>
                <w14:textFill>
                  <w14:solidFill>
                    <w14:schemeClr w14:val="tx1"/>
                  </w14:solidFill>
                </w14:textFill>
              </w:rPr>
              <w:t>7</w:t>
            </w:r>
            <w:r>
              <w:rPr>
                <w:rFonts w:hint="default" w:ascii="Times New Roman" w:hAnsi="Times New Roman" w:cs="Times New Roman"/>
                <w:bCs/>
                <w:color w:val="000000" w:themeColor="text1"/>
                <w:sz w:val="21"/>
                <w:szCs w:val="21"/>
                <w14:textFill>
                  <w14:solidFill>
                    <w14:schemeClr w14:val="tx1"/>
                  </w14:solidFill>
                </w14:textFill>
              </w:rPr>
              <w:t>。</w:t>
            </w:r>
          </w:p>
          <w:p w14:paraId="360439B5">
            <w:pPr>
              <w:keepNext w:val="0"/>
              <w:keepLines w:val="0"/>
              <w:pageBreakBefore w:val="0"/>
              <w:widowControl w:val="0"/>
              <w:kinsoku/>
              <w:wordWrap/>
              <w:overflowPunct/>
              <w:topLinePunct w:val="0"/>
              <w:bidi w:val="0"/>
              <w:adjustRightInd/>
              <w:snapToGrid/>
              <w:spacing w:line="360" w:lineRule="auto"/>
              <w:jc w:val="center"/>
              <w:textAlignment w:val="auto"/>
              <w:outlineLvl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eastAsia" w:ascii="Times New Roman" w:hAnsi="Times New Roman"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14:textFill>
                  <w14:solidFill>
                    <w14:schemeClr w14:val="tx1"/>
                  </w14:solidFill>
                </w14:textFill>
              </w:rPr>
              <w:t xml:space="preserve">  </w:t>
            </w:r>
            <w:r>
              <w:rPr>
                <w:rFonts w:hint="default" w:ascii="Times New Roman" w:hAnsi="Times New Roman" w:cs="Times New Roman"/>
                <w:b/>
                <w:bCs/>
                <w:color w:val="000000" w:themeColor="text1"/>
                <w:sz w:val="21"/>
                <w:szCs w:val="21"/>
                <w:lang w:eastAsia="zh-CN"/>
                <w14:textFill>
                  <w14:solidFill>
                    <w14:schemeClr w14:val="tx1"/>
                  </w14:solidFill>
                </w14:textFill>
              </w:rPr>
              <w:t>本项目</w:t>
            </w:r>
            <w:r>
              <w:rPr>
                <w:rFonts w:hint="default" w:ascii="Times New Roman" w:hAnsi="Times New Roman" w:cs="Times New Roman"/>
                <w:b/>
                <w:bCs/>
                <w:color w:val="000000" w:themeColor="text1"/>
                <w:sz w:val="21"/>
                <w:szCs w:val="21"/>
                <w14:textFill>
                  <w14:solidFill>
                    <w14:schemeClr w14:val="tx1"/>
                  </w14:solidFill>
                </w14:textFill>
              </w:rPr>
              <w:t>污染物达标排放量  （单位：t/a）</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25"/>
              <w:gridCol w:w="863"/>
              <w:gridCol w:w="928"/>
              <w:gridCol w:w="1050"/>
              <w:gridCol w:w="848"/>
              <w:gridCol w:w="1015"/>
              <w:gridCol w:w="987"/>
              <w:gridCol w:w="919"/>
              <w:gridCol w:w="999"/>
            </w:tblGrid>
            <w:tr w14:paraId="06E46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8" w:type="pct"/>
                  <w:vMerge w:val="restart"/>
                  <w:noWrap w:val="0"/>
                  <w:vAlign w:val="center"/>
                </w:tcPr>
                <w:p w14:paraId="55876B6A">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种类</w:t>
                  </w:r>
                </w:p>
              </w:tc>
              <w:tc>
                <w:tcPr>
                  <w:tcW w:w="761" w:type="pct"/>
                  <w:gridSpan w:val="2"/>
                  <w:vMerge w:val="restart"/>
                  <w:noWrap w:val="0"/>
                  <w:vAlign w:val="center"/>
                </w:tcPr>
                <w:p w14:paraId="3177FCB7">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污染物名称</w:t>
                  </w:r>
                </w:p>
              </w:tc>
              <w:tc>
                <w:tcPr>
                  <w:tcW w:w="1169" w:type="pct"/>
                  <w:gridSpan w:val="2"/>
                  <w:noWrap w:val="0"/>
                  <w:vAlign w:val="center"/>
                </w:tcPr>
                <w:p w14:paraId="6268D747">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现有项目</w:t>
                  </w:r>
                </w:p>
              </w:tc>
              <w:tc>
                <w:tcPr>
                  <w:tcW w:w="1685" w:type="pct"/>
                  <w:gridSpan w:val="3"/>
                  <w:noWrap w:val="0"/>
                  <w:vAlign w:val="center"/>
                </w:tcPr>
                <w:p w14:paraId="6D495037">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本项目</w:t>
                  </w:r>
                </w:p>
              </w:tc>
              <w:tc>
                <w:tcPr>
                  <w:tcW w:w="543" w:type="pct"/>
                  <w:vMerge w:val="restart"/>
                  <w:noWrap w:val="0"/>
                  <w:vAlign w:val="center"/>
                </w:tcPr>
                <w:p w14:paraId="161BE601">
                  <w:pPr>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“以新带老”削减量</w:t>
                  </w:r>
                </w:p>
              </w:tc>
              <w:tc>
                <w:tcPr>
                  <w:tcW w:w="590" w:type="pct"/>
                  <w:vMerge w:val="restart"/>
                  <w:noWrap w:val="0"/>
                  <w:vAlign w:val="center"/>
                </w:tcPr>
                <w:p w14:paraId="56AEB8F9">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改建</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后全厂排放量</w:t>
                  </w:r>
                </w:p>
              </w:tc>
            </w:tr>
            <w:tr w14:paraId="44BAA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8" w:type="pct"/>
                  <w:vMerge w:val="continue"/>
                  <w:noWrap w:val="0"/>
                  <w:vAlign w:val="center"/>
                </w:tcPr>
                <w:p w14:paraId="33A73380">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61" w:type="pct"/>
                  <w:gridSpan w:val="2"/>
                  <w:vMerge w:val="continue"/>
                  <w:noWrap w:val="0"/>
                  <w:vAlign w:val="center"/>
                </w:tcPr>
                <w:p w14:paraId="00EBEC81">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48" w:type="pct"/>
                  <w:noWrap w:val="0"/>
                  <w:vAlign w:val="center"/>
                </w:tcPr>
                <w:p w14:paraId="63DF0D8F">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实际排放量</w:t>
                  </w:r>
                </w:p>
              </w:tc>
              <w:tc>
                <w:tcPr>
                  <w:tcW w:w="620" w:type="pct"/>
                  <w:noWrap w:val="0"/>
                  <w:vAlign w:val="center"/>
                </w:tcPr>
                <w:p w14:paraId="6235C4FC">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许可排放量</w:t>
                  </w:r>
                </w:p>
              </w:tc>
              <w:tc>
                <w:tcPr>
                  <w:tcW w:w="501" w:type="pct"/>
                  <w:noWrap w:val="0"/>
                  <w:vAlign w:val="center"/>
                </w:tcPr>
                <w:p w14:paraId="35FBB341">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产生量</w:t>
                  </w:r>
                </w:p>
              </w:tc>
              <w:tc>
                <w:tcPr>
                  <w:tcW w:w="600" w:type="pct"/>
                  <w:noWrap w:val="0"/>
                  <w:vAlign w:val="center"/>
                </w:tcPr>
                <w:p w14:paraId="461F94DC">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消减量</w:t>
                  </w:r>
                </w:p>
              </w:tc>
              <w:tc>
                <w:tcPr>
                  <w:tcW w:w="583" w:type="pct"/>
                  <w:noWrap w:val="0"/>
                  <w:vAlign w:val="center"/>
                </w:tcPr>
                <w:p w14:paraId="147AF7CB">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排放量</w:t>
                  </w:r>
                </w:p>
              </w:tc>
              <w:tc>
                <w:tcPr>
                  <w:tcW w:w="543" w:type="pct"/>
                  <w:vMerge w:val="continue"/>
                  <w:noWrap w:val="0"/>
                  <w:vAlign w:val="center"/>
                </w:tcPr>
                <w:p w14:paraId="56EE31F8">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p>
              </w:tc>
              <w:tc>
                <w:tcPr>
                  <w:tcW w:w="590" w:type="pct"/>
                  <w:vMerge w:val="continue"/>
                  <w:noWrap w:val="0"/>
                  <w:vAlign w:val="center"/>
                </w:tcPr>
                <w:p w14:paraId="584E51ED">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bCs/>
                      <w:color w:val="000000" w:themeColor="text1"/>
                      <w:sz w:val="21"/>
                      <w:szCs w:val="21"/>
                      <w:lang w:val="en-US" w:eastAsia="zh-CN"/>
                      <w14:textFill>
                        <w14:solidFill>
                          <w14:schemeClr w14:val="tx1"/>
                        </w14:solidFill>
                      </w14:textFill>
                    </w:rPr>
                  </w:pPr>
                </w:p>
              </w:tc>
            </w:tr>
            <w:tr w14:paraId="030C0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48" w:type="pct"/>
                  <w:vMerge w:val="restart"/>
                  <w:noWrap w:val="0"/>
                  <w:vAlign w:val="center"/>
                </w:tcPr>
                <w:p w14:paraId="51215640">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251" w:type="pct"/>
                  <w:vMerge w:val="restart"/>
                  <w:noWrap w:val="0"/>
                  <w:vAlign w:val="center"/>
                </w:tcPr>
                <w:p w14:paraId="7B927287">
                  <w:pPr>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有组织</w:t>
                  </w:r>
                </w:p>
              </w:tc>
              <w:tc>
                <w:tcPr>
                  <w:tcW w:w="510" w:type="pct"/>
                  <w:noWrap w:val="0"/>
                  <w:vAlign w:val="center"/>
                </w:tcPr>
                <w:p w14:paraId="53B534FF">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SO</w:t>
                  </w:r>
                  <w:r>
                    <w:rPr>
                      <w:rFonts w:hint="default" w:ascii="Times New Roman" w:hAnsi="Times New Roman" w:cs="Times New Roman"/>
                      <w:snapToGrid w:val="0"/>
                      <w:color w:val="000000" w:themeColor="text1"/>
                      <w:kern w:val="0"/>
                      <w:szCs w:val="21"/>
                      <w:vertAlign w:val="subscript"/>
                      <w14:textFill>
                        <w14:solidFill>
                          <w14:schemeClr w14:val="tx1"/>
                        </w14:solidFill>
                      </w14:textFill>
                    </w:rPr>
                    <w:t>2</w:t>
                  </w:r>
                </w:p>
              </w:tc>
              <w:tc>
                <w:tcPr>
                  <w:tcW w:w="548" w:type="pct"/>
                  <w:noWrap w:val="0"/>
                  <w:vAlign w:val="center"/>
                </w:tcPr>
                <w:p w14:paraId="0627A29D">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620" w:type="pct"/>
                  <w:noWrap w:val="0"/>
                  <w:vAlign w:val="center"/>
                </w:tcPr>
                <w:p w14:paraId="0073355B">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501" w:type="pct"/>
                  <w:noWrap w:val="0"/>
                  <w:vAlign w:val="center"/>
                </w:tcPr>
                <w:p w14:paraId="6704FFE5">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c>
                <w:tcPr>
                  <w:tcW w:w="600" w:type="pct"/>
                  <w:noWrap w:val="0"/>
                  <w:vAlign w:val="center"/>
                </w:tcPr>
                <w:p w14:paraId="21BE4C2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583" w:type="pct"/>
                  <w:noWrap w:val="0"/>
                  <w:vAlign w:val="center"/>
                </w:tcPr>
                <w:p w14:paraId="0B8D7BB5">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c>
                <w:tcPr>
                  <w:tcW w:w="543" w:type="pct"/>
                  <w:noWrap w:val="0"/>
                  <w:vAlign w:val="center"/>
                </w:tcPr>
                <w:p w14:paraId="5F3A8AE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noWrap w:val="0"/>
                  <w:vAlign w:val="center"/>
                </w:tcPr>
                <w:p w14:paraId="2433FF31">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r>
            <w:tr w14:paraId="65C21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248" w:type="pct"/>
                  <w:vMerge w:val="continue"/>
                  <w:noWrap w:val="0"/>
                  <w:vAlign w:val="center"/>
                </w:tcPr>
                <w:p w14:paraId="40AD42FF">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continue"/>
                  <w:noWrap w:val="0"/>
                  <w:vAlign w:val="center"/>
                </w:tcPr>
                <w:p w14:paraId="23268F6F">
                  <w:pPr>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10" w:type="pct"/>
                  <w:noWrap w:val="0"/>
                  <w:vAlign w:val="center"/>
                </w:tcPr>
                <w:p w14:paraId="225C6E3A">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烟尘</w:t>
                  </w:r>
                </w:p>
              </w:tc>
              <w:tc>
                <w:tcPr>
                  <w:tcW w:w="548" w:type="pct"/>
                  <w:noWrap w:val="0"/>
                  <w:vAlign w:val="center"/>
                </w:tcPr>
                <w:p w14:paraId="559D89BA">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620" w:type="pct"/>
                  <w:noWrap w:val="0"/>
                  <w:vAlign w:val="center"/>
                </w:tcPr>
                <w:p w14:paraId="06A5B652">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501" w:type="pct"/>
                  <w:noWrap w:val="0"/>
                  <w:vAlign w:val="center"/>
                </w:tcPr>
                <w:p w14:paraId="616E9DDE">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p>
              </w:tc>
              <w:tc>
                <w:tcPr>
                  <w:tcW w:w="600" w:type="pct"/>
                  <w:noWrap w:val="0"/>
                  <w:vAlign w:val="center"/>
                </w:tcPr>
                <w:p w14:paraId="27CF788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583" w:type="pct"/>
                  <w:noWrap w:val="0"/>
                  <w:vAlign w:val="center"/>
                </w:tcPr>
                <w:p w14:paraId="3050AB72">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p>
              </w:tc>
              <w:tc>
                <w:tcPr>
                  <w:tcW w:w="543" w:type="pct"/>
                  <w:noWrap w:val="0"/>
                  <w:vAlign w:val="center"/>
                </w:tcPr>
                <w:p w14:paraId="71CACBC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noWrap w:val="0"/>
                  <w:vAlign w:val="center"/>
                </w:tcPr>
                <w:p w14:paraId="7E078B12">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p>
              </w:tc>
            </w:tr>
            <w:tr w14:paraId="1F7B2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248" w:type="pct"/>
                  <w:vMerge w:val="continue"/>
                  <w:noWrap w:val="0"/>
                  <w:vAlign w:val="center"/>
                </w:tcPr>
                <w:p w14:paraId="19E532E1">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continue"/>
                  <w:noWrap w:val="0"/>
                  <w:vAlign w:val="center"/>
                </w:tcPr>
                <w:p w14:paraId="1034F5E5">
                  <w:pPr>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10" w:type="pct"/>
                  <w:noWrap w:val="0"/>
                  <w:vAlign w:val="center"/>
                </w:tcPr>
                <w:p w14:paraId="45F87ED1">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NOx</w:t>
                  </w:r>
                </w:p>
              </w:tc>
              <w:tc>
                <w:tcPr>
                  <w:tcW w:w="548" w:type="pct"/>
                  <w:noWrap w:val="0"/>
                  <w:vAlign w:val="center"/>
                </w:tcPr>
                <w:p w14:paraId="4E7770EE">
                  <w:pPr>
                    <w:widowControl/>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620" w:type="pct"/>
                  <w:noWrap w:val="0"/>
                  <w:vAlign w:val="center"/>
                </w:tcPr>
                <w:p w14:paraId="6F745D9D">
                  <w:pPr>
                    <w:widowControl/>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501" w:type="pct"/>
                  <w:noWrap w:val="0"/>
                  <w:vAlign w:val="center"/>
                </w:tcPr>
                <w:p w14:paraId="14D1AAD9">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c>
                <w:tcPr>
                  <w:tcW w:w="600" w:type="pct"/>
                  <w:noWrap w:val="0"/>
                  <w:vAlign w:val="center"/>
                </w:tcPr>
                <w:p w14:paraId="0412165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583" w:type="pct"/>
                  <w:noWrap w:val="0"/>
                  <w:vAlign w:val="center"/>
                </w:tcPr>
                <w:p w14:paraId="3CC6D388">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c>
                <w:tcPr>
                  <w:tcW w:w="543" w:type="pct"/>
                  <w:noWrap w:val="0"/>
                  <w:vAlign w:val="center"/>
                </w:tcPr>
                <w:p w14:paraId="3D50E38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noWrap w:val="0"/>
                  <w:vAlign w:val="center"/>
                </w:tcPr>
                <w:p w14:paraId="3E768028">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r>
            <w:tr w14:paraId="51076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restart"/>
                  <w:noWrap w:val="0"/>
                  <w:vAlign w:val="center"/>
                </w:tcPr>
                <w:p w14:paraId="3BD7DC3E">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761" w:type="pct"/>
                  <w:gridSpan w:val="2"/>
                  <w:noWrap w:val="0"/>
                  <w:vAlign w:val="center"/>
                </w:tcPr>
                <w:p w14:paraId="6CDBC5E1">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排放量</w:t>
                  </w:r>
                </w:p>
              </w:tc>
              <w:tc>
                <w:tcPr>
                  <w:tcW w:w="548" w:type="pct"/>
                  <w:shd w:val="clear" w:color="auto" w:fill="auto"/>
                  <w:noWrap w:val="0"/>
                  <w:vAlign w:val="center"/>
                </w:tcPr>
                <w:p w14:paraId="3528396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15292</w:t>
                  </w:r>
                </w:p>
              </w:tc>
              <w:tc>
                <w:tcPr>
                  <w:tcW w:w="620" w:type="pct"/>
                  <w:shd w:val="clear" w:color="auto" w:fill="auto"/>
                  <w:noWrap w:val="0"/>
                  <w:vAlign w:val="center"/>
                </w:tcPr>
                <w:p w14:paraId="15D4C64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15292</w:t>
                  </w:r>
                </w:p>
              </w:tc>
              <w:tc>
                <w:tcPr>
                  <w:tcW w:w="501" w:type="pct"/>
                  <w:noWrap w:val="0"/>
                  <w:vAlign w:val="center"/>
                </w:tcPr>
                <w:p w14:paraId="484DD68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770</w:t>
                  </w:r>
                </w:p>
              </w:tc>
              <w:tc>
                <w:tcPr>
                  <w:tcW w:w="600" w:type="pct"/>
                  <w:noWrap w:val="0"/>
                  <w:vAlign w:val="center"/>
                </w:tcPr>
                <w:p w14:paraId="72933EE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583" w:type="pct"/>
                  <w:noWrap w:val="0"/>
                  <w:vAlign w:val="center"/>
                </w:tcPr>
                <w:p w14:paraId="70FBE3E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770</w:t>
                  </w:r>
                </w:p>
              </w:tc>
              <w:tc>
                <w:tcPr>
                  <w:tcW w:w="543" w:type="pct"/>
                  <w:noWrap w:val="0"/>
                  <w:vAlign w:val="center"/>
                </w:tcPr>
                <w:p w14:paraId="2030378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noWrap w:val="0"/>
                  <w:vAlign w:val="center"/>
                </w:tcPr>
                <w:p w14:paraId="5DD7B79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16062</w:t>
                  </w:r>
                </w:p>
              </w:tc>
            </w:tr>
            <w:tr w14:paraId="1B814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continue"/>
                  <w:noWrap w:val="0"/>
                  <w:vAlign w:val="center"/>
                </w:tcPr>
                <w:p w14:paraId="57C0DB5F">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61" w:type="pct"/>
                  <w:gridSpan w:val="2"/>
                  <w:noWrap w:val="0"/>
                  <w:vAlign w:val="center"/>
                </w:tcPr>
                <w:p w14:paraId="78A174A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548" w:type="pct"/>
                  <w:shd w:val="clear" w:color="auto" w:fill="auto"/>
                  <w:noWrap w:val="0"/>
                  <w:vAlign w:val="center"/>
                </w:tcPr>
                <w:p w14:paraId="4413DEB6">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5.3522</w:t>
                  </w:r>
                </w:p>
              </w:tc>
              <w:tc>
                <w:tcPr>
                  <w:tcW w:w="620" w:type="pct"/>
                  <w:shd w:val="clear" w:color="auto" w:fill="auto"/>
                  <w:noWrap w:val="0"/>
                  <w:vAlign w:val="center"/>
                </w:tcPr>
                <w:p w14:paraId="448F44F2">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5.3522</w:t>
                  </w:r>
                </w:p>
              </w:tc>
              <w:tc>
                <w:tcPr>
                  <w:tcW w:w="501" w:type="pct"/>
                  <w:noWrap w:val="0"/>
                  <w:vAlign w:val="center"/>
                </w:tcPr>
                <w:p w14:paraId="5614CD72">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0.0616</w:t>
                  </w:r>
                </w:p>
              </w:tc>
              <w:tc>
                <w:tcPr>
                  <w:tcW w:w="600" w:type="pct"/>
                  <w:noWrap w:val="0"/>
                  <w:vAlign w:val="center"/>
                </w:tcPr>
                <w:p w14:paraId="7000392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w:t>
                  </w:r>
                </w:p>
              </w:tc>
              <w:tc>
                <w:tcPr>
                  <w:tcW w:w="583" w:type="pct"/>
                  <w:noWrap w:val="0"/>
                  <w:vAlign w:val="center"/>
                </w:tcPr>
                <w:p w14:paraId="3B863247">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0.0616</w:t>
                  </w:r>
                </w:p>
              </w:tc>
              <w:tc>
                <w:tcPr>
                  <w:tcW w:w="543" w:type="pct"/>
                  <w:noWrap w:val="0"/>
                  <w:vAlign w:val="center"/>
                </w:tcPr>
                <w:p w14:paraId="23D1F28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590" w:type="pct"/>
                  <w:noWrap w:val="0"/>
                  <w:vAlign w:val="center"/>
                </w:tcPr>
                <w:p w14:paraId="0B12B625">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5.4138</w:t>
                  </w:r>
                </w:p>
              </w:tc>
            </w:tr>
            <w:tr w14:paraId="783FE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continue"/>
                  <w:noWrap w:val="0"/>
                  <w:vAlign w:val="center"/>
                </w:tcPr>
                <w:p w14:paraId="53C64F64">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61" w:type="pct"/>
                  <w:gridSpan w:val="2"/>
                  <w:noWrap w:val="0"/>
                  <w:vAlign w:val="center"/>
                </w:tcPr>
                <w:p w14:paraId="6C0C02C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SS</w:t>
                  </w:r>
                </w:p>
              </w:tc>
              <w:tc>
                <w:tcPr>
                  <w:tcW w:w="548" w:type="pct"/>
                  <w:shd w:val="clear" w:color="auto" w:fill="auto"/>
                  <w:noWrap w:val="0"/>
                  <w:vAlign w:val="center"/>
                </w:tcPr>
                <w:p w14:paraId="135110C4">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6.1168</w:t>
                  </w:r>
                </w:p>
              </w:tc>
              <w:tc>
                <w:tcPr>
                  <w:tcW w:w="620" w:type="pct"/>
                  <w:shd w:val="clear" w:color="auto" w:fill="auto"/>
                  <w:noWrap w:val="0"/>
                  <w:vAlign w:val="center"/>
                </w:tcPr>
                <w:p w14:paraId="23EF4CD9">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6.1168</w:t>
                  </w:r>
                </w:p>
              </w:tc>
              <w:tc>
                <w:tcPr>
                  <w:tcW w:w="501" w:type="pct"/>
                  <w:shd w:val="clear" w:color="auto" w:fill="auto"/>
                  <w:noWrap w:val="0"/>
                  <w:vAlign w:val="center"/>
                </w:tcPr>
                <w:p w14:paraId="1C924B9E">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0.154</w:t>
                  </w:r>
                </w:p>
              </w:tc>
              <w:tc>
                <w:tcPr>
                  <w:tcW w:w="600" w:type="pct"/>
                  <w:shd w:val="clear" w:color="auto" w:fill="auto"/>
                  <w:noWrap w:val="0"/>
                  <w:vAlign w:val="center"/>
                </w:tcPr>
                <w:p w14:paraId="605D686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w:t>
                  </w:r>
                </w:p>
              </w:tc>
              <w:tc>
                <w:tcPr>
                  <w:tcW w:w="583" w:type="pct"/>
                  <w:shd w:val="clear" w:color="auto" w:fill="auto"/>
                  <w:noWrap w:val="0"/>
                  <w:vAlign w:val="center"/>
                </w:tcPr>
                <w:p w14:paraId="0CDE1C22">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0.154</w:t>
                  </w:r>
                </w:p>
              </w:tc>
              <w:tc>
                <w:tcPr>
                  <w:tcW w:w="543" w:type="pct"/>
                  <w:noWrap w:val="0"/>
                  <w:vAlign w:val="center"/>
                </w:tcPr>
                <w:p w14:paraId="65C6CCD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590" w:type="pct"/>
                  <w:noWrap w:val="0"/>
                  <w:vAlign w:val="center"/>
                </w:tcPr>
                <w:p w14:paraId="58D905C1">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6.2708</w:t>
                  </w:r>
                </w:p>
              </w:tc>
            </w:tr>
            <w:tr w14:paraId="50CD2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continue"/>
                  <w:noWrap w:val="0"/>
                  <w:vAlign w:val="center"/>
                </w:tcPr>
                <w:p w14:paraId="712C40D6">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61" w:type="pct"/>
                  <w:gridSpan w:val="2"/>
                  <w:noWrap w:val="0"/>
                  <w:vAlign w:val="center"/>
                </w:tcPr>
                <w:p w14:paraId="2E993FA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548" w:type="pct"/>
                  <w:shd w:val="clear" w:color="auto" w:fill="auto"/>
                  <w:noWrap w:val="0"/>
                  <w:vAlign w:val="center"/>
                </w:tcPr>
                <w:p w14:paraId="16222E1F">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620" w:type="pct"/>
                  <w:shd w:val="clear" w:color="auto" w:fill="auto"/>
                  <w:noWrap w:val="0"/>
                  <w:vAlign w:val="center"/>
                </w:tcPr>
                <w:p w14:paraId="7F1D48B5">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501" w:type="pct"/>
                  <w:noWrap w:val="0"/>
                  <w:vAlign w:val="center"/>
                </w:tcPr>
                <w:p w14:paraId="54C5BE90">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00" w:type="pct"/>
                  <w:noWrap w:val="0"/>
                  <w:vAlign w:val="center"/>
                </w:tcPr>
                <w:p w14:paraId="6E28B90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583" w:type="pct"/>
                  <w:noWrap w:val="0"/>
                  <w:vAlign w:val="center"/>
                </w:tcPr>
                <w:p w14:paraId="6FD1D162">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543" w:type="pct"/>
                  <w:noWrap w:val="0"/>
                  <w:vAlign w:val="center"/>
                </w:tcPr>
                <w:p w14:paraId="5874E89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shd w:val="clear" w:color="auto" w:fill="auto"/>
                  <w:noWrap w:val="0"/>
                  <w:vAlign w:val="center"/>
                </w:tcPr>
                <w:p w14:paraId="33F7BEF3">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r>
            <w:tr w14:paraId="68876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continue"/>
                  <w:noWrap w:val="0"/>
                  <w:vAlign w:val="center"/>
                </w:tcPr>
                <w:p w14:paraId="5AE361A4">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61" w:type="pct"/>
                  <w:gridSpan w:val="2"/>
                  <w:noWrap w:val="0"/>
                  <w:vAlign w:val="center"/>
                </w:tcPr>
                <w:p w14:paraId="3E362F6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TP</w:t>
                  </w:r>
                </w:p>
              </w:tc>
              <w:tc>
                <w:tcPr>
                  <w:tcW w:w="548" w:type="pct"/>
                  <w:shd w:val="clear" w:color="auto" w:fill="auto"/>
                  <w:noWrap w:val="0"/>
                  <w:vAlign w:val="center"/>
                </w:tcPr>
                <w:p w14:paraId="452944FA">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p>
              </w:tc>
              <w:tc>
                <w:tcPr>
                  <w:tcW w:w="620" w:type="pct"/>
                  <w:shd w:val="clear" w:color="auto" w:fill="auto"/>
                  <w:noWrap w:val="0"/>
                  <w:vAlign w:val="center"/>
                </w:tcPr>
                <w:p w14:paraId="0BD3D71C">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p>
              </w:tc>
              <w:tc>
                <w:tcPr>
                  <w:tcW w:w="501" w:type="pct"/>
                  <w:noWrap w:val="0"/>
                  <w:vAlign w:val="center"/>
                </w:tcPr>
                <w:p w14:paraId="6815F144">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00" w:type="pct"/>
                  <w:noWrap w:val="0"/>
                  <w:vAlign w:val="center"/>
                </w:tcPr>
                <w:p w14:paraId="3F13150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583" w:type="pct"/>
                  <w:noWrap w:val="0"/>
                  <w:vAlign w:val="center"/>
                </w:tcPr>
                <w:p w14:paraId="1D0C9D7C">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543" w:type="pct"/>
                  <w:noWrap w:val="0"/>
                  <w:vAlign w:val="center"/>
                </w:tcPr>
                <w:p w14:paraId="7612E92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shd w:val="clear" w:color="auto" w:fill="auto"/>
                  <w:noWrap w:val="0"/>
                  <w:vAlign w:val="center"/>
                </w:tcPr>
                <w:p w14:paraId="6663757C">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p>
              </w:tc>
            </w:tr>
            <w:tr w14:paraId="36112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continue"/>
                  <w:noWrap w:val="0"/>
                  <w:vAlign w:val="center"/>
                </w:tcPr>
                <w:p w14:paraId="64B19D37">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61" w:type="pct"/>
                  <w:gridSpan w:val="2"/>
                  <w:noWrap w:val="0"/>
                  <w:vAlign w:val="center"/>
                </w:tcPr>
                <w:p w14:paraId="24AD760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TN</w:t>
                  </w:r>
                </w:p>
              </w:tc>
              <w:tc>
                <w:tcPr>
                  <w:tcW w:w="548" w:type="pct"/>
                  <w:shd w:val="clear" w:color="auto" w:fill="auto"/>
                  <w:noWrap w:val="0"/>
                  <w:vAlign w:val="center"/>
                </w:tcPr>
                <w:p w14:paraId="1B169E5B">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620" w:type="pct"/>
                  <w:shd w:val="clear" w:color="auto" w:fill="auto"/>
                  <w:noWrap w:val="0"/>
                  <w:vAlign w:val="center"/>
                </w:tcPr>
                <w:p w14:paraId="2AD7BE2B">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501" w:type="pct"/>
                  <w:noWrap w:val="0"/>
                  <w:vAlign w:val="center"/>
                </w:tcPr>
                <w:p w14:paraId="78E3C4CB">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00" w:type="pct"/>
                  <w:noWrap w:val="0"/>
                  <w:vAlign w:val="center"/>
                </w:tcPr>
                <w:p w14:paraId="02D3076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w:t>
                  </w:r>
                </w:p>
              </w:tc>
              <w:tc>
                <w:tcPr>
                  <w:tcW w:w="583" w:type="pct"/>
                  <w:noWrap w:val="0"/>
                  <w:vAlign w:val="center"/>
                </w:tcPr>
                <w:p w14:paraId="3188D0C9">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543" w:type="pct"/>
                  <w:noWrap w:val="0"/>
                  <w:vAlign w:val="center"/>
                </w:tcPr>
                <w:p w14:paraId="4E3869D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shd w:val="clear" w:color="auto" w:fill="auto"/>
                  <w:noWrap w:val="0"/>
                  <w:vAlign w:val="center"/>
                </w:tcPr>
                <w:p w14:paraId="047F38FF">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r>
            <w:tr w14:paraId="120C0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restart"/>
                  <w:noWrap w:val="0"/>
                  <w:vAlign w:val="center"/>
                </w:tcPr>
                <w:p w14:paraId="2B92D8FD">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固废</w:t>
                  </w:r>
                </w:p>
              </w:tc>
              <w:tc>
                <w:tcPr>
                  <w:tcW w:w="761" w:type="pct"/>
                  <w:gridSpan w:val="2"/>
                  <w:noWrap w:val="0"/>
                  <w:vAlign w:val="center"/>
                </w:tcPr>
                <w:p w14:paraId="19195D7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边角料</w:t>
                  </w:r>
                </w:p>
              </w:tc>
              <w:tc>
                <w:tcPr>
                  <w:tcW w:w="548" w:type="pct"/>
                  <w:noWrap w:val="0"/>
                  <w:vAlign w:val="center"/>
                </w:tcPr>
                <w:p w14:paraId="47DCA7D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620" w:type="pct"/>
                  <w:noWrap w:val="0"/>
                  <w:vAlign w:val="center"/>
                </w:tcPr>
                <w:p w14:paraId="7D470CE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01" w:type="pct"/>
                  <w:noWrap w:val="0"/>
                  <w:vAlign w:val="center"/>
                </w:tcPr>
                <w:p w14:paraId="5B2F7F55">
                  <w:pPr>
                    <w:adjustRightInd w:val="0"/>
                    <w:snapToGrid w:val="0"/>
                    <w:jc w:val="center"/>
                    <w:textAlignment w:val="baseline"/>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600" w:type="pct"/>
                  <w:noWrap w:val="0"/>
                  <w:vAlign w:val="center"/>
                </w:tcPr>
                <w:p w14:paraId="29C6D63F">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583" w:type="pct"/>
                  <w:noWrap w:val="0"/>
                  <w:vAlign w:val="center"/>
                </w:tcPr>
                <w:p w14:paraId="19AD250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43" w:type="pct"/>
                  <w:noWrap w:val="0"/>
                  <w:vAlign w:val="center"/>
                </w:tcPr>
                <w:p w14:paraId="59B8AEA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noWrap w:val="0"/>
                  <w:vAlign w:val="center"/>
                </w:tcPr>
                <w:p w14:paraId="5446906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14:paraId="6C625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continue"/>
                  <w:noWrap w:val="0"/>
                  <w:vAlign w:val="center"/>
                </w:tcPr>
                <w:p w14:paraId="0AE6099C">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61" w:type="pct"/>
                  <w:gridSpan w:val="2"/>
                  <w:noWrap w:val="0"/>
                  <w:vAlign w:val="center"/>
                </w:tcPr>
                <w:p w14:paraId="1EBF690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不合格品</w:t>
                  </w:r>
                </w:p>
              </w:tc>
              <w:tc>
                <w:tcPr>
                  <w:tcW w:w="548" w:type="pct"/>
                  <w:noWrap w:val="0"/>
                  <w:vAlign w:val="center"/>
                </w:tcPr>
                <w:p w14:paraId="2FE89B1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620" w:type="pct"/>
                  <w:noWrap w:val="0"/>
                  <w:vAlign w:val="center"/>
                </w:tcPr>
                <w:p w14:paraId="4FC1848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01" w:type="pct"/>
                  <w:noWrap w:val="0"/>
                  <w:vAlign w:val="center"/>
                </w:tcPr>
                <w:p w14:paraId="5AEDC874">
                  <w:pPr>
                    <w:adjustRightInd w:val="0"/>
                    <w:snapToGrid w:val="0"/>
                    <w:jc w:val="center"/>
                    <w:textAlignment w:val="baseline"/>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600" w:type="pct"/>
                  <w:noWrap w:val="0"/>
                  <w:vAlign w:val="center"/>
                </w:tcPr>
                <w:p w14:paraId="310A27C2">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583" w:type="pct"/>
                  <w:noWrap w:val="0"/>
                  <w:vAlign w:val="center"/>
                </w:tcPr>
                <w:p w14:paraId="17AE9E8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43" w:type="pct"/>
                  <w:noWrap w:val="0"/>
                  <w:vAlign w:val="center"/>
                </w:tcPr>
                <w:p w14:paraId="3F232DB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noWrap w:val="0"/>
                  <w:vAlign w:val="center"/>
                </w:tcPr>
                <w:p w14:paraId="639FAB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14:paraId="21969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248" w:type="pct"/>
                  <w:vMerge w:val="continue"/>
                  <w:noWrap w:val="0"/>
                  <w:vAlign w:val="center"/>
                </w:tcPr>
                <w:p w14:paraId="10AD0060">
                  <w:pPr>
                    <w:pStyle w:val="84"/>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61" w:type="pct"/>
                  <w:gridSpan w:val="2"/>
                  <w:noWrap w:val="0"/>
                  <w:vAlign w:val="center"/>
                </w:tcPr>
                <w:p w14:paraId="530BE78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生活垃圾</w:t>
                  </w:r>
                </w:p>
              </w:tc>
              <w:tc>
                <w:tcPr>
                  <w:tcW w:w="548" w:type="pct"/>
                  <w:noWrap w:val="0"/>
                  <w:vAlign w:val="center"/>
                </w:tcPr>
                <w:p w14:paraId="05CBF72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620" w:type="pct"/>
                  <w:noWrap w:val="0"/>
                  <w:vAlign w:val="center"/>
                </w:tcPr>
                <w:p w14:paraId="6CD9EE6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501" w:type="pct"/>
                  <w:noWrap w:val="0"/>
                  <w:vAlign w:val="center"/>
                </w:tcPr>
                <w:p w14:paraId="7815189F">
                  <w:pPr>
                    <w:adjustRightInd w:val="0"/>
                    <w:snapToGrid w:val="0"/>
                    <w:jc w:val="center"/>
                    <w:textAlignment w:val="baseline"/>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600" w:type="pct"/>
                  <w:noWrap w:val="0"/>
                  <w:vAlign w:val="center"/>
                </w:tcPr>
                <w:p w14:paraId="6B2388F6">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p>
              </w:tc>
              <w:tc>
                <w:tcPr>
                  <w:tcW w:w="583" w:type="pct"/>
                  <w:noWrap w:val="0"/>
                  <w:vAlign w:val="center"/>
                </w:tcPr>
                <w:p w14:paraId="74D4392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543" w:type="pct"/>
                  <w:noWrap w:val="0"/>
                  <w:vAlign w:val="center"/>
                </w:tcPr>
                <w:p w14:paraId="7144AE8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590" w:type="pct"/>
                  <w:noWrap w:val="0"/>
                  <w:vAlign w:val="center"/>
                </w:tcPr>
                <w:p w14:paraId="1F8E59A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r>
          </w:tbl>
          <w:p w14:paraId="23B0D625">
            <w:pPr>
              <w:pStyle w:val="214"/>
              <w:adjustRightInd w:val="0"/>
              <w:snapToGrid w:val="0"/>
              <w:spacing w:line="360" w:lineRule="auto"/>
              <w:ind w:firstLine="48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根据《国民经济行业分类》（GB/T4754-2017），本项目属于</w:t>
            </w:r>
            <w:r>
              <w:rPr>
                <w:rFonts w:hint="default" w:ascii="Times New Roman" w:hAnsi="Times New Roman" w:cs="Times New Roman"/>
                <w:color w:val="000000" w:themeColor="text1"/>
                <w:kern w:val="2"/>
                <w:sz w:val="21"/>
                <w:szCs w:val="21"/>
                <w:lang w:val="en-US" w:eastAsia="zh-CN"/>
                <w14:textFill>
                  <w14:solidFill>
                    <w14:schemeClr w14:val="tx1"/>
                  </w14:solidFill>
                </w14:textFill>
              </w:rPr>
              <w:t>D4430 热力生产和供应</w:t>
            </w:r>
            <w:r>
              <w:rPr>
                <w:rFonts w:hint="default" w:ascii="Times New Roman" w:hAnsi="Times New Roman" w:cs="Times New Roman"/>
                <w:color w:val="000000" w:themeColor="text1"/>
                <w:kern w:val="2"/>
                <w:sz w:val="21"/>
                <w:szCs w:val="21"/>
                <w14:textFill>
                  <w14:solidFill>
                    <w14:schemeClr w14:val="tx1"/>
                  </w14:solidFill>
                </w14:textFill>
              </w:rPr>
              <w:t>，对照《固定污染源排污许可分类管理名录》（2019年版），</w:t>
            </w:r>
            <w:r>
              <w:rPr>
                <w:rFonts w:hint="eastAsia" w:ascii="Times New Roman" w:hAnsi="Times New Roman" w:cs="Times New Roman"/>
                <w:color w:val="000000" w:themeColor="text1"/>
                <w:kern w:val="2"/>
                <w:sz w:val="21"/>
                <w:szCs w:val="21"/>
                <w:lang w:val="en-US" w:eastAsia="zh-CN"/>
                <w14:textFill>
                  <w14:solidFill>
                    <w14:schemeClr w14:val="tx1"/>
                  </w14:solidFill>
                </w14:textFill>
              </w:rPr>
              <w:t>五十一、通用工序 锅炉，除纳入重点排污单位名录的，单台且合计出力20吨/小时（14兆瓦）以下的锅炉（不含电热锅炉），本项目建设有3台3t/h天然气锅炉，</w:t>
            </w:r>
            <w:r>
              <w:rPr>
                <w:rFonts w:hint="default" w:ascii="Times New Roman" w:hAnsi="Times New Roman" w:cs="Times New Roman"/>
                <w:color w:val="000000" w:themeColor="text1"/>
                <w:kern w:val="2"/>
                <w:sz w:val="21"/>
                <w:szCs w:val="21"/>
                <w14:textFill>
                  <w14:solidFill>
                    <w14:schemeClr w14:val="tx1"/>
                  </w14:solidFill>
                </w14:textFill>
              </w:rPr>
              <w:t>因此，本项目投产前应执行排污许可</w:t>
            </w:r>
            <w:r>
              <w:rPr>
                <w:rFonts w:hint="eastAsia" w:ascii="Times New Roman" w:hAnsi="Times New Roman" w:cs="Times New Roman"/>
                <w:color w:val="000000" w:themeColor="text1"/>
                <w:kern w:val="2"/>
                <w:sz w:val="21"/>
                <w:szCs w:val="21"/>
                <w:lang w:val="en-US" w:eastAsia="zh-CN"/>
                <w14:textFill>
                  <w14:solidFill>
                    <w14:schemeClr w14:val="tx1"/>
                  </w14:solidFill>
                </w14:textFill>
              </w:rPr>
              <w:t>登记</w:t>
            </w:r>
            <w:r>
              <w:rPr>
                <w:rFonts w:hint="default" w:ascii="Times New Roman" w:hAnsi="Times New Roman" w:cs="Times New Roman"/>
                <w:color w:val="000000" w:themeColor="text1"/>
                <w:kern w:val="2"/>
                <w:sz w:val="21"/>
                <w:szCs w:val="21"/>
                <w14:textFill>
                  <w14:solidFill>
                    <w14:schemeClr w14:val="tx1"/>
                  </w14:solidFill>
                </w14:textFill>
              </w:rPr>
              <w:t>管理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需通过交易获得排污总量指标。</w:t>
            </w:r>
          </w:p>
          <w:p w14:paraId="629600BC">
            <w:pPr>
              <w:pStyle w:val="214"/>
              <w:adjustRightInd w:val="0"/>
              <w:snapToGrid w:val="0"/>
              <w:spacing w:line="360" w:lineRule="auto"/>
              <w:ind w:firstLine="480"/>
              <w:rPr>
                <w:rFonts w:hint="eastAsia"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default" w:ascii="Times New Roman" w:hAnsi="Times New Roman" w:cs="Times New Roman"/>
                <w:color w:val="000000" w:themeColor="text1"/>
                <w:sz w:val="21"/>
                <w:szCs w:val="21"/>
                <w:lang w:val="en-US" w:eastAsia="zh-CN"/>
                <w14:textFill>
                  <w14:solidFill>
                    <w14:schemeClr w14:val="tx1"/>
                  </w14:solidFill>
                </w14:textFill>
              </w:rPr>
              <w:t>关于印发《关于进一步优化建设项目排污总量指标管理提升环评审批效能的意见（试行）》（通环办</w:t>
            </w:r>
            <w:r>
              <w:rPr>
                <w:rFonts w:hint="eastAsia" w:ascii="Times New Roman" w:hAnsi="Times New Roman" w:cs="Times New Roman"/>
                <w:color w:val="000000" w:themeColor="text1"/>
                <w:sz w:val="21"/>
                <w:szCs w:val="21"/>
                <w:lang w:val="en-US" w:eastAsia="zh-CN"/>
                <w14:textFill>
                  <w14:solidFill>
                    <w14:schemeClr w14:val="tx1"/>
                  </w14:solidFill>
                </w14:textFill>
              </w:rPr>
              <w:t>〔2023〕132号</w:t>
            </w:r>
            <w:r>
              <w:rPr>
                <w:rFonts w:hint="default" w:ascii="Times New Roman" w:hAnsi="Times New Roman" w:cs="Times New Roman"/>
                <w:color w:val="000000" w:themeColor="text1"/>
                <w:sz w:val="21"/>
                <w:szCs w:val="21"/>
                <w:lang w:val="en-US" w:eastAsia="zh-CN"/>
                <w14:textFill>
                  <w14:solidFill>
                    <w14:schemeClr w14:val="tx1"/>
                  </w14:solidFill>
                </w14:textFill>
              </w:rPr>
              <w:t>）的通知，需编制报批环境影响报告书（表）的新（改、扩）建项目（不含生活污水及工业废水集中处理厂、垃圾处理场、危险废物填埋和医疗废物处置厂），且属于《固定污染源排污许可分类管理名录》规定的重点管理或简化管理的排污单位，需通过交易获得新增排污总量指标。本项目不属于生活污水及工业废水集中处理厂、垃圾处理场、危险废物填埋和医疗废物处置厂，且</w:t>
            </w:r>
            <w:r>
              <w:rPr>
                <w:rFonts w:hint="default" w:ascii="Times New Roman" w:hAnsi="Times New Roman" w:eastAsia="宋体" w:cs="Times New Roman"/>
                <w:color w:val="000000" w:themeColor="text1"/>
                <w:sz w:val="21"/>
                <w:szCs w:val="21"/>
                <w14:textFill>
                  <w14:solidFill>
                    <w14:schemeClr w14:val="tx1"/>
                  </w14:solidFill>
                </w14:textFill>
              </w:rPr>
              <w:t>根据《固定污染源排污许可分类管理名录（2019年版）》（生态环境部 部令第11号），</w:t>
            </w:r>
            <w:r>
              <w:rPr>
                <w:rFonts w:hint="default" w:ascii="Times New Roman" w:hAnsi="Times New Roman"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14:textFill>
                  <w14:solidFill>
                    <w14:schemeClr w14:val="tx1"/>
                  </w14:solidFill>
                </w14:textFill>
              </w:rPr>
              <w:t>项目属于</w:t>
            </w:r>
            <w:r>
              <w:rPr>
                <w:rFonts w:hint="eastAsia" w:ascii="Times New Roman" w:hAnsi="Times New Roman" w:cs="Times New Roman"/>
                <w:color w:val="000000" w:themeColor="text1"/>
                <w:kern w:val="2"/>
                <w:sz w:val="21"/>
                <w:szCs w:val="21"/>
                <w:lang w:val="en-US" w:eastAsia="zh-CN"/>
                <w14:textFill>
                  <w14:solidFill>
                    <w14:schemeClr w14:val="tx1"/>
                  </w14:solidFill>
                </w14:textFill>
              </w:rPr>
              <w:t>登记</w:t>
            </w:r>
            <w:r>
              <w:rPr>
                <w:rFonts w:hint="default" w:ascii="Times New Roman" w:hAnsi="Times New Roman" w:cs="Times New Roman"/>
                <w:color w:val="000000" w:themeColor="text1"/>
                <w:kern w:val="2"/>
                <w:sz w:val="21"/>
                <w:szCs w:val="21"/>
                <w14:textFill>
                  <w14:solidFill>
                    <w14:schemeClr w14:val="tx1"/>
                  </w14:solidFill>
                </w14:textFill>
              </w:rPr>
              <w:t>管理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需通过交易获得排污总量指标</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C7A50DE">
            <w:pPr>
              <w:pStyle w:val="214"/>
              <w:adjustRightInd w:val="0"/>
              <w:snapToGrid w:val="0"/>
              <w:spacing w:line="360" w:lineRule="auto"/>
              <w:ind w:firstLine="48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（1）废水：</w:t>
            </w:r>
            <w:r>
              <w:rPr>
                <w:rFonts w:hint="default" w:ascii="Times New Roman" w:hAnsi="Times New Roman" w:eastAsia="宋体" w:cs="Times New Roman"/>
                <w:color w:val="000000" w:themeColor="text1"/>
                <w:sz w:val="21"/>
                <w:szCs w:val="21"/>
                <w14:textFill>
                  <w14:solidFill>
                    <w14:schemeClr w14:val="tx1"/>
                  </w14:solidFill>
                </w14:textFill>
              </w:rPr>
              <w:t>全厂废水排放量</w:t>
            </w:r>
            <w:r>
              <w:rPr>
                <w:rFonts w:hint="eastAsia" w:ascii="Times New Roman" w:hAnsi="Times New Roman" w:cs="Times New Roman"/>
                <w:bCs/>
                <w:color w:val="000000" w:themeColor="text1"/>
                <w:sz w:val="21"/>
                <w:szCs w:val="21"/>
                <w:lang w:val="en-US" w:eastAsia="zh-CN"/>
                <w14:textFill>
                  <w14:solidFill>
                    <w14:schemeClr w14:val="tx1"/>
                  </w14:solidFill>
                </w14:textFill>
              </w:rPr>
              <w:t>16062</w:t>
            </w:r>
            <w:r>
              <w:rPr>
                <w:rFonts w:hint="default" w:ascii="Times New Roman" w:hAnsi="Times New Roman" w:eastAsia="宋体" w:cs="Times New Roman"/>
                <w:color w:val="000000" w:themeColor="text1"/>
                <w:sz w:val="21"/>
                <w:szCs w:val="21"/>
                <w14:textFill>
                  <w14:solidFill>
                    <w14:schemeClr w14:val="tx1"/>
                  </w14:solidFill>
                </w14:textFill>
              </w:rPr>
              <w:t>t/a</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生活污水</w:t>
            </w:r>
            <w:r>
              <w:rPr>
                <w:rFonts w:hint="default" w:ascii="Times New Roman" w:hAnsi="Times New Roman" w:cs="Times New Roman"/>
                <w:bCs/>
                <w:color w:val="000000" w:themeColor="text1"/>
                <w:sz w:val="21"/>
                <w:szCs w:val="21"/>
                <w:lang w:val="en-US" w:eastAsia="zh-CN"/>
                <w14:textFill>
                  <w14:solidFill>
                    <w14:schemeClr w14:val="tx1"/>
                  </w14:solidFill>
                </w14:textFill>
              </w:rPr>
              <w:t>14880</w:t>
            </w:r>
            <w:r>
              <w:rPr>
                <w:rFonts w:hint="default" w:ascii="Times New Roman" w:hAnsi="Times New Roman" w:cs="Times New Roman"/>
                <w:color w:val="000000" w:themeColor="text1"/>
                <w:sz w:val="21"/>
                <w:szCs w:val="21"/>
                <w:lang w:val="en-US" w:eastAsia="zh-CN"/>
                <w14:textFill>
                  <w14:solidFill>
                    <w14:schemeClr w14:val="tx1"/>
                  </w14:solidFill>
                </w14:textFill>
              </w:rPr>
              <w:t>t/a，</w:t>
            </w:r>
            <w:r>
              <w:rPr>
                <w:rFonts w:hint="eastAsia" w:ascii="Times New Roman" w:hAnsi="Times New Roman" w:cs="Times New Roman"/>
                <w:color w:val="000000" w:themeColor="text1"/>
                <w:sz w:val="21"/>
                <w:szCs w:val="21"/>
                <w:lang w:val="en-US" w:eastAsia="zh-CN"/>
                <w14:textFill>
                  <w14:solidFill>
                    <w14:schemeClr w14:val="tx1"/>
                  </w14:solidFill>
                </w14:textFill>
              </w:rPr>
              <w:t>初期雨水412t/a，</w:t>
            </w:r>
            <w:r>
              <w:rPr>
                <w:rFonts w:hint="default" w:ascii="Times New Roman" w:hAnsi="Times New Roman" w:cs="Times New Roman"/>
                <w:color w:val="000000" w:themeColor="text1"/>
                <w:sz w:val="21"/>
                <w:szCs w:val="21"/>
                <w:lang w:val="en-US" w:eastAsia="zh-CN"/>
                <w14:textFill>
                  <w14:solidFill>
                    <w14:schemeClr w14:val="tx1"/>
                  </w14:solidFill>
                </w14:textFill>
              </w:rPr>
              <w:t>生产废水770t/a</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，主要污染物接管量：COD</w:t>
            </w:r>
            <w:r>
              <w:rPr>
                <w:rFonts w:hint="eastAsia" w:ascii="Times New Roman" w:hAnsi="Times New Roman" w:cs="Times New Roman"/>
                <w:color w:val="000000" w:themeColor="text1"/>
                <w:sz w:val="21"/>
                <w:szCs w:val="21"/>
                <w:lang w:val="en-US" w:eastAsia="zh-CN"/>
                <w14:textFill>
                  <w14:solidFill>
                    <w14:schemeClr w14:val="tx1"/>
                  </w14:solidFill>
                </w14:textFill>
              </w:rPr>
              <w:t>5.4138</w:t>
            </w:r>
            <w:r>
              <w:rPr>
                <w:rFonts w:hint="default" w:ascii="Times New Roman" w:hAnsi="Times New Roman" w:eastAsia="宋体" w:cs="Times New Roman"/>
                <w:color w:val="000000" w:themeColor="text1"/>
                <w:sz w:val="21"/>
                <w:szCs w:val="21"/>
                <w14:textFill>
                  <w14:solidFill>
                    <w14:schemeClr w14:val="tx1"/>
                  </w14:solidFill>
                </w14:textFill>
              </w:rPr>
              <w:t>t/a、氨氮</w:t>
            </w:r>
            <w:r>
              <w:rPr>
                <w:rFonts w:hint="eastAsia" w:ascii="Times New Roman" w:hAnsi="Times New Roman" w:cs="Times New Roman"/>
                <w:color w:val="000000" w:themeColor="text1"/>
                <w:sz w:val="21"/>
                <w:szCs w:val="21"/>
                <w:lang w:val="en-US" w:eastAsia="zh-CN"/>
                <w14:textFill>
                  <w14:solidFill>
                    <w14:schemeClr w14:val="tx1"/>
                  </w14:solidFill>
                </w14:textFill>
              </w:rPr>
              <w:t>0.45876</w:t>
            </w:r>
            <w:r>
              <w:rPr>
                <w:rFonts w:hint="default" w:ascii="Times New Roman" w:hAnsi="Times New Roman" w:eastAsia="宋体" w:cs="Times New Roman"/>
                <w:color w:val="000000" w:themeColor="text1"/>
                <w:sz w:val="21"/>
                <w:szCs w:val="21"/>
                <w14:textFill>
                  <w14:solidFill>
                    <w14:schemeClr w14:val="tx1"/>
                  </w14:solidFill>
                </w14:textFill>
              </w:rPr>
              <w:t>t/a、总磷</w:t>
            </w: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r>
              <w:rPr>
                <w:rFonts w:hint="default" w:ascii="Times New Roman" w:hAnsi="Times New Roman" w:eastAsia="宋体" w:cs="Times New Roman"/>
                <w:color w:val="000000" w:themeColor="text1"/>
                <w:sz w:val="21"/>
                <w:szCs w:val="21"/>
                <w14:textFill>
                  <w14:solidFill>
                    <w14:schemeClr w14:val="tx1"/>
                  </w14:solidFill>
                </w14:textFill>
              </w:rPr>
              <w:t>t/a、总氮</w:t>
            </w:r>
            <w:r>
              <w:rPr>
                <w:rFonts w:hint="eastAsia" w:ascii="Times New Roman" w:hAnsi="Times New Roman" w:cs="Times New Roman"/>
                <w:color w:val="000000" w:themeColor="text1"/>
                <w:sz w:val="21"/>
                <w:szCs w:val="21"/>
                <w:lang w:val="en-US" w:eastAsia="zh-CN"/>
                <w14:textFill>
                  <w14:solidFill>
                    <w14:schemeClr w14:val="tx1"/>
                  </w14:solidFill>
                </w14:textFill>
              </w:rPr>
              <w:t>0.45876</w:t>
            </w:r>
            <w:r>
              <w:rPr>
                <w:rFonts w:hint="default" w:ascii="Times New Roman" w:hAnsi="Times New Roman" w:eastAsia="宋体" w:cs="Times New Roman"/>
                <w:color w:val="000000" w:themeColor="text1"/>
                <w:sz w:val="21"/>
                <w:szCs w:val="21"/>
                <w14:textFill>
                  <w14:solidFill>
                    <w14:schemeClr w14:val="tx1"/>
                  </w14:solidFill>
                </w14:textFill>
              </w:rPr>
              <w:t>t/a，纳入市政污水管网接入南通市海门东洲水处理有限公司处理。</w:t>
            </w:r>
          </w:p>
          <w:p w14:paraId="3BAD7DC0">
            <w:pPr>
              <w:pStyle w:val="214"/>
              <w:adjustRightInd w:val="0"/>
              <w:snapToGrid w:val="0"/>
              <w:spacing w:line="360" w:lineRule="auto"/>
              <w:ind w:firstLine="480"/>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（2）废气：全厂废气排入外环境的量为颗粒物（有组织）</w:t>
            </w:r>
            <w:r>
              <w:rPr>
                <w:rFonts w:hint="eastAsia" w:ascii="Times New Roman" w:hAnsi="Times New Roman" w:cs="Times New Roman"/>
                <w:color w:val="000000" w:themeColor="text1"/>
                <w:sz w:val="21"/>
                <w:szCs w:val="21"/>
                <w:lang w:val="en-US" w:eastAsia="zh-CN"/>
                <w14:textFill>
                  <w14:solidFill>
                    <w14:schemeClr w14:val="tx1"/>
                  </w14:solidFill>
                </w14:textFill>
              </w:rPr>
              <w:t>0.143</w:t>
            </w:r>
            <w:r>
              <w:rPr>
                <w:rFonts w:hint="eastAsia" w:ascii="Times New Roman" w:hAnsi="Times New Roman" w:cs="Times New Roman"/>
                <w:color w:val="000000" w:themeColor="text1"/>
                <w:sz w:val="21"/>
                <w:szCs w:val="21"/>
                <w:lang w:eastAsia="zh-CN"/>
                <w14:textFill>
                  <w14:solidFill>
                    <w14:schemeClr w14:val="tx1"/>
                  </w14:solidFill>
                </w14:textFill>
              </w:rPr>
              <w:t>t/a、</w:t>
            </w:r>
            <w:r>
              <w:rPr>
                <w:rFonts w:hint="eastAsia" w:ascii="Times New Roman" w:hAnsi="Times New Roman" w:cs="Times New Roman"/>
                <w:color w:val="000000" w:themeColor="text1"/>
                <w:sz w:val="21"/>
                <w:szCs w:val="21"/>
                <w:lang w:val="en-US" w:eastAsia="zh-CN"/>
                <w14:textFill>
                  <w14:solidFill>
                    <w14:schemeClr w14:val="tx1"/>
                  </w14:solidFill>
                </w14:textFill>
              </w:rPr>
              <w:t>二氧化硫</w:t>
            </w:r>
            <w:r>
              <w:rPr>
                <w:rFonts w:hint="eastAsia" w:ascii="Times New Roman" w:hAnsi="Times New Roman" w:cs="Times New Roman"/>
                <w:color w:val="000000" w:themeColor="text1"/>
                <w:sz w:val="21"/>
                <w:szCs w:val="21"/>
                <w:lang w:eastAsia="zh-CN"/>
                <w14:textFill>
                  <w14:solidFill>
                    <w14:schemeClr w14:val="tx1"/>
                  </w14:solidFill>
                </w14:textFill>
              </w:rPr>
              <w:t>（有组织）</w:t>
            </w:r>
            <w:r>
              <w:rPr>
                <w:rFonts w:hint="eastAsia" w:ascii="Times New Roman" w:hAnsi="Times New Roman" w:cs="Times New Roman"/>
                <w:color w:val="000000" w:themeColor="text1"/>
                <w:sz w:val="21"/>
                <w:szCs w:val="21"/>
                <w:lang w:val="en-US" w:eastAsia="zh-CN"/>
                <w14:textFill>
                  <w14:solidFill>
                    <w14:schemeClr w14:val="tx1"/>
                  </w14:solidFill>
                </w14:textFill>
              </w:rPr>
              <w:t>0.2</w:t>
            </w:r>
            <w:r>
              <w:rPr>
                <w:rFonts w:hint="eastAsia" w:ascii="Times New Roman" w:hAnsi="Times New Roman" w:cs="Times New Roman"/>
                <w:color w:val="000000" w:themeColor="text1"/>
                <w:sz w:val="21"/>
                <w:szCs w:val="21"/>
                <w:lang w:eastAsia="zh-CN"/>
                <w14:textFill>
                  <w14:solidFill>
                    <w14:schemeClr w14:val="tx1"/>
                  </w14:solidFill>
                </w14:textFill>
              </w:rPr>
              <w:t>t/a、</w:t>
            </w:r>
            <w:r>
              <w:rPr>
                <w:rFonts w:hint="eastAsia" w:ascii="Times New Roman" w:hAnsi="Times New Roman" w:cs="Times New Roman"/>
                <w:color w:val="000000" w:themeColor="text1"/>
                <w:sz w:val="21"/>
                <w:szCs w:val="21"/>
                <w:lang w:val="en-US" w:eastAsia="zh-CN"/>
                <w14:textFill>
                  <w14:solidFill>
                    <w14:schemeClr w14:val="tx1"/>
                  </w14:solidFill>
                </w14:textFill>
              </w:rPr>
              <w:t>氮氧化物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有</w:t>
            </w:r>
            <w:r>
              <w:rPr>
                <w:rFonts w:hint="eastAsia" w:ascii="Times New Roman" w:hAnsi="Times New Roman" w:cs="Times New Roman"/>
                <w:color w:val="000000" w:themeColor="text1"/>
                <w:sz w:val="21"/>
                <w:szCs w:val="21"/>
                <w:lang w:eastAsia="zh-CN"/>
                <w14:textFill>
                  <w14:solidFill>
                    <w14:schemeClr w14:val="tx1"/>
                  </w14:solidFill>
                </w14:textFill>
              </w:rPr>
              <w:t>组织）</w:t>
            </w:r>
            <w:r>
              <w:rPr>
                <w:rFonts w:hint="eastAsia" w:ascii="Times New Roman" w:hAnsi="Times New Roman" w:cs="Times New Roman"/>
                <w:color w:val="000000" w:themeColor="text1"/>
                <w:sz w:val="21"/>
                <w:szCs w:val="21"/>
                <w:lang w:val="en-US" w:eastAsia="zh-CN"/>
                <w14:textFill>
                  <w14:solidFill>
                    <w14:schemeClr w14:val="tx1"/>
                  </w14:solidFill>
                </w14:textFill>
              </w:rPr>
              <w:t>0.468</w:t>
            </w:r>
            <w:r>
              <w:rPr>
                <w:rFonts w:hint="eastAsia" w:ascii="Times New Roman" w:hAnsi="Times New Roman" w:cs="Times New Roman"/>
                <w:color w:val="000000" w:themeColor="text1"/>
                <w:sz w:val="21"/>
                <w:szCs w:val="21"/>
                <w:lang w:eastAsia="zh-CN"/>
                <w14:textFill>
                  <w14:solidFill>
                    <w14:schemeClr w14:val="tx1"/>
                  </w14:solidFill>
                </w14:textFill>
              </w:rPr>
              <w:t>t/a，</w:t>
            </w:r>
            <w:r>
              <w:rPr>
                <w:rFonts w:hint="eastAsia" w:ascii="Times New Roman" w:hAnsi="Times New Roman" w:cs="Times New Roman"/>
                <w:color w:val="000000" w:themeColor="text1"/>
                <w:sz w:val="21"/>
                <w:szCs w:val="21"/>
                <w:lang w:val="en-US" w:eastAsia="zh-CN"/>
                <w14:textFill>
                  <w14:solidFill>
                    <w14:schemeClr w14:val="tx1"/>
                  </w14:solidFill>
                </w14:textFill>
              </w:rPr>
              <w:t>无</w:t>
            </w:r>
            <w:r>
              <w:rPr>
                <w:rFonts w:hint="eastAsia" w:ascii="Times New Roman" w:hAnsi="Times New Roman" w:cs="Times New Roman"/>
                <w:color w:val="000000" w:themeColor="text1"/>
                <w:sz w:val="21"/>
                <w:szCs w:val="21"/>
                <w:lang w:eastAsia="zh-CN"/>
                <w14:textFill>
                  <w14:solidFill>
                    <w14:schemeClr w14:val="tx1"/>
                  </w14:solidFill>
                </w14:textFill>
              </w:rPr>
              <w:t>以新带老削减量，全厂新增大气污染物颗粒物（有组织）</w:t>
            </w:r>
            <w:r>
              <w:rPr>
                <w:rFonts w:hint="eastAsia" w:ascii="Times New Roman" w:hAnsi="Times New Roman" w:cs="Times New Roman"/>
                <w:color w:val="000000" w:themeColor="text1"/>
                <w:sz w:val="21"/>
                <w:szCs w:val="21"/>
                <w:lang w:val="en-US" w:eastAsia="zh-CN"/>
                <w14:textFill>
                  <w14:solidFill>
                    <w14:schemeClr w14:val="tx1"/>
                  </w14:solidFill>
                </w14:textFill>
              </w:rPr>
              <w:t>0.143</w:t>
            </w:r>
            <w:r>
              <w:rPr>
                <w:rFonts w:hint="eastAsia" w:ascii="Times New Roman" w:hAnsi="Times New Roman" w:cs="Times New Roman"/>
                <w:color w:val="000000" w:themeColor="text1"/>
                <w:sz w:val="21"/>
                <w:szCs w:val="21"/>
                <w:lang w:eastAsia="zh-CN"/>
                <w14:textFill>
                  <w14:solidFill>
                    <w14:schemeClr w14:val="tx1"/>
                  </w14:solidFill>
                </w14:textFill>
              </w:rPr>
              <w:t>t/a、</w:t>
            </w:r>
            <w:r>
              <w:rPr>
                <w:rFonts w:hint="eastAsia" w:ascii="Times New Roman" w:hAnsi="Times New Roman" w:cs="Times New Roman"/>
                <w:color w:val="000000" w:themeColor="text1"/>
                <w:sz w:val="21"/>
                <w:szCs w:val="21"/>
                <w:lang w:val="en-US" w:eastAsia="zh-CN"/>
                <w14:textFill>
                  <w14:solidFill>
                    <w14:schemeClr w14:val="tx1"/>
                  </w14:solidFill>
                </w14:textFill>
              </w:rPr>
              <w:t>二氧化硫</w:t>
            </w:r>
            <w:r>
              <w:rPr>
                <w:rFonts w:hint="eastAsia" w:ascii="Times New Roman" w:hAnsi="Times New Roman" w:cs="Times New Roman"/>
                <w:color w:val="000000" w:themeColor="text1"/>
                <w:sz w:val="21"/>
                <w:szCs w:val="21"/>
                <w:lang w:eastAsia="zh-CN"/>
                <w14:textFill>
                  <w14:solidFill>
                    <w14:schemeClr w14:val="tx1"/>
                  </w14:solidFill>
                </w14:textFill>
              </w:rPr>
              <w:t>（有组织）</w:t>
            </w:r>
            <w:r>
              <w:rPr>
                <w:rFonts w:hint="eastAsia" w:ascii="Times New Roman" w:hAnsi="Times New Roman" w:cs="Times New Roman"/>
                <w:color w:val="000000" w:themeColor="text1"/>
                <w:sz w:val="21"/>
                <w:szCs w:val="21"/>
                <w:lang w:val="en-US" w:eastAsia="zh-CN"/>
                <w14:textFill>
                  <w14:solidFill>
                    <w14:schemeClr w14:val="tx1"/>
                  </w14:solidFill>
                </w14:textFill>
              </w:rPr>
              <w:t>0.2</w:t>
            </w:r>
            <w:r>
              <w:rPr>
                <w:rFonts w:hint="eastAsia" w:ascii="Times New Roman" w:hAnsi="Times New Roman" w:cs="Times New Roman"/>
                <w:color w:val="000000" w:themeColor="text1"/>
                <w:sz w:val="21"/>
                <w:szCs w:val="21"/>
                <w:lang w:eastAsia="zh-CN"/>
                <w14:textFill>
                  <w14:solidFill>
                    <w14:schemeClr w14:val="tx1"/>
                  </w14:solidFill>
                </w14:textFill>
              </w:rPr>
              <w:t>t/a、</w:t>
            </w:r>
            <w:r>
              <w:rPr>
                <w:rFonts w:hint="eastAsia" w:ascii="Times New Roman" w:hAnsi="Times New Roman" w:cs="Times New Roman"/>
                <w:color w:val="000000" w:themeColor="text1"/>
                <w:sz w:val="21"/>
                <w:szCs w:val="21"/>
                <w:lang w:val="en-US" w:eastAsia="zh-CN"/>
                <w14:textFill>
                  <w14:solidFill>
                    <w14:schemeClr w14:val="tx1"/>
                  </w14:solidFill>
                </w14:textFill>
              </w:rPr>
              <w:t>氮氧化物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有</w:t>
            </w:r>
            <w:r>
              <w:rPr>
                <w:rFonts w:hint="eastAsia" w:ascii="Times New Roman" w:hAnsi="Times New Roman" w:cs="Times New Roman"/>
                <w:color w:val="000000" w:themeColor="text1"/>
                <w:sz w:val="21"/>
                <w:szCs w:val="21"/>
                <w:lang w:eastAsia="zh-CN"/>
                <w14:textFill>
                  <w14:solidFill>
                    <w14:schemeClr w14:val="tx1"/>
                  </w14:solidFill>
                </w14:textFill>
              </w:rPr>
              <w:t>组织）</w:t>
            </w:r>
            <w:r>
              <w:rPr>
                <w:rFonts w:hint="eastAsia" w:ascii="Times New Roman" w:hAnsi="Times New Roman" w:cs="Times New Roman"/>
                <w:color w:val="000000" w:themeColor="text1"/>
                <w:sz w:val="21"/>
                <w:szCs w:val="21"/>
                <w:lang w:val="en-US" w:eastAsia="zh-CN"/>
                <w14:textFill>
                  <w14:solidFill>
                    <w14:schemeClr w14:val="tx1"/>
                  </w14:solidFill>
                </w14:textFill>
              </w:rPr>
              <w:t>0.468</w:t>
            </w:r>
            <w:r>
              <w:rPr>
                <w:rFonts w:hint="eastAsia" w:ascii="Times New Roman" w:hAnsi="Times New Roman" w:cs="Times New Roman"/>
                <w:color w:val="000000" w:themeColor="text1"/>
                <w:sz w:val="21"/>
                <w:szCs w:val="21"/>
                <w:lang w:eastAsia="zh-CN"/>
                <w14:textFill>
                  <w14:solidFill>
                    <w14:schemeClr w14:val="tx1"/>
                  </w14:solidFill>
                </w14:textFill>
              </w:rPr>
              <w:t>t/a，大气污染物在海门区范围内平衡。</w:t>
            </w:r>
          </w:p>
          <w:p w14:paraId="3F7F5CE2">
            <w:pPr>
              <w:pStyle w:val="214"/>
              <w:adjustRightInd w:val="0"/>
              <w:snapToGrid w:val="0"/>
              <w:spacing w:line="360" w:lineRule="auto"/>
              <w:ind w:firstLine="480"/>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 xml:space="preserve">（3）固体废物：按照要求全部合理处置。 </w:t>
            </w:r>
          </w:p>
        </w:tc>
      </w:tr>
    </w:tbl>
    <w:p w14:paraId="49354E90">
      <w:pPr>
        <w:pStyle w:val="37"/>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6"/>
          <w:szCs w:val="36"/>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14:textFill>
            <w14:solidFill>
              <w14:schemeClr w14:val="tx1"/>
            </w14:solidFill>
          </w14:textFill>
        </w:rPr>
        <w:t>四、主要环境影响和保护措施</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4"/>
        <w:gridCol w:w="8487"/>
      </w:tblGrid>
      <w:tr w14:paraId="56D3A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494" w:type="dxa"/>
            <w:noWrap w:val="0"/>
            <w:tcMar>
              <w:left w:w="28" w:type="dxa"/>
              <w:right w:w="28" w:type="dxa"/>
            </w:tcMar>
            <w:vAlign w:val="center"/>
          </w:tcPr>
          <w:p w14:paraId="34F22F0F">
            <w:pPr>
              <w:pStyle w:val="37"/>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施工</w:t>
            </w:r>
          </w:p>
          <w:p w14:paraId="2E1E0229">
            <w:pPr>
              <w:pStyle w:val="37"/>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期环</w:t>
            </w:r>
          </w:p>
          <w:p w14:paraId="0F51871C">
            <w:pPr>
              <w:pStyle w:val="37"/>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境保</w:t>
            </w:r>
          </w:p>
          <w:p w14:paraId="387195D0">
            <w:pPr>
              <w:pStyle w:val="37"/>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护措</w:t>
            </w:r>
          </w:p>
          <w:p w14:paraId="056F70AC">
            <w:pPr>
              <w:pStyle w:val="37"/>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施</w:t>
            </w:r>
          </w:p>
        </w:tc>
        <w:tc>
          <w:tcPr>
            <w:tcW w:w="8487" w:type="dxa"/>
            <w:noWrap w:val="0"/>
            <w:vAlign w:val="center"/>
          </w:tcPr>
          <w:p w14:paraId="1CEE7814">
            <w:p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本项目施工建设流程及产污环节见下图：</w:t>
            </w:r>
          </w:p>
          <w:p w14:paraId="3EAD2DDC">
            <w:pPr>
              <w:pStyle w:val="5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c">
                  <w:drawing>
                    <wp:inline distT="0" distB="0" distL="114300" distR="114300">
                      <wp:extent cx="5266055" cy="1143635"/>
                      <wp:effectExtent l="0" t="0" r="0" b="0"/>
                      <wp:docPr id="370" name="画布 370"/>
                      <wp:cNvGraphicFramePr/>
                      <a:graphic xmlns:a="http://schemas.openxmlformats.org/drawingml/2006/main">
                        <a:graphicData uri="http://schemas.microsoft.com/office/word/2010/wordprocessingCanvas">
                          <wpc:wpc>
                            <wpc:bg>
                              <a:noFill/>
                            </wpc:bg>
                            <wpc:whole>
                              <a:ln>
                                <a:noFill/>
                              </a:ln>
                            </wpc:whole>
                            <wps:wsp>
                              <wps:cNvPr id="371" name="矩形 22"/>
                              <wps:cNvSpPr/>
                              <wps:spPr>
                                <a:xfrm>
                                  <a:off x="248285" y="641985"/>
                                  <a:ext cx="809625" cy="2578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0ACC11">
                                    <w:pPr>
                                      <w:jc w:val="center"/>
                                      <w:rPr>
                                        <w:rFonts w:hint="default" w:eastAsia="宋体"/>
                                        <w:sz w:val="18"/>
                                        <w:szCs w:val="18"/>
                                        <w:lang w:val="en-US" w:eastAsia="zh-CN"/>
                                      </w:rPr>
                                    </w:pPr>
                                    <w:r>
                                      <w:rPr>
                                        <w:rFonts w:hint="eastAsia"/>
                                        <w:sz w:val="18"/>
                                        <w:szCs w:val="18"/>
                                        <w:lang w:val="en-US" w:eastAsia="zh-CN"/>
                                      </w:rPr>
                                      <w:t>土石方阶段</w:t>
                                    </w:r>
                                  </w:p>
                                </w:txbxContent>
                              </wps:txbx>
                              <wps:bodyPr upright="1"/>
                            </wps:wsp>
                            <wps:wsp>
                              <wps:cNvPr id="372" name="矩形 24"/>
                              <wps:cNvSpPr/>
                              <wps:spPr>
                                <a:xfrm>
                                  <a:off x="1389380" y="646430"/>
                                  <a:ext cx="96139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9D158">
                                    <w:pPr>
                                      <w:jc w:val="center"/>
                                      <w:rPr>
                                        <w:rFonts w:hint="default" w:eastAsia="宋体"/>
                                        <w:sz w:val="18"/>
                                        <w:szCs w:val="18"/>
                                        <w:lang w:val="en-US" w:eastAsia="zh-CN"/>
                                      </w:rPr>
                                    </w:pPr>
                                    <w:r>
                                      <w:rPr>
                                        <w:rFonts w:hint="eastAsia"/>
                                        <w:sz w:val="18"/>
                                        <w:szCs w:val="18"/>
                                        <w:lang w:val="en-US" w:eastAsia="zh-CN"/>
                                      </w:rPr>
                                      <w:t>基础施工阶段</w:t>
                                    </w:r>
                                  </w:p>
                                </w:txbxContent>
                              </wps:txbx>
                              <wps:bodyPr upright="1"/>
                            </wps:wsp>
                            <wps:wsp>
                              <wps:cNvPr id="373" name="矩形 25"/>
                              <wps:cNvSpPr/>
                              <wps:spPr>
                                <a:xfrm>
                                  <a:off x="2637155" y="646430"/>
                                  <a:ext cx="9055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0F6A05">
                                    <w:pPr>
                                      <w:jc w:val="center"/>
                                      <w:rPr>
                                        <w:rFonts w:hint="default" w:eastAsia="宋体"/>
                                        <w:sz w:val="18"/>
                                        <w:szCs w:val="18"/>
                                        <w:lang w:val="en-US" w:eastAsia="zh-CN"/>
                                      </w:rPr>
                                    </w:pPr>
                                    <w:r>
                                      <w:rPr>
                                        <w:rFonts w:hint="eastAsia"/>
                                        <w:sz w:val="18"/>
                                        <w:szCs w:val="18"/>
                                        <w:lang w:val="en-US" w:eastAsia="zh-CN"/>
                                      </w:rPr>
                                      <w:t>结构施工阶段</w:t>
                                    </w:r>
                                  </w:p>
                                </w:txbxContent>
                              </wps:txbx>
                              <wps:bodyPr upright="1"/>
                            </wps:wsp>
                            <wps:wsp>
                              <wps:cNvPr id="374" name="矩形 26"/>
                              <wps:cNvSpPr/>
                              <wps:spPr>
                                <a:xfrm>
                                  <a:off x="3865880" y="646430"/>
                                  <a:ext cx="107505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DFD55E">
                                    <w:pPr>
                                      <w:jc w:val="center"/>
                                      <w:rPr>
                                        <w:rFonts w:hint="default" w:eastAsia="宋体"/>
                                        <w:sz w:val="18"/>
                                        <w:szCs w:val="18"/>
                                        <w:lang w:val="en-US" w:eastAsia="zh-CN"/>
                                      </w:rPr>
                                    </w:pPr>
                                    <w:r>
                                      <w:rPr>
                                        <w:rFonts w:hint="eastAsia"/>
                                        <w:sz w:val="18"/>
                                        <w:szCs w:val="18"/>
                                        <w:lang w:val="en-US" w:eastAsia="zh-CN"/>
                                      </w:rPr>
                                      <w:t>装修及清理现场</w:t>
                                    </w:r>
                                  </w:p>
                                </w:txbxContent>
                              </wps:txbx>
                              <wps:bodyPr upright="1"/>
                            </wps:wsp>
                            <wps:wsp>
                              <wps:cNvPr id="375" name="直接箭头连接符 27"/>
                              <wps:cNvCnPr/>
                              <wps:spPr>
                                <a:xfrm>
                                  <a:off x="1057910" y="770890"/>
                                  <a:ext cx="331470" cy="2540"/>
                                </a:xfrm>
                                <a:prstGeom prst="straightConnector1">
                                  <a:avLst/>
                                </a:prstGeom>
                                <a:ln w="9525" cap="flat" cmpd="sng">
                                  <a:solidFill>
                                    <a:srgbClr val="000000"/>
                                  </a:solidFill>
                                  <a:prstDash val="solid"/>
                                  <a:headEnd type="none" w="med" len="med"/>
                                  <a:tailEnd type="arrow" w="med" len="med"/>
                                </a:ln>
                              </wps:spPr>
                              <wps:bodyPr/>
                            </wps:wsp>
                            <wps:wsp>
                              <wps:cNvPr id="376" name="直接箭头连接符 28"/>
                              <wps:cNvCnPr/>
                              <wps:spPr>
                                <a:xfrm>
                                  <a:off x="2350770" y="773430"/>
                                  <a:ext cx="286385" cy="0"/>
                                </a:xfrm>
                                <a:prstGeom prst="straightConnector1">
                                  <a:avLst/>
                                </a:prstGeom>
                                <a:ln w="9525" cap="flat" cmpd="sng">
                                  <a:solidFill>
                                    <a:srgbClr val="000000"/>
                                  </a:solidFill>
                                  <a:prstDash val="solid"/>
                                  <a:headEnd type="none" w="med" len="med"/>
                                  <a:tailEnd type="arrow" w="med" len="med"/>
                                </a:ln>
                              </wps:spPr>
                              <wps:bodyPr/>
                            </wps:wsp>
                            <wps:wsp>
                              <wps:cNvPr id="377" name="直接箭头连接符 31"/>
                              <wps:cNvCnPr/>
                              <wps:spPr>
                                <a:xfrm>
                                  <a:off x="3542665" y="773430"/>
                                  <a:ext cx="323215" cy="0"/>
                                </a:xfrm>
                                <a:prstGeom prst="straightConnector1">
                                  <a:avLst/>
                                </a:prstGeom>
                                <a:ln w="9525" cap="flat" cmpd="sng">
                                  <a:solidFill>
                                    <a:srgbClr val="000000"/>
                                  </a:solidFill>
                                  <a:prstDash val="solid"/>
                                  <a:headEnd type="none" w="med" len="med"/>
                                  <a:tailEnd type="arrow" w="med" len="med"/>
                                </a:ln>
                              </wps:spPr>
                              <wps:bodyPr/>
                            </wps:wsp>
                            <wps:wsp>
                              <wps:cNvPr id="378" name="矩形 38"/>
                              <wps:cNvSpPr/>
                              <wps:spPr>
                                <a:xfrm>
                                  <a:off x="255905" y="151130"/>
                                  <a:ext cx="800100" cy="254000"/>
                                </a:xfrm>
                                <a:prstGeom prst="rect">
                                  <a:avLst/>
                                </a:prstGeom>
                                <a:noFill/>
                                <a:ln>
                                  <a:noFill/>
                                </a:ln>
                              </wps:spPr>
                              <wps:txbx>
                                <w:txbxContent>
                                  <w:p w14:paraId="6E6C48BF">
                                    <w:pPr>
                                      <w:jc w:val="center"/>
                                      <w:rPr>
                                        <w:rFonts w:hint="default" w:eastAsia="宋体"/>
                                        <w:sz w:val="18"/>
                                        <w:szCs w:val="18"/>
                                        <w:lang w:val="en-US" w:eastAsia="zh-CN"/>
                                      </w:rPr>
                                    </w:pPr>
                                    <w:r>
                                      <w:rPr>
                                        <w:rFonts w:hint="eastAsia"/>
                                        <w:sz w:val="18"/>
                                        <w:szCs w:val="18"/>
                                        <w:lang w:val="en-US" w:eastAsia="zh-CN"/>
                                      </w:rPr>
                                      <w:t>粉尘、噪声</w:t>
                                    </w:r>
                                  </w:p>
                                </w:txbxContent>
                              </wps:txbx>
                              <wps:bodyPr upright="1"/>
                            </wps:wsp>
                            <wps:wsp>
                              <wps:cNvPr id="379" name="矩形 41"/>
                              <wps:cNvSpPr/>
                              <wps:spPr>
                                <a:xfrm>
                                  <a:off x="1465580" y="151130"/>
                                  <a:ext cx="800100" cy="254000"/>
                                </a:xfrm>
                                <a:prstGeom prst="rect">
                                  <a:avLst/>
                                </a:prstGeom>
                                <a:noFill/>
                                <a:ln>
                                  <a:noFill/>
                                </a:ln>
                              </wps:spPr>
                              <wps:txbx>
                                <w:txbxContent>
                                  <w:p w14:paraId="70B12E96">
                                    <w:pPr>
                                      <w:jc w:val="center"/>
                                      <w:rPr>
                                        <w:rFonts w:hint="default" w:eastAsia="宋体"/>
                                        <w:sz w:val="18"/>
                                        <w:szCs w:val="18"/>
                                        <w:lang w:val="en-US" w:eastAsia="zh-CN"/>
                                      </w:rPr>
                                    </w:pPr>
                                    <w:r>
                                      <w:rPr>
                                        <w:rFonts w:hint="eastAsia"/>
                                        <w:sz w:val="18"/>
                                        <w:szCs w:val="18"/>
                                        <w:lang w:val="en-US" w:eastAsia="zh-CN"/>
                                      </w:rPr>
                                      <w:t>粉尘、噪声</w:t>
                                    </w:r>
                                  </w:p>
                                </w:txbxContent>
                              </wps:txbx>
                              <wps:bodyPr upright="1"/>
                            </wps:wsp>
                            <wps:wsp>
                              <wps:cNvPr id="380" name="矩形 43"/>
                              <wps:cNvSpPr/>
                              <wps:spPr>
                                <a:xfrm>
                                  <a:off x="2694305" y="151130"/>
                                  <a:ext cx="800100" cy="254000"/>
                                </a:xfrm>
                                <a:prstGeom prst="rect">
                                  <a:avLst/>
                                </a:prstGeom>
                                <a:noFill/>
                                <a:ln>
                                  <a:noFill/>
                                </a:ln>
                              </wps:spPr>
                              <wps:txbx>
                                <w:txbxContent>
                                  <w:p w14:paraId="26963D07">
                                    <w:pPr>
                                      <w:jc w:val="center"/>
                                      <w:rPr>
                                        <w:rFonts w:hint="default" w:eastAsia="宋体"/>
                                        <w:sz w:val="18"/>
                                        <w:szCs w:val="18"/>
                                        <w:lang w:val="en-US" w:eastAsia="zh-CN"/>
                                      </w:rPr>
                                    </w:pPr>
                                    <w:r>
                                      <w:rPr>
                                        <w:rFonts w:hint="eastAsia"/>
                                        <w:sz w:val="18"/>
                                        <w:szCs w:val="18"/>
                                        <w:lang w:val="en-US" w:eastAsia="zh-CN"/>
                                      </w:rPr>
                                      <w:t>粉尘、噪声</w:t>
                                    </w:r>
                                  </w:p>
                                </w:txbxContent>
                              </wps:txbx>
                              <wps:bodyPr upright="1"/>
                            </wps:wsp>
                            <wps:wsp>
                              <wps:cNvPr id="381" name="矩形 47"/>
                              <wps:cNvSpPr/>
                              <wps:spPr>
                                <a:xfrm>
                                  <a:off x="3999230" y="151130"/>
                                  <a:ext cx="800100" cy="254000"/>
                                </a:xfrm>
                                <a:prstGeom prst="rect">
                                  <a:avLst/>
                                </a:prstGeom>
                                <a:noFill/>
                                <a:ln>
                                  <a:noFill/>
                                </a:ln>
                              </wps:spPr>
                              <wps:txbx>
                                <w:txbxContent>
                                  <w:p w14:paraId="28792A5B">
                                    <w:pPr>
                                      <w:jc w:val="center"/>
                                      <w:rPr>
                                        <w:rFonts w:hint="default" w:eastAsia="宋体"/>
                                        <w:sz w:val="18"/>
                                        <w:szCs w:val="18"/>
                                        <w:lang w:val="en-US" w:eastAsia="zh-CN"/>
                                      </w:rPr>
                                    </w:pPr>
                                    <w:r>
                                      <w:rPr>
                                        <w:rFonts w:hint="eastAsia"/>
                                        <w:sz w:val="18"/>
                                        <w:szCs w:val="18"/>
                                        <w:lang w:val="en-US" w:eastAsia="zh-CN"/>
                                      </w:rPr>
                                      <w:t>粉尘、噪声</w:t>
                                    </w:r>
                                  </w:p>
                                </w:txbxContent>
                              </wps:txbx>
                              <wps:bodyPr upright="1"/>
                            </wps:wsp>
                            <wps:wsp>
                              <wps:cNvPr id="382" name="直接箭头连接符 48"/>
                              <wps:cNvCnPr/>
                              <wps:spPr>
                                <a:xfrm flipV="1">
                                  <a:off x="653415" y="405130"/>
                                  <a:ext cx="2540" cy="236855"/>
                                </a:xfrm>
                                <a:prstGeom prst="straightConnector1">
                                  <a:avLst/>
                                </a:prstGeom>
                                <a:ln w="9525" cap="flat" cmpd="sng">
                                  <a:solidFill>
                                    <a:srgbClr val="000000"/>
                                  </a:solidFill>
                                  <a:prstDash val="dash"/>
                                  <a:headEnd type="none" w="med" len="med"/>
                                  <a:tailEnd type="arrow" w="med" len="med"/>
                                </a:ln>
                              </wps:spPr>
                              <wps:bodyPr/>
                            </wps:wsp>
                            <wps:wsp>
                              <wps:cNvPr id="383" name="直接箭头连接符 50"/>
                              <wps:cNvCnPr/>
                              <wps:spPr>
                                <a:xfrm flipH="1" flipV="1">
                                  <a:off x="1865630" y="405130"/>
                                  <a:ext cx="4445" cy="241300"/>
                                </a:xfrm>
                                <a:prstGeom prst="straightConnector1">
                                  <a:avLst/>
                                </a:prstGeom>
                                <a:ln w="9525" cap="flat" cmpd="sng">
                                  <a:solidFill>
                                    <a:srgbClr val="000000"/>
                                  </a:solidFill>
                                  <a:prstDash val="dash"/>
                                  <a:headEnd type="none" w="med" len="med"/>
                                  <a:tailEnd type="arrow" w="med" len="med"/>
                                </a:ln>
                              </wps:spPr>
                              <wps:bodyPr/>
                            </wps:wsp>
                            <wps:wsp>
                              <wps:cNvPr id="384" name="直接箭头连接符 51"/>
                              <wps:cNvCnPr/>
                              <wps:spPr>
                                <a:xfrm flipV="1">
                                  <a:off x="3089910" y="405130"/>
                                  <a:ext cx="4445" cy="241300"/>
                                </a:xfrm>
                                <a:prstGeom prst="straightConnector1">
                                  <a:avLst/>
                                </a:prstGeom>
                                <a:ln w="9525" cap="flat" cmpd="sng">
                                  <a:solidFill>
                                    <a:srgbClr val="000000"/>
                                  </a:solidFill>
                                  <a:prstDash val="dash"/>
                                  <a:headEnd type="none" w="med" len="med"/>
                                  <a:tailEnd type="arrow" w="med" len="med"/>
                                </a:ln>
                              </wps:spPr>
                              <wps:bodyPr/>
                            </wps:wsp>
                            <wps:wsp>
                              <wps:cNvPr id="385" name="直接箭头连接符 52"/>
                              <wps:cNvCnPr/>
                              <wps:spPr>
                                <a:xfrm flipH="1" flipV="1">
                                  <a:off x="4399280" y="405130"/>
                                  <a:ext cx="4445" cy="241300"/>
                                </a:xfrm>
                                <a:prstGeom prst="straightConnector1">
                                  <a:avLst/>
                                </a:prstGeom>
                                <a:ln w="9525" cap="flat" cmpd="sng">
                                  <a:solidFill>
                                    <a:srgbClr val="000000"/>
                                  </a:solidFill>
                                  <a:prstDash val="dash"/>
                                  <a:headEnd type="none" w="med" len="med"/>
                                  <a:tailEnd type="arrow" w="med" len="med"/>
                                </a:ln>
                              </wps:spPr>
                              <wps:bodyPr/>
                            </wps:wsp>
                          </wpc:wpc>
                        </a:graphicData>
                      </a:graphic>
                    </wp:inline>
                  </w:drawing>
                </mc:Choice>
                <mc:Fallback>
                  <w:pict>
                    <v:group id="_x0000_s1026" o:spid="_x0000_s1026" o:spt="203" style="height:90.05pt;width:414.65pt;" coordsize="5266055,1143635" editas="canvas" o:gfxdata="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EqsEDzWAAAABQEAAA8AAAAAAAAAAQAgAAAAIgAAAGRycy9kb3ducmV2LnhtbFBLAQIUABQA&#10;AAAIAIdO4kCqZ5Ec1wQAADwhAAAOAAAAAAAAAAEAIAAAACUBAABkcnMvZTJvRG9jLnhtbFBLBQYA&#10;AAAABgAGAFkBAABuCAAAAAA=&#10;">
                      <o:lock v:ext="edit" aspectratio="f"/>
                      <v:shape id="_x0000_s1026" o:spid="_x0000_s1026" style="position:absolute;left:0;top:0;height:1143635;width:5266055;" filled="f" stroked="f" coordsize="21600,21600" o:gfxdata="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BKrBA81gAAAAUBAAAPAAAAAAAAAAEAIAAA&#10;ACIAAABkcnMvZG93bnJldi54bWxQSwECFAAUAAAACACHTuJA6GcG0oEEAAC1IAAADgAAAAAAAAAB&#10;ACAAAAAlAQAAZHJzL2Uyb0RvYy54bWxQSwUGAAAAAAYABgBZAQAAGAgAAAAA&#10;">
                        <v:fill on="f" focussize="0,0"/>
                        <v:stroke on="f"/>
                        <v:imagedata o:title=""/>
                        <o:lock v:ext="edit" aspectratio="f"/>
                      </v:shape>
                      <v:rect id="矩形 22" o:spid="_x0000_s1026" o:spt="1" style="position:absolute;left:248285;top:641985;height:257810;width:809625;" fillcolor="#FFFFFF" filled="t" stroked="t" coordsize="21600,21600" o:gfxdata="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8wK6dQAAAAFAQAADwAAAAAAAAABACAAAAAi&#10;AAAAZHJzL2Rvd25yZXYueG1sUEsBAhQAFAAAAAgAh07iQOA0B0EOAgAANQQAAA4AAAAAAAAAAQAg&#10;AAAAIwEAAGRycy9lMm9Eb2MueG1sUEsFBgAAAAAGAAYAWQEAAKMFAAAAAA==&#10;">
                        <v:fill on="t" focussize="0,0"/>
                        <v:stroke color="#000000" joinstyle="miter"/>
                        <v:imagedata o:title=""/>
                        <o:lock v:ext="edit" aspectratio="f"/>
                        <v:textbox>
                          <w:txbxContent>
                            <w:p w14:paraId="1F0ACC11">
                              <w:pPr>
                                <w:jc w:val="center"/>
                                <w:rPr>
                                  <w:rFonts w:hint="default" w:eastAsia="宋体"/>
                                  <w:sz w:val="18"/>
                                  <w:szCs w:val="18"/>
                                  <w:lang w:val="en-US" w:eastAsia="zh-CN"/>
                                </w:rPr>
                              </w:pPr>
                              <w:r>
                                <w:rPr>
                                  <w:rFonts w:hint="eastAsia"/>
                                  <w:sz w:val="18"/>
                                  <w:szCs w:val="18"/>
                                  <w:lang w:val="en-US" w:eastAsia="zh-CN"/>
                                </w:rPr>
                                <w:t>土石方阶段</w:t>
                              </w:r>
                            </w:p>
                          </w:txbxContent>
                        </v:textbox>
                      </v:rect>
                      <v:rect id="矩形 24" o:spid="_x0000_s1026" o:spt="1" style="position:absolute;left:1389380;top:646430;height:254000;width:961390;" fillcolor="#FFFFFF" filled="t" stroked="t" coordsize="21600,21600" o:gfxdata="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8wK6dQAAAAFAQAADwAAAAAAAAABACAA&#10;AAAiAAAAZHJzL2Rvd25yZXYueG1sUEsBAhQAFAAAAAgAh07iQK0RFjYRAgAANgQAAA4AAAAAAAAA&#10;AQAgAAAAIwEAAGRycy9lMm9Eb2MueG1sUEsFBgAAAAAGAAYAWQEAAKYFAAAAAA==&#10;">
                        <v:fill on="t" focussize="0,0"/>
                        <v:stroke color="#000000" joinstyle="miter"/>
                        <v:imagedata o:title=""/>
                        <o:lock v:ext="edit" aspectratio="f"/>
                        <v:textbox>
                          <w:txbxContent>
                            <w:p w14:paraId="4BC9D158">
                              <w:pPr>
                                <w:jc w:val="center"/>
                                <w:rPr>
                                  <w:rFonts w:hint="default" w:eastAsia="宋体"/>
                                  <w:sz w:val="18"/>
                                  <w:szCs w:val="18"/>
                                  <w:lang w:val="en-US" w:eastAsia="zh-CN"/>
                                </w:rPr>
                              </w:pPr>
                              <w:r>
                                <w:rPr>
                                  <w:rFonts w:hint="eastAsia"/>
                                  <w:sz w:val="18"/>
                                  <w:szCs w:val="18"/>
                                  <w:lang w:val="en-US" w:eastAsia="zh-CN"/>
                                </w:rPr>
                                <w:t>基础施工阶段</w:t>
                              </w:r>
                            </w:p>
                          </w:txbxContent>
                        </v:textbox>
                      </v:rect>
                      <v:rect id="矩形 25" o:spid="_x0000_s1026" o:spt="1" style="position:absolute;left:2637155;top:646430;height:254000;width:905510;" fillcolor="#FFFFFF" filled="t" stroked="t" coordsize="21600,21600" o:gfxdata="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8wK6dQAAAAFAQAADwAAAAAAAAABACAA&#10;AAAiAAAAZHJzL2Rvd25yZXYueG1sUEsBAhQAFAAAAAgAh07iQPx+ZEoRAgAANgQAAA4AAAAAAAAA&#10;AQAgAAAAIwEAAGRycy9lMm9Eb2MueG1sUEsFBgAAAAAGAAYAWQEAAKYFAAAAAA==&#10;">
                        <v:fill on="t" focussize="0,0"/>
                        <v:stroke color="#000000" joinstyle="miter"/>
                        <v:imagedata o:title=""/>
                        <o:lock v:ext="edit" aspectratio="f"/>
                        <v:textbox>
                          <w:txbxContent>
                            <w:p w14:paraId="550F6A05">
                              <w:pPr>
                                <w:jc w:val="center"/>
                                <w:rPr>
                                  <w:rFonts w:hint="default" w:eastAsia="宋体"/>
                                  <w:sz w:val="18"/>
                                  <w:szCs w:val="18"/>
                                  <w:lang w:val="en-US" w:eastAsia="zh-CN"/>
                                </w:rPr>
                              </w:pPr>
                              <w:r>
                                <w:rPr>
                                  <w:rFonts w:hint="eastAsia"/>
                                  <w:sz w:val="18"/>
                                  <w:szCs w:val="18"/>
                                  <w:lang w:val="en-US" w:eastAsia="zh-CN"/>
                                </w:rPr>
                                <w:t>结构施工阶段</w:t>
                              </w:r>
                            </w:p>
                          </w:txbxContent>
                        </v:textbox>
                      </v:rect>
                      <v:rect id="矩形 26" o:spid="_x0000_s1026" o:spt="1" style="position:absolute;left:3865880;top:646430;height:254000;width:1075055;" fillcolor="#FFFFFF" filled="t" stroked="t" coordsize="21600,21600" o:gfxdata="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MCunUAAAABQEAAA8AAAAAAAAAAQAg&#10;AAAAIgAAAGRycy9kb3ducmV2LnhtbFBLAQIUABQAAAAIAIdO4kAHzXLjEgIAADcEAAAOAAAAAAAA&#10;AAEAIAAAACMBAABkcnMvZTJvRG9jLnhtbFBLBQYAAAAABgAGAFkBAACnBQAAAAA=&#10;">
                        <v:fill on="t" focussize="0,0"/>
                        <v:stroke color="#000000" joinstyle="miter"/>
                        <v:imagedata o:title=""/>
                        <o:lock v:ext="edit" aspectratio="f"/>
                        <v:textbox>
                          <w:txbxContent>
                            <w:p w14:paraId="2EDFD55E">
                              <w:pPr>
                                <w:jc w:val="center"/>
                                <w:rPr>
                                  <w:rFonts w:hint="default" w:eastAsia="宋体"/>
                                  <w:sz w:val="18"/>
                                  <w:szCs w:val="18"/>
                                  <w:lang w:val="en-US" w:eastAsia="zh-CN"/>
                                </w:rPr>
                              </w:pPr>
                              <w:r>
                                <w:rPr>
                                  <w:rFonts w:hint="eastAsia"/>
                                  <w:sz w:val="18"/>
                                  <w:szCs w:val="18"/>
                                  <w:lang w:val="en-US" w:eastAsia="zh-CN"/>
                                </w:rPr>
                                <w:t>装修及清理现场</w:t>
                              </w:r>
                            </w:p>
                          </w:txbxContent>
                        </v:textbox>
                      </v:rect>
                      <v:shape id="直接箭头连接符 27" o:spid="_x0000_s1026" o:spt="32" type="#_x0000_t32" style="position:absolute;left:1057910;top:770890;height:2540;width:331470;" filled="f" stroked="t" coordsize="21600,21600" o:gfxdata="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WjN31QAAAAUBAAAPAAAAAAAA&#10;AAEAIAAAACIAAABkcnMvZG93bnJldi54bWxQSwECFAAUAAAACACHTuJAugjpaBUCAAD9AwAADgAA&#10;AAAAAAABACAAAAAkAQAAZHJzL2Uyb0RvYy54bWxQSwUGAAAAAAYABgBZAQAAqwUAAAAA&#10;">
                        <v:fill on="f" focussize="0,0"/>
                        <v:stroke color="#000000" joinstyle="round" endarrow="open"/>
                        <v:imagedata o:title=""/>
                        <o:lock v:ext="edit" aspectratio="f"/>
                      </v:shape>
                      <v:shape id="直接箭头连接符 28" o:spid="_x0000_s1026" o:spt="32" type="#_x0000_t32" style="position:absolute;left:2350770;top:773430;height:0;width:286385;" filled="f" stroked="t" coordsize="21600,21600" o:gfxdata="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xaM3fVAAAABQEAAA8AAAAAAAAAAQAg&#10;AAAAIgAAAGRycy9kb3ducmV2LnhtbFBLAQIUABQAAAAIAIdO4kAeSCBcEQIAAPoDAAAOAAAAAAAA&#10;AAEAIAAAACQBAABkcnMvZTJvRG9jLnhtbFBLBQYAAAAABgAGAFkBAACnBQAAAAA=&#10;">
                        <v:fill on="f" focussize="0,0"/>
                        <v:stroke color="#000000" joinstyle="round" endarrow="open"/>
                        <v:imagedata o:title=""/>
                        <o:lock v:ext="edit" aspectratio="f"/>
                      </v:shape>
                      <v:shape id="直接箭头连接符 31" o:spid="_x0000_s1026" o:spt="32" type="#_x0000_t32" style="position:absolute;left:3542665;top:773430;height:0;width:323215;" filled="f" stroked="t" coordsize="21600,21600" o:gfxdata="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Fozd9UAAAAFAQAADwAAAAAAAAABACAA&#10;AAAiAAAAZHJzL2Rvd25yZXYueG1sUEsBAhQAFAAAAAgAh07iQFw5/k8QAgAA+gMAAA4AAAAAAAAA&#10;AQAgAAAAJAEAAGRycy9lMm9Eb2MueG1sUEsFBgAAAAAGAAYAWQEAAKYFAAAAAA==&#10;">
                        <v:fill on="f" focussize="0,0"/>
                        <v:stroke color="#000000" joinstyle="round" endarrow="open"/>
                        <v:imagedata o:title=""/>
                        <o:lock v:ext="edit" aspectratio="f"/>
                      </v:shape>
                      <v:rect id="矩形 38" o:spid="_x0000_s1026" o:spt="1" style="position:absolute;left:255905;top:151130;height:254000;width:800100;" filled="f" stroked="f" coordsize="21600,21600" o:gfxdata="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rBA81gAA&#10;AAUBAAAPAAAAAAAAAAEAIAAAACIAAABkcnMvZG93bnJldi54bWxQSwECFAAUAAAACACHTuJAwvQp&#10;F64BAABNAwAADgAAAAAAAAABACAAAAAlAQAAZHJzL2Uyb0RvYy54bWxQSwUGAAAAAAYABgBZAQAA&#10;RQUAAAAA&#10;">
                        <v:fill on="f" focussize="0,0"/>
                        <v:stroke on="f"/>
                        <v:imagedata o:title=""/>
                        <o:lock v:ext="edit" aspectratio="f"/>
                        <v:textbox>
                          <w:txbxContent>
                            <w:p w14:paraId="6E6C48BF">
                              <w:pPr>
                                <w:jc w:val="center"/>
                                <w:rPr>
                                  <w:rFonts w:hint="default" w:eastAsia="宋体"/>
                                  <w:sz w:val="18"/>
                                  <w:szCs w:val="18"/>
                                  <w:lang w:val="en-US" w:eastAsia="zh-CN"/>
                                </w:rPr>
                              </w:pPr>
                              <w:r>
                                <w:rPr>
                                  <w:rFonts w:hint="eastAsia"/>
                                  <w:sz w:val="18"/>
                                  <w:szCs w:val="18"/>
                                  <w:lang w:val="en-US" w:eastAsia="zh-CN"/>
                                </w:rPr>
                                <w:t>粉尘、噪声</w:t>
                              </w:r>
                            </w:p>
                          </w:txbxContent>
                        </v:textbox>
                      </v:rect>
                      <v:rect id="矩形 41" o:spid="_x0000_s1026" o:spt="1" style="position:absolute;left:1465580;top:151130;height:254000;width:800100;" filled="f" stroked="f" coordsize="21600,21600" o:gfxdata="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qwQPNYAAAAF&#10;AQAADwAAAAAAAAABACAAAAAiAAAAZHJzL2Rvd25yZXYueG1sUEsBAhQAFAAAAAgAh07iQBrCUg6s&#10;AQAATgMAAA4AAAAAAAAAAQAgAAAAJQEAAGRycy9lMm9Eb2MueG1sUEsFBgAAAAAGAAYAWQEAAEMF&#10;AAAAAA==&#10;">
                        <v:fill on="f" focussize="0,0"/>
                        <v:stroke on="f"/>
                        <v:imagedata o:title=""/>
                        <o:lock v:ext="edit" aspectratio="f"/>
                        <v:textbox>
                          <w:txbxContent>
                            <w:p w14:paraId="70B12E96">
                              <w:pPr>
                                <w:jc w:val="center"/>
                                <w:rPr>
                                  <w:rFonts w:hint="default" w:eastAsia="宋体"/>
                                  <w:sz w:val="18"/>
                                  <w:szCs w:val="18"/>
                                  <w:lang w:val="en-US" w:eastAsia="zh-CN"/>
                                </w:rPr>
                              </w:pPr>
                              <w:r>
                                <w:rPr>
                                  <w:rFonts w:hint="eastAsia"/>
                                  <w:sz w:val="18"/>
                                  <w:szCs w:val="18"/>
                                  <w:lang w:val="en-US" w:eastAsia="zh-CN"/>
                                </w:rPr>
                                <w:t>粉尘、噪声</w:t>
                              </w:r>
                            </w:p>
                          </w:txbxContent>
                        </v:textbox>
                      </v:rect>
                      <v:rect id="矩形 43" o:spid="_x0000_s1026" o:spt="1" style="position:absolute;left:2694305;top:151130;height:254000;width:800100;" filled="f" stroked="f" coordsize="21600,21600" o:gfxdata="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qsEDzWAAAA&#10;BQEAAA8AAAAAAAAAAQAgAAAAIgAAAGRycy9kb3ducmV2LnhtbFBLAQIUABQAAAAIAIdO4kA8unWZ&#10;rQEAAE4DAAAOAAAAAAAAAAEAIAAAACUBAABkcnMvZTJvRG9jLnhtbFBLBQYAAAAABgAGAFkBAABE&#10;BQAAAAA=&#10;">
                        <v:fill on="f" focussize="0,0"/>
                        <v:stroke on="f"/>
                        <v:imagedata o:title=""/>
                        <o:lock v:ext="edit" aspectratio="f"/>
                        <v:textbox>
                          <w:txbxContent>
                            <w:p w14:paraId="26963D07">
                              <w:pPr>
                                <w:jc w:val="center"/>
                                <w:rPr>
                                  <w:rFonts w:hint="default" w:eastAsia="宋体"/>
                                  <w:sz w:val="18"/>
                                  <w:szCs w:val="18"/>
                                  <w:lang w:val="en-US" w:eastAsia="zh-CN"/>
                                </w:rPr>
                              </w:pPr>
                              <w:r>
                                <w:rPr>
                                  <w:rFonts w:hint="eastAsia"/>
                                  <w:sz w:val="18"/>
                                  <w:szCs w:val="18"/>
                                  <w:lang w:val="en-US" w:eastAsia="zh-CN"/>
                                </w:rPr>
                                <w:t>粉尘、噪声</w:t>
                              </w:r>
                            </w:p>
                          </w:txbxContent>
                        </v:textbox>
                      </v:rect>
                      <v:rect id="矩形 47" o:spid="_x0000_s1026" o:spt="1" style="position:absolute;left:3999230;top:151130;height:254000;width:800100;" filled="f" stroked="f" coordsize="21600,21600" o:gfxdata="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rBA81gAA&#10;AAUBAAAPAAAAAAAAAAEAIAAAACIAAABkcnMvZG93bnJldi54bWxQSwECFAAUAAAACACHTuJAjnLr&#10;Ga4BAABOAwAADgAAAAAAAAABACAAAAAlAQAAZHJzL2Uyb0RvYy54bWxQSwUGAAAAAAYABgBZAQAA&#10;RQUAAAAA&#10;">
                        <v:fill on="f" focussize="0,0"/>
                        <v:stroke on="f"/>
                        <v:imagedata o:title=""/>
                        <o:lock v:ext="edit" aspectratio="f"/>
                        <v:textbox>
                          <w:txbxContent>
                            <w:p w14:paraId="28792A5B">
                              <w:pPr>
                                <w:jc w:val="center"/>
                                <w:rPr>
                                  <w:rFonts w:hint="default" w:eastAsia="宋体"/>
                                  <w:sz w:val="18"/>
                                  <w:szCs w:val="18"/>
                                  <w:lang w:val="en-US" w:eastAsia="zh-CN"/>
                                </w:rPr>
                              </w:pPr>
                              <w:r>
                                <w:rPr>
                                  <w:rFonts w:hint="eastAsia"/>
                                  <w:sz w:val="18"/>
                                  <w:szCs w:val="18"/>
                                  <w:lang w:val="en-US" w:eastAsia="zh-CN"/>
                                </w:rPr>
                                <w:t>粉尘、噪声</w:t>
                              </w:r>
                            </w:p>
                          </w:txbxContent>
                        </v:textbox>
                      </v:rect>
                      <v:shape id="直接箭头连接符 48" o:spid="_x0000_s1026" o:spt="32" type="#_x0000_t32" style="position:absolute;left:653415;top:405130;flip:y;height:236855;width:2540;" filled="f" stroked="t" coordsize="21600,21600" o:gfxdata="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R8JTrUAAAABQEAAA8A&#10;AAAAAAAAAQAgAAAAIgAAAGRycy9kb3ducmV2LnhtbFBLAQIUABQAAAAIAIdO4kA+I8VoGwIAAAUE&#10;AAAOAAAAAAAAAAEAIAAAACMBAABkcnMvZTJvRG9jLnhtbFBLBQYAAAAABgAGAFkBAACwBQAAAAA=&#10;">
                        <v:fill on="f" focussize="0,0"/>
                        <v:stroke color="#000000" joinstyle="round" dashstyle="dash" endarrow="open"/>
                        <v:imagedata o:title=""/>
                        <o:lock v:ext="edit" aspectratio="f"/>
                      </v:shape>
                      <v:shape id="直接箭头连接符 50" o:spid="_x0000_s1026" o:spt="32" type="#_x0000_t32" style="position:absolute;left:1865630;top:405130;flip:x y;height:241300;width:4445;" filled="f" stroked="t" coordsize="21600,21600" o:gfxdata="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uGfrjUAAAABQEAAA8A&#10;AAAAAAAAAQAgAAAAIgAAAGRycy9kb3ducmV2LnhtbFBLAQIUABQAAAAIAIdO4kBfv7XtGwIAABAE&#10;AAAOAAAAAAAAAAEAIAAAACMBAABkcnMvZTJvRG9jLnhtbFBLBQYAAAAABgAGAFkBAACwBQAAAAA=&#10;">
                        <v:fill on="f" focussize="0,0"/>
                        <v:stroke color="#000000" joinstyle="round" dashstyle="dash" endarrow="open"/>
                        <v:imagedata o:title=""/>
                        <o:lock v:ext="edit" aspectratio="f"/>
                      </v:shape>
                      <v:shape id="直接箭头连接符 51" o:spid="_x0000_s1026" o:spt="32" type="#_x0000_t32" style="position:absolute;left:3089910;top:405130;flip:y;height:241300;width:4445;" filled="f" stroked="t" coordsize="21600,21600" o:gfxdata="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R8JTrUAAAABQEAAA8A&#10;AAAAAAAAAQAgAAAAIgAAAGRycy9kb3ducmV2LnhtbFBLAQIUABQAAAAIAIdO4kA4VFt/GwIAAAYE&#10;AAAOAAAAAAAAAAEAIAAAACMBAABkcnMvZTJvRG9jLnhtbFBLBQYAAAAABgAGAFkBAACwBQAAAAA=&#10;">
                        <v:fill on="f" focussize="0,0"/>
                        <v:stroke color="#000000" joinstyle="round" dashstyle="dash" endarrow="open"/>
                        <v:imagedata o:title=""/>
                        <o:lock v:ext="edit" aspectratio="f"/>
                      </v:shape>
                      <v:shape id="直接箭头连接符 52" o:spid="_x0000_s1026" o:spt="32" type="#_x0000_t32" style="position:absolute;left:4399280;top:405130;flip:x y;height:241300;width:4445;" filled="f" stroked="t" coordsize="21600,21600" o:gfxdata="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4Z+uNQAAAAFAQAA&#10;DwAAAAAAAAABACAAAAAiAAAAZHJzL2Rvd25yZXYueG1sUEsBAhQAFAAAAAgAh07iQO2RkW4dAgAA&#10;EAQAAA4AAAAAAAAAAQAgAAAAIwEAAGRycy9lMm9Eb2MueG1sUEsFBgAAAAAGAAYAWQEAALIFAAAA&#10;AA==&#10;">
                        <v:fill on="f" focussize="0,0"/>
                        <v:stroke color="#000000" joinstyle="round" dashstyle="dash" endarrow="open"/>
                        <v:imagedata o:title=""/>
                        <o:lock v:ext="edit" aspectratio="f"/>
                      </v:shape>
                      <w10:wrap type="none"/>
                      <w10:anchorlock/>
                    </v:group>
                  </w:pict>
                </mc:Fallback>
              </mc:AlternateContent>
            </w:r>
            <w:r>
              <w:rPr>
                <w:rFonts w:hint="default" w:ascii="Times New Roman" w:hAnsi="Times New Roman" w:cs="Times New Roman"/>
                <w:color w:val="000000" w:themeColor="text1"/>
                <w:sz w:val="21"/>
                <w:szCs w:val="21"/>
                <w:lang w:val="en-US" w:eastAsia="zh-CN"/>
                <w14:textFill>
                  <w14:solidFill>
                    <w14:schemeClr w14:val="tx1"/>
                  </w14:solidFill>
                </w14:textFill>
              </w:rPr>
              <w:t>图4-1 建设项目施工建设流程及产污环节</w:t>
            </w:r>
          </w:p>
          <w:p w14:paraId="36F4C634">
            <w:pPr>
              <w:numPr>
                <w:ilvl w:val="0"/>
                <w:numId w:val="11"/>
              </w:numPr>
              <w:adjustRightInd w:val="0"/>
              <w:snapToGrid w:val="0"/>
              <w:spacing w:line="400" w:lineRule="exac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w:t>
            </w:r>
            <w:r>
              <w:rPr>
                <w:rFonts w:hint="default" w:ascii="Times New Roman" w:hAnsi="Times New Roman" w:cs="Times New Roman"/>
                <w:color w:val="000000" w:themeColor="text1"/>
                <w:lang w:val="en-US" w:eastAsia="zh-CN"/>
                <w14:textFill>
                  <w14:solidFill>
                    <w14:schemeClr w14:val="tx1"/>
                  </w14:solidFill>
                </w14:textFill>
              </w:rPr>
              <w:t>期工艺流程简述：</w:t>
            </w:r>
          </w:p>
          <w:p w14:paraId="3FF890EA">
            <w:pPr>
              <w:numPr>
                <w:ilvl w:val="0"/>
                <w:numId w:val="0"/>
              </w:num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①土方工程：土方工程包括一切土的挖掘、填筑和运输等过程以及排水、降水、土壁支撑等准 备和辅助工程，通常有：场地平整、基坑（槽）开挖、地坪填土、路基填筑及基坑回填土等。</w:t>
            </w:r>
          </w:p>
          <w:p w14:paraId="26038BDF">
            <w:pPr>
              <w:numPr>
                <w:ilvl w:val="0"/>
                <w:numId w:val="0"/>
              </w:num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②基础工程：本项目采用深基础中常用的桩基础，施工拟采用回填、深层搅拌桩、静力压桩， 利用无振动、无噪声的静压力将钢筋混凝土预制桩压入土中。 </w:t>
            </w:r>
          </w:p>
          <w:p w14:paraId="217AFCE0">
            <w:pPr>
              <w:numPr>
                <w:ilvl w:val="0"/>
                <w:numId w:val="0"/>
              </w:num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③混凝土（结构）工程：混凝土（结构）工程在建筑施工中占主导地位。拟建项目主要采用现 浇混凝土（结构）工程，其主要内容有混凝土制备、运输、浇筑捣实和养护。</w:t>
            </w:r>
          </w:p>
          <w:p w14:paraId="76401371">
            <w:pPr>
              <w:numPr>
                <w:ilvl w:val="0"/>
                <w:numId w:val="0"/>
              </w:num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④砌筑工程：砌筑工程是指各种砖、石块等砌块的施工，包括砂浆制备、材料运输、脚手架搭 设和墙体砌筑等。 </w:t>
            </w:r>
          </w:p>
          <w:p w14:paraId="08B58C6B">
            <w:pPr>
              <w:numPr>
                <w:ilvl w:val="0"/>
                <w:numId w:val="11"/>
              </w:numPr>
              <w:adjustRightInd w:val="0"/>
              <w:snapToGrid w:val="0"/>
              <w:spacing w:line="400" w:lineRule="exac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施工期主要污染工序：</w:t>
            </w:r>
          </w:p>
          <w:p w14:paraId="53B1BB2D">
            <w:pPr>
              <w:numPr>
                <w:ilvl w:val="0"/>
                <w:numId w:val="0"/>
              </w:num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本项目在土方开挖回填、打桩、砌筑、配套设施等过程中会产生建筑粉尘、道路扬尘、运输车 辆汽车尾气、施工废水、施工期噪声和施工期生活垃圾及建筑垃圾，这些污染存在于整个施工过程中。 </w:t>
            </w:r>
          </w:p>
          <w:p w14:paraId="29968F8D">
            <w:pPr>
              <w:numPr>
                <w:ilvl w:val="0"/>
                <w:numId w:val="0"/>
              </w:num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①大气污染分析： </w:t>
            </w:r>
          </w:p>
          <w:p w14:paraId="47BC72AC">
            <w:pPr>
              <w:numPr>
                <w:ilvl w:val="0"/>
                <w:numId w:val="12"/>
              </w:num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粉尘与扬尘 </w:t>
            </w:r>
          </w:p>
          <w:p w14:paraId="50630538">
            <w:pPr>
              <w:numPr>
                <w:ilvl w:val="0"/>
                <w:numId w:val="0"/>
              </w:numPr>
              <w:adjustRightInd w:val="0"/>
              <w:snapToGrid w:val="0"/>
              <w:spacing w:line="400" w:lineRule="exact"/>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粉尘、扬尘的影响范围较大，尤其是天气干燥及风速较大时更为明显，从而使该区块及周围附 近地区大气中总悬浮颗粒浓度增大。由于粉尘的产生量与天气、温度、风速、施工队文明作业程度 和管理水平等因素有关，目前还没有用于计算建筑施工粉尘排放量的经验公式，其排放量难以定量 估算。参照相关工程的现场模拟数据，在距平整土地场地50m 处，产生的扬尘（TSP）可降至1.00mg/m3。施工场地主要抑制措施有喷洒水、围栏、密封运输等，采用这些措施扬尘的去除率可达60%。</w:t>
            </w:r>
          </w:p>
          <w:p w14:paraId="6C450428">
            <w:pPr>
              <w:numPr>
                <w:ilvl w:val="0"/>
                <w:numId w:val="12"/>
              </w:numPr>
              <w:adjustRightInd w:val="0"/>
              <w:snapToGrid w:val="0"/>
              <w:spacing w:line="400" w:lineRule="exact"/>
              <w:ind w:left="0" w:leftChars="0"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机动车尾气 </w:t>
            </w:r>
          </w:p>
          <w:p w14:paraId="69E9EF8D">
            <w:pPr>
              <w:numPr>
                <w:ilvl w:val="0"/>
                <w:numId w:val="0"/>
              </w:numPr>
              <w:adjustRightInd w:val="0"/>
              <w:snapToGrid w:val="0"/>
              <w:spacing w:line="400" w:lineRule="exact"/>
              <w:ind w:left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尾气主要来自于施工机械和交通运输车辆。排放的主要污染物为NO2、CO 和烃类物</w:t>
            </w:r>
          </w:p>
          <w:p w14:paraId="3F8222D0">
            <w:pPr>
              <w:numPr>
                <w:ilvl w:val="0"/>
                <w:numId w:val="0"/>
              </w:numPr>
              <w:adjustRightInd w:val="0"/>
              <w:snapToGrid w:val="0"/>
              <w:spacing w:line="400" w:lineRule="exac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等。 </w:t>
            </w:r>
          </w:p>
          <w:p w14:paraId="53F7FA2F">
            <w:pPr>
              <w:numPr>
                <w:ilvl w:val="0"/>
                <w:numId w:val="0"/>
              </w:numPr>
              <w:adjustRightInd w:val="0"/>
              <w:snapToGrid w:val="0"/>
              <w:spacing w:line="400" w:lineRule="exact"/>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表4-1 施工期环境空气防治措施一览表</w:t>
            </w:r>
          </w:p>
          <w:tbl>
            <w:tblPr>
              <w:tblStyle w:val="43"/>
              <w:tblW w:w="829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60"/>
              <w:gridCol w:w="6362"/>
            </w:tblGrid>
            <w:tr w14:paraId="1FFC2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noWrap w:val="0"/>
                  <w:vAlign w:val="top"/>
                </w:tcPr>
                <w:p w14:paraId="3F582235">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1260" w:type="dxa"/>
                  <w:tcBorders>
                    <w:tl2br w:val="nil"/>
                    <w:tr2bl w:val="nil"/>
                  </w:tcBorders>
                  <w:noWrap w:val="0"/>
                  <w:vAlign w:val="top"/>
                </w:tcPr>
                <w:p w14:paraId="5B8DAB20">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措施</w:t>
                  </w:r>
                </w:p>
              </w:tc>
              <w:tc>
                <w:tcPr>
                  <w:tcW w:w="6362" w:type="dxa"/>
                  <w:tcBorders>
                    <w:tl2br w:val="nil"/>
                    <w:tr2bl w:val="nil"/>
                  </w:tcBorders>
                  <w:noWrap w:val="0"/>
                  <w:vAlign w:val="top"/>
                </w:tcPr>
                <w:p w14:paraId="0D7B879F">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基本要求</w:t>
                  </w:r>
                </w:p>
              </w:tc>
            </w:tr>
            <w:tr w14:paraId="57581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noWrap w:val="0"/>
                  <w:vAlign w:val="center"/>
                </w:tcPr>
                <w:p w14:paraId="44CCAFC7">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260" w:type="dxa"/>
                  <w:tcBorders>
                    <w:tl2br w:val="nil"/>
                    <w:tr2bl w:val="nil"/>
                  </w:tcBorders>
                  <w:noWrap w:val="0"/>
                  <w:vAlign w:val="center"/>
                </w:tcPr>
                <w:p w14:paraId="7741C2E5">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围挡</w:t>
                  </w:r>
                </w:p>
              </w:tc>
              <w:tc>
                <w:tcPr>
                  <w:tcW w:w="6362" w:type="dxa"/>
                  <w:tcBorders>
                    <w:tl2br w:val="nil"/>
                    <w:tr2bl w:val="nil"/>
                  </w:tcBorders>
                  <w:noWrap w:val="0"/>
                  <w:vAlign w:val="top"/>
                </w:tcPr>
                <w:p w14:paraId="6A2FC615">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施工现场应沿周边连续设置硬质围挡，不得有间断、敞开，底边封</w:t>
                  </w:r>
                </w:p>
                <w:p w14:paraId="471D3EFB">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 xml:space="preserve">闭严密，不得有泥浆外漏。 </w:t>
                  </w:r>
                </w:p>
                <w:p w14:paraId="1FFB424B">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本项目设置围挡高度不应低于1.8m；拆除工程应设置全封闭围挡，围挡高度不应低于 2.5m。临时维修、维护、抢修、抢建工程应适当设置临时围挡。围挡立面应保持干净、整洁，定时清理。工程结束前，不得拆除施工现场围挡。当妨碍施工必须拆除时，应设置临时围挡并符合相关要求。围挡应保证施工作业人员和周边行人的安全，且牢固、美观、环保、无破损。</w:t>
                  </w:r>
                </w:p>
              </w:tc>
            </w:tr>
            <w:tr w14:paraId="1ABD6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noWrap w:val="0"/>
                  <w:vAlign w:val="center"/>
                </w:tcPr>
                <w:p w14:paraId="5222596B">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260" w:type="dxa"/>
                  <w:tcBorders>
                    <w:tl2br w:val="nil"/>
                    <w:tr2bl w:val="nil"/>
                  </w:tcBorders>
                  <w:noWrap w:val="0"/>
                  <w:vAlign w:val="center"/>
                </w:tcPr>
                <w:p w14:paraId="5AB2AC52">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场地</w:t>
                  </w:r>
                </w:p>
              </w:tc>
              <w:tc>
                <w:tcPr>
                  <w:tcW w:w="6362" w:type="dxa"/>
                  <w:tcBorders>
                    <w:tl2br w:val="nil"/>
                    <w:tr2bl w:val="nil"/>
                  </w:tcBorders>
                  <w:noWrap w:val="0"/>
                  <w:vAlign w:val="top"/>
                </w:tcPr>
                <w:p w14:paraId="25B2171C">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 xml:space="preserve">施工场区的主要道路必须进行硬化处理。 </w:t>
                  </w:r>
                </w:p>
                <w:p w14:paraId="4DB9EDEF">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施工场区的其他道路应采取硬化或砖、焦渣、碎石铺装等防尘措施。</w:t>
                  </w:r>
                </w:p>
                <w:p w14:paraId="213B8555">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施工场区主要道路的硬化宜采用装配式、定型化可周转的构件铺设， 道路承载力应满足车辆行驶和抗压要求。</w:t>
                  </w:r>
                </w:p>
                <w:p w14:paraId="06996278">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施工场区内裸露场地应采用防尘 网等覆盖、绿化或固化等扬尘防治措施。施工现场必须建立洒水清扫制度，专人负责定时对场地进行打扫、洒水、保洁，不得在未实施洒水等措施情 况下进行直接清扫，确保场区干净。</w:t>
                  </w:r>
                </w:p>
              </w:tc>
            </w:tr>
            <w:tr w14:paraId="39CE7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noWrap w:val="0"/>
                  <w:vAlign w:val="center"/>
                </w:tcPr>
                <w:p w14:paraId="38450BB8">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260" w:type="dxa"/>
                  <w:tcBorders>
                    <w:tl2br w:val="nil"/>
                    <w:tr2bl w:val="nil"/>
                  </w:tcBorders>
                  <w:noWrap w:val="0"/>
                  <w:vAlign w:val="center"/>
                </w:tcPr>
                <w:p w14:paraId="31B30E6C">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车辆冲洗</w:t>
                  </w:r>
                </w:p>
              </w:tc>
              <w:tc>
                <w:tcPr>
                  <w:tcW w:w="6362" w:type="dxa"/>
                  <w:tcBorders>
                    <w:tl2br w:val="nil"/>
                    <w:tr2bl w:val="nil"/>
                  </w:tcBorders>
                  <w:noWrap w:val="0"/>
                  <w:vAlign w:val="top"/>
                </w:tcPr>
                <w:p w14:paraId="7E5A9596">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 xml:space="preserve">工地车辆出入口应设置车辆自动冲洗装置。特殊情况下，可采用移动式冲洗设备。车辆冲洗应有专人负责，确保车辆外部、底盘、轮胎处不得粘有污物和泥土，施工场所车辆出口30 m 以内路面上不应有明显的泥印，以及砂石、灰土等易扬尘材料，严禁车辆带泥上路。 </w:t>
                  </w:r>
                </w:p>
                <w:p w14:paraId="7E1ECF2F">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车辆冲洗装置冲洗水压不应小于0.3MPa，冲洗时间不宜少于 3min。 车辆冲洗应填写台账，并由相关责任人签字。</w:t>
                  </w:r>
                </w:p>
                <w:p w14:paraId="75095B23">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车辆冲洗宜采用循环用水，设置沉淀池，沉淀池应做防渗处理，污水不得直接排入市政管网，沉淀池、排水沟中积存的污泥应定期清理。冲洗装置应从工程开工之日起设置，并保留至工程竣工，对损坏的设备要及时进行维修，保证正常使用。</w:t>
                  </w:r>
                </w:p>
              </w:tc>
            </w:tr>
            <w:tr w14:paraId="4385B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noWrap w:val="0"/>
                  <w:vAlign w:val="center"/>
                </w:tcPr>
                <w:p w14:paraId="57D006A1">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1260" w:type="dxa"/>
                  <w:tcBorders>
                    <w:tl2br w:val="nil"/>
                    <w:tr2bl w:val="nil"/>
                  </w:tcBorders>
                  <w:noWrap w:val="0"/>
                  <w:vAlign w:val="center"/>
                </w:tcPr>
                <w:p w14:paraId="099BA394">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物料存放</w:t>
                  </w:r>
                </w:p>
              </w:tc>
              <w:tc>
                <w:tcPr>
                  <w:tcW w:w="6362" w:type="dxa"/>
                  <w:tcBorders>
                    <w:tl2br w:val="nil"/>
                    <w:tr2bl w:val="nil"/>
                  </w:tcBorders>
                  <w:noWrap w:val="0"/>
                  <w:vAlign w:val="top"/>
                </w:tcPr>
                <w:p w14:paraId="6103AF86">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施工现场严禁露天存放砂、石、石灰、粉煤灰等易扬尘材料。水泥、 石灰粉等建筑材料应存放在库房内或严密遮盖。砂、石等散体材料应集中 堆放且覆盖；场内装卸、搬运易扬尘材料应遮盖、封闭或洒水，不得凌空抛掷或抛洒；其他细颗粒建筑材料应封闭存放。土方堆放时，应采取覆盖防尘网、绿化等防尘措施，并定时洒水，保持土壤湿润。</w:t>
                  </w:r>
                </w:p>
              </w:tc>
            </w:tr>
            <w:tr w14:paraId="308B0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noWrap w:val="0"/>
                  <w:vAlign w:val="center"/>
                </w:tcPr>
                <w:p w14:paraId="1C722324">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1260" w:type="dxa"/>
                  <w:tcBorders>
                    <w:tl2br w:val="nil"/>
                    <w:tr2bl w:val="nil"/>
                  </w:tcBorders>
                  <w:noWrap w:val="0"/>
                  <w:vAlign w:val="center"/>
                </w:tcPr>
                <w:p w14:paraId="3454C53D">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建筑垃圾</w:t>
                  </w:r>
                </w:p>
              </w:tc>
              <w:tc>
                <w:tcPr>
                  <w:tcW w:w="6362" w:type="dxa"/>
                  <w:tcBorders>
                    <w:tl2br w:val="nil"/>
                    <w:tr2bl w:val="nil"/>
                  </w:tcBorders>
                  <w:noWrap w:val="0"/>
                  <w:vAlign w:val="top"/>
                </w:tcPr>
                <w:p w14:paraId="4B1DBE74">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施工现场建筑垃圾应集中、分类堆放，严密遮盖，及时清运。 施工现场内严禁随意丢弃和焚烧各类废弃物。建筑垃圾运输应当委托经核准的运输单位运输，委托合同中应明确运输扬尘防治责任。建筑垃圾 运输单位应制定车辆管理制度，定期对车辆进行维护和检测，保持车况完好、车容整洁、车辆号牌清晰。建筑垃圾运输车辆应随车携带驾驶证、行车证、营运证、建筑垃圾运输处置核准文件和装卸双向登记卡，做到各项运营运输手续完备。建筑垃圾运输车辆运输中应采取严格的密封密闭措施， 切实达到无外露、无遗撒、无高尖、无扬尘的要求，按规定的时间、地点、 线路运输和装卸。建筑垃圾运输车辆出入施工工地和处置场所，应进行冲洗保洁，防止车辆带泥上路，保持周边道路清洁干净。建筑垃圾运输车辆应开启实时在线定位系统，严格实行“装、运、卸”全过程监控，严禁“跑冒滴漏”和违规驾驶，确保实时处于监管系统监控之中。</w:t>
                  </w:r>
                </w:p>
              </w:tc>
            </w:tr>
          </w:tbl>
          <w:p w14:paraId="0830B58B">
            <w:pPr>
              <w:numPr>
                <w:ilvl w:val="0"/>
                <w:numId w:val="0"/>
              </w:numPr>
              <w:adjustRightInd w:val="0"/>
              <w:snapToGrid w:val="0"/>
              <w:spacing w:line="400" w:lineRule="exact"/>
              <w:ind w:firstLine="420" w:firstLineChars="200"/>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 xml:space="preserve">②水污染分析： </w:t>
            </w:r>
          </w:p>
          <w:p w14:paraId="22599549">
            <w:pPr>
              <w:numPr>
                <w:ilvl w:val="0"/>
                <w:numId w:val="0"/>
              </w:numPr>
              <w:adjustRightInd w:val="0"/>
              <w:snapToGrid w:val="0"/>
              <w:spacing w:line="400" w:lineRule="exact"/>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en-US"/>
                <w14:textFill>
                  <w14:solidFill>
                    <w14:schemeClr w14:val="tx1"/>
                  </w14:solidFill>
                </w14:textFill>
              </w:rPr>
              <w:t xml:space="preserve">施工期废水主要为施工人员的生活污水和建筑施工废水。 </w:t>
            </w:r>
          </w:p>
          <w:p w14:paraId="091C2816">
            <w:pPr>
              <w:numPr>
                <w:ilvl w:val="0"/>
                <w:numId w:val="13"/>
              </w:numPr>
              <w:adjustRightInd w:val="0"/>
              <w:snapToGrid w:val="0"/>
              <w:spacing w:line="400" w:lineRule="exact"/>
              <w:ind w:firstLine="420" w:firstLineChars="200"/>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 xml:space="preserve">生活污水 </w:t>
            </w:r>
          </w:p>
          <w:p w14:paraId="1CB4C76D">
            <w:pPr>
              <w:numPr>
                <w:ilvl w:val="0"/>
                <w:numId w:val="0"/>
              </w:numPr>
              <w:adjustRightInd w:val="0"/>
              <w:snapToGrid w:val="0"/>
              <w:spacing w:line="400" w:lineRule="exact"/>
              <w:ind w:firstLine="420" w:firstLineChars="200"/>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 xml:space="preserve">施工期施工人员平均按50人计，施工人员生活用水量按50L人·天计，施工期以180 天计，则生活用水量为450 t。生活污水的排放量按用水量的80%计，则产生的生活污水量为360 t。生活污水的主要污染因子有COD、SS、NH3-N、总磷等。 </w:t>
            </w:r>
          </w:p>
          <w:p w14:paraId="08D96512">
            <w:pPr>
              <w:numPr>
                <w:ilvl w:val="0"/>
                <w:numId w:val="13"/>
              </w:numPr>
              <w:adjustRightInd w:val="0"/>
              <w:snapToGrid w:val="0"/>
              <w:spacing w:line="400" w:lineRule="exact"/>
              <w:ind w:left="0" w:leftChars="0" w:firstLine="420" w:firstLineChars="200"/>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 xml:space="preserve">施工废水 </w:t>
            </w:r>
          </w:p>
          <w:p w14:paraId="793AAE53">
            <w:pPr>
              <w:numPr>
                <w:ilvl w:val="0"/>
                <w:numId w:val="0"/>
              </w:numPr>
              <w:adjustRightInd w:val="0"/>
              <w:snapToGrid w:val="0"/>
              <w:spacing w:line="400" w:lineRule="exact"/>
              <w:ind w:leftChars="200"/>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项目施工废水主要有地基挖掘时的地下水和浇注混凝土的冲洗水。地基挖掘时的地下</w:t>
            </w:r>
          </w:p>
          <w:p w14:paraId="7C527DEF">
            <w:pPr>
              <w:numPr>
                <w:ilvl w:val="0"/>
                <w:numId w:val="0"/>
              </w:numPr>
              <w:adjustRightInd w:val="0"/>
              <w:snapToGrid w:val="0"/>
              <w:spacing w:line="400" w:lineRule="exact"/>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水量与地质情况有关，浇注混凝土的冲洗水量与天气状况有关，主要污染因子有SS，其排放量均难以估算，该污水要进行截流后集中处理，否则将会把施工区块的泥沙带到水体环境中</w:t>
            </w:r>
            <w:r>
              <w:rPr>
                <w:rFonts w:hint="default" w:ascii="Times New Roman" w:hAnsi="Times New Roman" w:cs="Times New Roman"/>
                <w:color w:val="000000" w:themeColor="text1"/>
                <w:lang w:val="en-US" w:eastAsia="zh-CN"/>
                <w14:textFill>
                  <w14:solidFill>
                    <w14:schemeClr w14:val="tx1"/>
                  </w14:solidFill>
                </w14:textFill>
              </w:rPr>
              <w:t xml:space="preserve">。 </w:t>
            </w:r>
          </w:p>
          <w:p w14:paraId="1A101EEF">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表4-2 施工期水环境保护措施一览表</w:t>
            </w:r>
          </w:p>
          <w:tbl>
            <w:tblPr>
              <w:tblStyle w:val="43"/>
              <w:tblW w:w="829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025"/>
              <w:gridCol w:w="2970"/>
              <w:gridCol w:w="2627"/>
            </w:tblGrid>
            <w:tr w14:paraId="1EE55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71" w:type="dxa"/>
                  <w:tcBorders>
                    <w:tl2br w:val="nil"/>
                    <w:tr2bl w:val="nil"/>
                  </w:tcBorders>
                  <w:noWrap w:val="0"/>
                  <w:vAlign w:val="top"/>
                </w:tcPr>
                <w:p w14:paraId="38C10BBF">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2025" w:type="dxa"/>
                  <w:tcBorders>
                    <w:tl2br w:val="nil"/>
                    <w:tr2bl w:val="nil"/>
                  </w:tcBorders>
                  <w:noWrap w:val="0"/>
                  <w:vAlign w:val="top"/>
                </w:tcPr>
                <w:p w14:paraId="1A998FB7">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主要环境影响</w:t>
                  </w:r>
                </w:p>
              </w:tc>
              <w:tc>
                <w:tcPr>
                  <w:tcW w:w="2970" w:type="dxa"/>
                  <w:tcBorders>
                    <w:tl2br w:val="nil"/>
                    <w:tr2bl w:val="nil"/>
                  </w:tcBorders>
                  <w:noWrap w:val="0"/>
                  <w:vAlign w:val="top"/>
                </w:tcPr>
                <w:p w14:paraId="2DEB3D2F">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环保措施</w:t>
                  </w:r>
                </w:p>
              </w:tc>
              <w:tc>
                <w:tcPr>
                  <w:tcW w:w="2627" w:type="dxa"/>
                  <w:tcBorders>
                    <w:tl2br w:val="nil"/>
                    <w:tr2bl w:val="nil"/>
                  </w:tcBorders>
                  <w:noWrap w:val="0"/>
                  <w:vAlign w:val="top"/>
                </w:tcPr>
                <w:p w14:paraId="4908A5AC">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效果</w:t>
                  </w:r>
                </w:p>
              </w:tc>
            </w:tr>
            <w:tr w14:paraId="1922F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noWrap w:val="0"/>
                  <w:vAlign w:val="top"/>
                </w:tcPr>
                <w:p w14:paraId="0660A723">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025" w:type="dxa"/>
                  <w:tcBorders>
                    <w:tl2br w:val="nil"/>
                    <w:tr2bl w:val="nil"/>
                  </w:tcBorders>
                  <w:noWrap w:val="0"/>
                  <w:vAlign w:val="top"/>
                </w:tcPr>
                <w:p w14:paraId="28605C9C">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施工排水可能对水环境产生影响，造成水土流失</w:t>
                  </w:r>
                </w:p>
              </w:tc>
              <w:tc>
                <w:tcPr>
                  <w:tcW w:w="2970" w:type="dxa"/>
                  <w:tcBorders>
                    <w:tl2br w:val="nil"/>
                    <w:tr2bl w:val="nil"/>
                  </w:tcBorders>
                  <w:noWrap w:val="0"/>
                  <w:vAlign w:val="top"/>
                </w:tcPr>
                <w:p w14:paraId="054F7E8B">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施工用水尽量做到节约用水，施工排水经沉淀池沉淀后用于</w:t>
                  </w:r>
                  <w:r>
                    <w:rPr>
                      <w:rFonts w:hint="eastAsia" w:ascii="Times New Roman" w:hAnsi="Times New Roman" w:cs="Times New Roman"/>
                      <w:color w:val="000000" w:themeColor="text1"/>
                      <w:lang w:val="en-US" w:eastAsia="zh-CN"/>
                      <w14:textFill>
                        <w14:solidFill>
                          <w14:schemeClr w14:val="tx1"/>
                        </w14:solidFill>
                      </w14:textFill>
                    </w:rPr>
                    <w:t>施工</w:t>
                  </w:r>
                  <w:r>
                    <w:rPr>
                      <w:rFonts w:hint="default" w:ascii="Times New Roman" w:hAnsi="Times New Roman" w:cs="Times New Roman"/>
                      <w:color w:val="000000" w:themeColor="text1"/>
                      <w:lang w:val="en-US" w:eastAsia="zh-CN"/>
                      <w14:textFill>
                        <w14:solidFill>
                          <w14:schemeClr w14:val="tx1"/>
                        </w14:solidFill>
                      </w14:textFill>
                    </w:rPr>
                    <w:t>场地内抑尘</w:t>
                  </w:r>
                </w:p>
              </w:tc>
              <w:tc>
                <w:tcPr>
                  <w:tcW w:w="2627" w:type="dxa"/>
                  <w:tcBorders>
                    <w:tl2br w:val="nil"/>
                    <w:tr2bl w:val="nil"/>
                  </w:tcBorders>
                  <w:noWrap w:val="0"/>
                  <w:vAlign w:val="top"/>
                </w:tcPr>
                <w:p w14:paraId="318C38B4">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节约用水，减少水土流失，做到施工废水全部用于抑尘，禁止废水外排</w:t>
                  </w:r>
                </w:p>
              </w:tc>
            </w:tr>
            <w:tr w14:paraId="766BA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noWrap w:val="0"/>
                  <w:vAlign w:val="top"/>
                </w:tcPr>
                <w:p w14:paraId="494C19DC">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025" w:type="dxa"/>
                  <w:tcBorders>
                    <w:tl2br w:val="nil"/>
                    <w:tr2bl w:val="nil"/>
                  </w:tcBorders>
                  <w:noWrap w:val="0"/>
                  <w:vAlign w:val="top"/>
                </w:tcPr>
                <w:p w14:paraId="2F80D0D8">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生活污水</w:t>
                  </w:r>
                </w:p>
              </w:tc>
              <w:tc>
                <w:tcPr>
                  <w:tcW w:w="2970" w:type="dxa"/>
                  <w:tcBorders>
                    <w:tl2br w:val="nil"/>
                    <w:tr2bl w:val="nil"/>
                  </w:tcBorders>
                  <w:noWrap w:val="0"/>
                  <w:vAlign w:val="top"/>
                </w:tcPr>
                <w:p w14:paraId="7CEFFBD1">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依托周边现有化粪池</w:t>
                  </w:r>
                </w:p>
              </w:tc>
              <w:tc>
                <w:tcPr>
                  <w:tcW w:w="2627" w:type="dxa"/>
                  <w:tcBorders>
                    <w:tl2br w:val="nil"/>
                    <w:tr2bl w:val="nil"/>
                  </w:tcBorders>
                  <w:noWrap w:val="0"/>
                  <w:vAlign w:val="top"/>
                </w:tcPr>
                <w:p w14:paraId="0FE6A467">
                  <w:pPr>
                    <w:numPr>
                      <w:ilvl w:val="0"/>
                      <w:numId w:val="0"/>
                    </w:numPr>
                    <w:adjustRightInd w:val="0"/>
                    <w:snapToGrid w:val="0"/>
                    <w:spacing w:line="40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不得排入水体</w:t>
                  </w:r>
                </w:p>
              </w:tc>
            </w:tr>
          </w:tbl>
          <w:p w14:paraId="0F299201">
            <w:pPr>
              <w:numPr>
                <w:ilvl w:val="0"/>
                <w:numId w:val="0"/>
              </w:numPr>
              <w:adjustRightInd w:val="0"/>
              <w:snapToGrid w:val="0"/>
              <w:spacing w:line="400" w:lineRule="exact"/>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③噪声污染分析 </w:t>
            </w:r>
          </w:p>
          <w:p w14:paraId="3DF4D687">
            <w:pPr>
              <w:numPr>
                <w:ilvl w:val="0"/>
                <w:numId w:val="0"/>
              </w:numPr>
              <w:adjustRightInd w:val="0"/>
              <w:snapToGrid w:val="0"/>
              <w:spacing w:line="400" w:lineRule="exact"/>
              <w:ind w:firstLine="42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项目施工过程中，将使用大量的施工机械和运输车辆。根据施工作业性质的不同，施工全过程一般可分为以下几个阶段：a 清理场地阶段：包括拆除、清理垃圾等；b 土石方阶段：挖土石方等；c 基础工程阶段：打桩、砌筑基础等。不同的时光阶段，所产生的噪声源类型不同。从噪声源产生角度分析，大致可分为四个阶段：土石方工程阶段、基础施工阶段、结构施工阶段和装修阶段。这四个阶段所占施工时间较长，采用的施工机械较多，噪声源分布较广，不同阶段又各具独立的噪声特性。土石方工程阶段施工噪声没有明显的指向性，主要噪声源为挖掘机、推土机、装卸机和运输车辆等，噪声源强为78～85dB（A）；基础施工阶段主要噪声源为打桩机，噪声源强为85～110dB（A），属于周期脉冲性声源，具有明显的指向性。次要噪声源有风镐、吊车、平地机等，噪声源强为80～95dB（A）；结构施工阶段施工周期较长，使用的设备种类较多。主要噪声源有运输车辆、汽车吊车、塔式吊车、运输平台、施工电梯等。其中最主要的噪声源是振捣棒，源强在100～110dB（A） 之间；装修阶段声源数量较少，主要有砂轮机、电钻、电锤、吊车、切割机等，噪声源强在90～115dB（A）之间。施工过程中产生的噪声强度较大，数量较多，其强度与施工机械的功率、工作状态等因素都有关。 </w:t>
            </w:r>
          </w:p>
          <w:p w14:paraId="691EFDD6">
            <w:pPr>
              <w:numPr>
                <w:ilvl w:val="0"/>
                <w:numId w:val="0"/>
              </w:numPr>
              <w:adjustRightInd w:val="0"/>
              <w:snapToGrid w:val="0"/>
              <w:spacing w:line="400" w:lineRule="exact"/>
              <w:ind w:firstLine="420" w:firstLineChars="20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表4-3 施工期声环境保护措施一览表</w:t>
            </w:r>
          </w:p>
          <w:tbl>
            <w:tblPr>
              <w:tblStyle w:val="43"/>
              <w:tblW w:w="829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905"/>
              <w:gridCol w:w="3270"/>
              <w:gridCol w:w="2372"/>
            </w:tblGrid>
            <w:tr w14:paraId="736D9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46" w:type="dxa"/>
                  <w:tcBorders>
                    <w:tl2br w:val="nil"/>
                    <w:tr2bl w:val="nil"/>
                  </w:tcBorders>
                  <w:noWrap w:val="0"/>
                  <w:vAlign w:val="center"/>
                </w:tcPr>
                <w:p w14:paraId="6C92B41E">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序号</w:t>
                  </w:r>
                </w:p>
              </w:tc>
              <w:tc>
                <w:tcPr>
                  <w:tcW w:w="1905" w:type="dxa"/>
                  <w:tcBorders>
                    <w:tl2br w:val="nil"/>
                    <w:tr2bl w:val="nil"/>
                  </w:tcBorders>
                  <w:noWrap w:val="0"/>
                  <w:vAlign w:val="center"/>
                </w:tcPr>
                <w:p w14:paraId="49A90608">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主要环境影响</w:t>
                  </w:r>
                </w:p>
              </w:tc>
              <w:tc>
                <w:tcPr>
                  <w:tcW w:w="3270" w:type="dxa"/>
                  <w:tcBorders>
                    <w:tl2br w:val="nil"/>
                    <w:tr2bl w:val="nil"/>
                  </w:tcBorders>
                  <w:noWrap w:val="0"/>
                  <w:vAlign w:val="center"/>
                </w:tcPr>
                <w:p w14:paraId="1C783483">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环保措施</w:t>
                  </w:r>
                </w:p>
              </w:tc>
              <w:tc>
                <w:tcPr>
                  <w:tcW w:w="2372" w:type="dxa"/>
                  <w:tcBorders>
                    <w:tl2br w:val="nil"/>
                    <w:tr2bl w:val="nil"/>
                  </w:tcBorders>
                  <w:noWrap w:val="0"/>
                  <w:vAlign w:val="center"/>
                </w:tcPr>
                <w:p w14:paraId="7F2B7BA7">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效果</w:t>
                  </w:r>
                </w:p>
              </w:tc>
            </w:tr>
            <w:tr w14:paraId="72C05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tcBorders>
                    <w:tl2br w:val="nil"/>
                    <w:tr2bl w:val="nil"/>
                  </w:tcBorders>
                  <w:noWrap w:val="0"/>
                  <w:vAlign w:val="center"/>
                </w:tcPr>
                <w:p w14:paraId="5AA3F50B">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905" w:type="dxa"/>
                  <w:tcBorders>
                    <w:tl2br w:val="nil"/>
                    <w:tr2bl w:val="nil"/>
                  </w:tcBorders>
                  <w:noWrap w:val="0"/>
                  <w:vAlign w:val="center"/>
                </w:tcPr>
                <w:p w14:paraId="33838A9F">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对周边环境影响</w:t>
                  </w:r>
                </w:p>
              </w:tc>
              <w:tc>
                <w:tcPr>
                  <w:tcW w:w="3270" w:type="dxa"/>
                  <w:tcBorders>
                    <w:tl2br w:val="nil"/>
                    <w:tr2bl w:val="nil"/>
                  </w:tcBorders>
                  <w:noWrap w:val="0"/>
                  <w:vAlign w:val="center"/>
                </w:tcPr>
                <w:p w14:paraId="5A5C5D6C">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合理规划各种施工机械设备布局，采用科学的施工方法，严格控制施工作业范围和作业时间</w:t>
                  </w:r>
                  <w:r>
                    <w:rPr>
                      <w:rFonts w:hint="eastAsia"/>
                      <w:color w:val="000000" w:themeColor="text1"/>
                      <w:lang w:val="en-US" w:eastAsia="zh-CN"/>
                      <w14:textFill>
                        <w14:solidFill>
                          <w14:schemeClr w14:val="tx1"/>
                        </w14:solidFill>
                      </w14:textFill>
                    </w:rPr>
                    <w:t>，同时将施工废水用于洒水抑尘</w:t>
                  </w:r>
                </w:p>
              </w:tc>
              <w:tc>
                <w:tcPr>
                  <w:tcW w:w="2372" w:type="dxa"/>
                  <w:tcBorders>
                    <w:tl2br w:val="nil"/>
                    <w:tr2bl w:val="nil"/>
                  </w:tcBorders>
                  <w:noWrap w:val="0"/>
                  <w:vAlign w:val="center"/>
                </w:tcPr>
                <w:p w14:paraId="6B4F45CC">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节约用水，</w:t>
                  </w:r>
                  <w:r>
                    <w:rPr>
                      <w:rFonts w:hint="eastAsia"/>
                      <w:color w:val="000000" w:themeColor="text1"/>
                      <w:lang w:val="en-US" w:eastAsia="zh-CN"/>
                      <w14:textFill>
                        <w14:solidFill>
                          <w14:schemeClr w14:val="tx1"/>
                        </w14:solidFill>
                      </w14:textFill>
                    </w:rPr>
                    <w:t>减少扬尘污染</w:t>
                  </w:r>
                </w:p>
              </w:tc>
            </w:tr>
            <w:tr w14:paraId="786A3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tcBorders>
                    <w:tl2br w:val="nil"/>
                    <w:tr2bl w:val="nil"/>
                  </w:tcBorders>
                  <w:noWrap w:val="0"/>
                  <w:vAlign w:val="center"/>
                </w:tcPr>
                <w:p w14:paraId="72D71E2C">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905" w:type="dxa"/>
                  <w:tcBorders>
                    <w:tl2br w:val="nil"/>
                    <w:tr2bl w:val="nil"/>
                  </w:tcBorders>
                  <w:noWrap w:val="0"/>
                  <w:vAlign w:val="center"/>
                </w:tcPr>
                <w:p w14:paraId="6568F124">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对高噪声源设备操作人员影响</w:t>
                  </w:r>
                </w:p>
              </w:tc>
              <w:tc>
                <w:tcPr>
                  <w:tcW w:w="3270" w:type="dxa"/>
                  <w:tcBorders>
                    <w:tl2br w:val="nil"/>
                    <w:tr2bl w:val="nil"/>
                  </w:tcBorders>
                  <w:noWrap w:val="0"/>
                  <w:vAlign w:val="center"/>
                </w:tcPr>
                <w:p w14:paraId="24A624B7">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尽量选用低噪声设备，给高噪声设备安装隔声罩，打桩机、推土机等强噪声源设备的操作人员</w:t>
                  </w:r>
                  <w:r>
                    <w:rPr>
                      <w:rFonts w:hint="eastAsia"/>
                      <w:color w:val="000000" w:themeColor="text1"/>
                      <w:lang w:val="en-US" w:eastAsia="zh-CN"/>
                      <w14:textFill>
                        <w14:solidFill>
                          <w14:schemeClr w14:val="tx1"/>
                        </w14:solidFill>
                      </w14:textFill>
                    </w:rPr>
                    <w:t>佩戴</w:t>
                  </w:r>
                  <w:r>
                    <w:rPr>
                      <w:rFonts w:hint="default"/>
                      <w:color w:val="000000" w:themeColor="text1"/>
                      <w:lang w:val="en-US" w:eastAsia="zh-CN"/>
                      <w14:textFill>
                        <w14:solidFill>
                          <w14:schemeClr w14:val="tx1"/>
                        </w14:solidFill>
                      </w14:textFill>
                    </w:rPr>
                    <w:t>防护用具</w:t>
                  </w:r>
                </w:p>
              </w:tc>
              <w:tc>
                <w:tcPr>
                  <w:tcW w:w="2372" w:type="dxa"/>
                  <w:tcBorders>
                    <w:tl2br w:val="nil"/>
                    <w:tr2bl w:val="nil"/>
                  </w:tcBorders>
                  <w:noWrap w:val="0"/>
                  <w:vAlign w:val="center"/>
                </w:tcPr>
                <w:p w14:paraId="07F220F9">
                  <w:pPr>
                    <w:numPr>
                      <w:ilvl w:val="0"/>
                      <w:numId w:val="0"/>
                    </w:numPr>
                    <w:adjustRightInd w:val="0"/>
                    <w:snapToGrid w:val="0"/>
                    <w:spacing w:line="400" w:lineRule="exact"/>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减轻噪声对施工人员身体健康的影响</w:t>
                  </w:r>
                </w:p>
              </w:tc>
            </w:tr>
          </w:tbl>
          <w:p w14:paraId="65DC2766">
            <w:pPr>
              <w:numPr>
                <w:ilvl w:val="0"/>
                <w:numId w:val="0"/>
              </w:numPr>
              <w:adjustRightInd w:val="0"/>
              <w:snapToGrid w:val="0"/>
              <w:spacing w:line="400" w:lineRule="exact"/>
              <w:ind w:firstLine="420" w:firstLineChars="200"/>
              <w:jc w:val="both"/>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为减少施工期噪声对区域环境的影响，施工单位将采用施工期简易声屏蔽设施，建设单位将做好施工管理，合理安排施工时间，严格执行《建筑施工场界环境噪声排放标准》（GB12523-2011），确保对周边敏感保护目标无影响。</w:t>
            </w:r>
            <w:r>
              <w:rPr>
                <w:rFonts w:hint="eastAsia"/>
                <w:color w:val="000000" w:themeColor="text1"/>
                <w:lang w:val="en-US" w:eastAsia="zh-CN"/>
                <w14:textFill>
                  <w14:solidFill>
                    <w14:schemeClr w14:val="tx1"/>
                  </w14:solidFill>
                </w14:textFill>
              </w:rPr>
              <w:t xml:space="preserve"> </w:t>
            </w:r>
          </w:p>
          <w:p w14:paraId="2B45C993">
            <w:pPr>
              <w:numPr>
                <w:ilvl w:val="0"/>
                <w:numId w:val="0"/>
              </w:numPr>
              <w:adjustRightInd w:val="0"/>
              <w:snapToGrid w:val="0"/>
              <w:spacing w:line="400" w:lineRule="exact"/>
              <w:ind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④固体废弃物污染分析 </w:t>
            </w:r>
          </w:p>
          <w:p w14:paraId="3F7CB9E5">
            <w:pPr>
              <w:numPr>
                <w:ilvl w:val="0"/>
                <w:numId w:val="0"/>
              </w:numPr>
              <w:adjustRightInd w:val="0"/>
              <w:snapToGrid w:val="0"/>
              <w:spacing w:line="400" w:lineRule="exact"/>
              <w:ind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施工期固废主要为建筑垃圾和生活垃圾两部分，本项目施工过程产生的建筑垃圾按100m2建筑面积2.0t 计，则将产生建筑垃圾566.68t。建筑垃圾部分用于场地回填，其余送至渣土场统一处置。 根据本项目的性质和施工规模，类比同类工程的情况，每天约需50 个工人，每个施工人员产生的生活垃圾以1kg/d·人计，施工期以180 天计，则产生生活垃圾约9t，这部分生活垃圾将由环卫部门统一清运处理。</w:t>
            </w:r>
          </w:p>
          <w:p w14:paraId="04A81290">
            <w:pPr>
              <w:numPr>
                <w:ilvl w:val="0"/>
                <w:numId w:val="0"/>
              </w:numPr>
              <w:adjustRightInd w:val="0"/>
              <w:snapToGrid w:val="0"/>
              <w:spacing w:line="400" w:lineRule="exact"/>
              <w:ind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⑤施工期6个100%的要求  </w:t>
            </w:r>
          </w:p>
          <w:p w14:paraId="60B06306">
            <w:pPr>
              <w:numPr>
                <w:ilvl w:val="0"/>
                <w:numId w:val="14"/>
              </w:numPr>
              <w:adjustRightInd w:val="0"/>
              <w:snapToGrid w:val="0"/>
              <w:spacing w:line="400" w:lineRule="exact"/>
              <w:ind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现场封闭管理百分之百 </w:t>
            </w:r>
          </w:p>
          <w:p w14:paraId="74D19BED">
            <w:pPr>
              <w:numPr>
                <w:ilvl w:val="0"/>
                <w:numId w:val="0"/>
              </w:numPr>
              <w:adjustRightInd w:val="0"/>
              <w:snapToGrid w:val="0"/>
              <w:spacing w:line="400" w:lineRule="exact"/>
              <w:ind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施工现场硬质围挡应连续设置，城区主要路段工地围挡高度不低于2.5m，一般路段的工地不低于1.8m，做到坚固、平稳、整洁、美观。在建工程外立面应用安全网实现全封闭围护。 </w:t>
            </w:r>
          </w:p>
          <w:p w14:paraId="0E871AEE">
            <w:pPr>
              <w:numPr>
                <w:ilvl w:val="0"/>
                <w:numId w:val="14"/>
              </w:numPr>
              <w:adjustRightInd w:val="0"/>
              <w:snapToGrid w:val="0"/>
              <w:spacing w:line="400" w:lineRule="exact"/>
              <w:ind w:left="0" w:leftChars="0"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场区道路硬化百分之百 </w:t>
            </w:r>
          </w:p>
          <w:p w14:paraId="47D0111B">
            <w:pPr>
              <w:numPr>
                <w:ilvl w:val="0"/>
                <w:numId w:val="0"/>
              </w:numPr>
              <w:adjustRightInd w:val="0"/>
              <w:snapToGrid w:val="0"/>
              <w:spacing w:line="400" w:lineRule="exact"/>
              <w:ind w:left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主要通道、进出道路、材料加工区及办公生活区地面进行硬化处理。 </w:t>
            </w:r>
          </w:p>
          <w:p w14:paraId="3D434359">
            <w:pPr>
              <w:numPr>
                <w:ilvl w:val="0"/>
                <w:numId w:val="14"/>
              </w:numPr>
              <w:adjustRightInd w:val="0"/>
              <w:snapToGrid w:val="0"/>
              <w:spacing w:line="400" w:lineRule="exact"/>
              <w:ind w:left="0" w:leftChars="0"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渣土物料蓬盖百分之百 </w:t>
            </w:r>
          </w:p>
          <w:p w14:paraId="091D7981">
            <w:pPr>
              <w:numPr>
                <w:ilvl w:val="0"/>
                <w:numId w:val="0"/>
              </w:numPr>
              <w:adjustRightInd w:val="0"/>
              <w:snapToGrid w:val="0"/>
              <w:spacing w:line="400" w:lineRule="exact"/>
              <w:ind w:left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施工现场内裸露的场地和集中堆放的土方应采取覆盖、固化或绿化等防尘措施。易产</w:t>
            </w:r>
          </w:p>
          <w:p w14:paraId="69353E29">
            <w:pPr>
              <w:numPr>
                <w:ilvl w:val="0"/>
                <w:numId w:val="0"/>
              </w:numPr>
              <w:adjustRightInd w:val="0"/>
              <w:snapToGrid w:val="0"/>
              <w:spacing w:line="400" w:lineRule="exact"/>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生扬尘的物料要篷盖。 </w:t>
            </w:r>
          </w:p>
          <w:p w14:paraId="13907DDE">
            <w:pPr>
              <w:numPr>
                <w:ilvl w:val="0"/>
                <w:numId w:val="14"/>
              </w:numPr>
              <w:adjustRightInd w:val="0"/>
              <w:snapToGrid w:val="0"/>
              <w:spacing w:line="400" w:lineRule="exact"/>
              <w:ind w:left="0" w:leftChars="0"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洒水清扫保洁百分之百 </w:t>
            </w:r>
          </w:p>
          <w:p w14:paraId="3FA5E17B">
            <w:pPr>
              <w:numPr>
                <w:ilvl w:val="0"/>
                <w:numId w:val="0"/>
              </w:numPr>
              <w:adjustRightInd w:val="0"/>
              <w:snapToGrid w:val="0"/>
              <w:spacing w:line="400" w:lineRule="exact"/>
              <w:ind w:left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施工现场设专人负责卫生保洁，每天上午、下午各进行二次洒水降尘，遇到干旱和大</w:t>
            </w:r>
          </w:p>
          <w:p w14:paraId="082ECDAD">
            <w:pPr>
              <w:numPr>
                <w:ilvl w:val="0"/>
                <w:numId w:val="0"/>
              </w:numPr>
              <w:adjustRightInd w:val="0"/>
              <w:snapToGrid w:val="0"/>
              <w:spacing w:line="400" w:lineRule="exact"/>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风天气时， 应增加洒水降尘次数，确保无浮土扬尘。开挖、回填等土方作业时，要辅以洒水压尘等措施。工程竣工后，施工现场的临设、围挡、垃圾等必须及时清理完毕，清理时必须采取有效的降尘措施。 </w:t>
            </w:r>
          </w:p>
          <w:p w14:paraId="49978BA8">
            <w:pPr>
              <w:numPr>
                <w:ilvl w:val="0"/>
                <w:numId w:val="14"/>
              </w:numPr>
              <w:adjustRightInd w:val="0"/>
              <w:snapToGrid w:val="0"/>
              <w:spacing w:line="400" w:lineRule="exact"/>
              <w:ind w:left="0" w:leftChars="0"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物料密闭运输百分之百 </w:t>
            </w:r>
          </w:p>
          <w:p w14:paraId="0D6B8AB1">
            <w:pPr>
              <w:numPr>
                <w:ilvl w:val="0"/>
                <w:numId w:val="0"/>
              </w:numPr>
              <w:adjustRightInd w:val="0"/>
              <w:snapToGrid w:val="0"/>
              <w:spacing w:line="400" w:lineRule="exact"/>
              <w:ind w:left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易产生扬尘的建筑材料、渣土应采取密闭搬运、存储或采用防尘布苫盖等防尘措施。</w:t>
            </w:r>
          </w:p>
          <w:p w14:paraId="4C6AB3C0">
            <w:pPr>
              <w:numPr>
                <w:ilvl w:val="0"/>
                <w:numId w:val="0"/>
              </w:numPr>
              <w:adjustRightInd w:val="0"/>
              <w:snapToGrid w:val="0"/>
              <w:spacing w:line="400" w:lineRule="exact"/>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严禁熔融沥青、焚烧垃圾等有毒有害物质，禁止无牌无证车辆进入施工现场。 </w:t>
            </w:r>
          </w:p>
          <w:p w14:paraId="734F3E42">
            <w:pPr>
              <w:numPr>
                <w:ilvl w:val="0"/>
                <w:numId w:val="14"/>
              </w:numPr>
              <w:adjustRightInd w:val="0"/>
              <w:snapToGrid w:val="0"/>
              <w:spacing w:line="400" w:lineRule="exact"/>
              <w:ind w:left="0" w:leftChars="0"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出入车辆清洗百分之百 </w:t>
            </w:r>
          </w:p>
          <w:p w14:paraId="357874CF">
            <w:pPr>
              <w:numPr>
                <w:ilvl w:val="0"/>
                <w:numId w:val="0"/>
              </w:numPr>
              <w:adjustRightInd w:val="0"/>
              <w:snapToGrid w:val="0"/>
              <w:spacing w:line="400" w:lineRule="exact"/>
              <w:ind w:left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施工现场出入口处设置自动车辆冲洗装置和沉淀池，运输车辆底盘和车轮冲洗干净后</w:t>
            </w:r>
          </w:p>
          <w:p w14:paraId="4B5959A8">
            <w:pPr>
              <w:numPr>
                <w:ilvl w:val="0"/>
                <w:numId w:val="0"/>
              </w:numPr>
              <w:adjustRightInd w:val="0"/>
              <w:snapToGrid w:val="0"/>
              <w:spacing w:line="400" w:lineRule="exact"/>
              <w:jc w:val="both"/>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方可驶离施工现场。</w:t>
            </w:r>
          </w:p>
          <w:p w14:paraId="7ED8159E">
            <w:pPr>
              <w:numPr>
                <w:ilvl w:val="0"/>
                <w:numId w:val="11"/>
              </w:numPr>
              <w:spacing w:line="360" w:lineRule="auto"/>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施工期污染物排放标准</w:t>
            </w:r>
          </w:p>
          <w:p w14:paraId="5869D64F">
            <w:pPr>
              <w:numPr>
                <w:ilvl w:val="0"/>
                <w:numId w:val="0"/>
              </w:numPr>
              <w:spacing w:line="360" w:lineRule="auto"/>
              <w:ind w:leftChars="0"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①施工期废气排放标准 </w:t>
            </w:r>
          </w:p>
          <w:p w14:paraId="0DD40C51">
            <w:pPr>
              <w:numPr>
                <w:ilvl w:val="0"/>
                <w:numId w:val="0"/>
              </w:numPr>
              <w:spacing w:line="360" w:lineRule="auto"/>
              <w:ind w:leftChars="0"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施工期废气主要为粉尘和扬尘，主要采取喷洒水、围栏、密封运输等方式减少扬尘，施工期粉尘排放执行《施工场地扬尘排放标准》（DB32/4437-2022）表1中标准。</w:t>
            </w:r>
          </w:p>
          <w:p w14:paraId="24D77D06">
            <w:pPr>
              <w:numPr>
                <w:ilvl w:val="0"/>
                <w:numId w:val="0"/>
              </w:numPr>
              <w:spacing w:line="360" w:lineRule="auto"/>
              <w:ind w:leftChars="0" w:firstLine="422" w:firstLineChars="200"/>
              <w:jc w:val="center"/>
              <w:rPr>
                <w:rFonts w:hint="eastAsia"/>
                <w:b/>
                <w:bCs/>
                <w:color w:val="000000" w:themeColor="text1"/>
                <w:vertAlign w:val="baseline"/>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表4-4 施工期废气污染物排放标准</w:t>
            </w:r>
          </w:p>
          <w:tbl>
            <w:tblPr>
              <w:tblStyle w:val="43"/>
              <w:tblW w:w="827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3825"/>
              <w:gridCol w:w="3382"/>
            </w:tblGrid>
            <w:tr w14:paraId="5BB97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tcBorders>
                    <w:tl2br w:val="nil"/>
                    <w:tr2bl w:val="nil"/>
                  </w:tcBorders>
                  <w:vAlign w:val="center"/>
                </w:tcPr>
                <w:p w14:paraId="595E5B7F">
                  <w:pPr>
                    <w:numPr>
                      <w:ilvl w:val="0"/>
                      <w:numId w:val="0"/>
                    </w:numPr>
                    <w:spacing w:line="360" w:lineRule="auto"/>
                    <w:jc w:val="center"/>
                    <w:rPr>
                      <w:rFonts w:hint="default" w:ascii="Times New Roman" w:hAnsi="Times New Roman" w:eastAsia="宋体" w:cs="Times New Roman"/>
                      <w:b/>
                      <w:bCs/>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vertAlign w:val="baseline"/>
                      <w:lang w:val="en-US" w:eastAsia="zh-CN"/>
                      <w14:textFill>
                        <w14:solidFill>
                          <w14:schemeClr w14:val="tx1"/>
                        </w14:solidFill>
                      </w14:textFill>
                    </w:rPr>
                    <w:t>污染物</w:t>
                  </w:r>
                </w:p>
              </w:tc>
              <w:tc>
                <w:tcPr>
                  <w:tcW w:w="3825" w:type="dxa"/>
                  <w:tcBorders>
                    <w:tl2br w:val="nil"/>
                    <w:tr2bl w:val="nil"/>
                  </w:tcBorders>
                  <w:vAlign w:val="center"/>
                </w:tcPr>
                <w:p w14:paraId="4FD031D4">
                  <w:pPr>
                    <w:numPr>
                      <w:ilvl w:val="0"/>
                      <w:numId w:val="0"/>
                    </w:numPr>
                    <w:spacing w:line="360" w:lineRule="auto"/>
                    <w:jc w:val="center"/>
                    <w:rPr>
                      <w:rFonts w:hint="default" w:ascii="Times New Roman" w:hAnsi="Times New Roman" w:eastAsia="宋体" w:cs="Times New Roman"/>
                      <w:b/>
                      <w:bCs/>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vertAlign w:val="baseline"/>
                      <w:lang w:val="en-US" w:eastAsia="zh-CN"/>
                      <w14:textFill>
                        <w14:solidFill>
                          <w14:schemeClr w14:val="tx1"/>
                        </w14:solidFill>
                      </w14:textFill>
                    </w:rPr>
                    <w:t>无组织排放监控浓度限值（mg/m</w:t>
                  </w:r>
                  <w:r>
                    <w:rPr>
                      <w:rFonts w:hint="default" w:ascii="Times New Roman" w:hAnsi="Times New Roman" w:eastAsia="宋体"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vertAlign w:val="baseline"/>
                      <w:lang w:val="en-US" w:eastAsia="zh-CN"/>
                      <w14:textFill>
                        <w14:solidFill>
                          <w14:schemeClr w14:val="tx1"/>
                        </w14:solidFill>
                      </w14:textFill>
                    </w:rPr>
                    <w:t>）</w:t>
                  </w:r>
                </w:p>
              </w:tc>
              <w:tc>
                <w:tcPr>
                  <w:tcW w:w="3382" w:type="dxa"/>
                  <w:tcBorders>
                    <w:tl2br w:val="nil"/>
                    <w:tr2bl w:val="nil"/>
                  </w:tcBorders>
                  <w:vAlign w:val="center"/>
                </w:tcPr>
                <w:p w14:paraId="04F749DA">
                  <w:pPr>
                    <w:numPr>
                      <w:ilvl w:val="0"/>
                      <w:numId w:val="0"/>
                    </w:numPr>
                    <w:spacing w:line="360" w:lineRule="auto"/>
                    <w:jc w:val="center"/>
                    <w:rPr>
                      <w:rFonts w:hint="default" w:ascii="Times New Roman" w:hAnsi="Times New Roman" w:eastAsia="宋体" w:cs="Times New Roman"/>
                      <w:b/>
                      <w:bCs/>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vertAlign w:val="baseline"/>
                      <w:lang w:val="en-US" w:eastAsia="zh-CN"/>
                      <w14:textFill>
                        <w14:solidFill>
                          <w14:schemeClr w14:val="tx1"/>
                        </w14:solidFill>
                      </w14:textFill>
                    </w:rPr>
                    <w:t>标准来源</w:t>
                  </w:r>
                </w:p>
              </w:tc>
            </w:tr>
            <w:tr w14:paraId="70F77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tcBorders>
                    <w:tl2br w:val="nil"/>
                    <w:tr2bl w:val="nil"/>
                  </w:tcBorders>
                  <w:vAlign w:val="center"/>
                </w:tcPr>
                <w:p w14:paraId="1D701E55">
                  <w:pPr>
                    <w:numPr>
                      <w:ilvl w:val="0"/>
                      <w:numId w:val="0"/>
                    </w:numPr>
                    <w:spacing w:line="360" w:lineRule="auto"/>
                    <w:jc w:val="center"/>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TSP</w:t>
                  </w:r>
                </w:p>
              </w:tc>
              <w:tc>
                <w:tcPr>
                  <w:tcW w:w="3825" w:type="dxa"/>
                  <w:tcBorders>
                    <w:tl2br w:val="nil"/>
                    <w:tr2bl w:val="nil"/>
                  </w:tcBorders>
                  <w:vAlign w:val="center"/>
                </w:tcPr>
                <w:p w14:paraId="4E1884BE">
                  <w:pPr>
                    <w:numPr>
                      <w:ilvl w:val="0"/>
                      <w:numId w:val="0"/>
                    </w:numPr>
                    <w:spacing w:line="360" w:lineRule="auto"/>
                    <w:jc w:val="center"/>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500</w:t>
                  </w:r>
                </w:p>
              </w:tc>
              <w:tc>
                <w:tcPr>
                  <w:tcW w:w="3382" w:type="dxa"/>
                  <w:vMerge w:val="restart"/>
                  <w:tcBorders>
                    <w:tl2br w:val="nil"/>
                    <w:tr2bl w:val="nil"/>
                  </w:tcBorders>
                  <w:vAlign w:val="center"/>
                </w:tcPr>
                <w:p w14:paraId="5E5A163F">
                  <w:pPr>
                    <w:numPr>
                      <w:ilvl w:val="0"/>
                      <w:numId w:val="0"/>
                    </w:numPr>
                    <w:spacing w:line="360" w:lineRule="auto"/>
                    <w:jc w:val="center"/>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《施工场地扬尘排放标准》（DB32/4437-2022）</w:t>
                  </w:r>
                </w:p>
              </w:tc>
            </w:tr>
            <w:tr w14:paraId="70D9C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tcBorders>
                    <w:tl2br w:val="nil"/>
                    <w:tr2bl w:val="nil"/>
                  </w:tcBorders>
                  <w:vAlign w:val="center"/>
                </w:tcPr>
                <w:p w14:paraId="6C4D7BBB">
                  <w:pPr>
                    <w:numPr>
                      <w:ilvl w:val="0"/>
                      <w:numId w:val="0"/>
                    </w:numPr>
                    <w:spacing w:line="360" w:lineRule="auto"/>
                    <w:jc w:val="center"/>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PM</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10</w:t>
                  </w:r>
                </w:p>
              </w:tc>
              <w:tc>
                <w:tcPr>
                  <w:tcW w:w="3825" w:type="dxa"/>
                  <w:tcBorders>
                    <w:tl2br w:val="nil"/>
                    <w:tr2bl w:val="nil"/>
                  </w:tcBorders>
                  <w:vAlign w:val="center"/>
                </w:tcPr>
                <w:p w14:paraId="393DE0D2">
                  <w:pPr>
                    <w:numPr>
                      <w:ilvl w:val="0"/>
                      <w:numId w:val="0"/>
                    </w:numPr>
                    <w:spacing w:line="360" w:lineRule="auto"/>
                    <w:jc w:val="center"/>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80</w:t>
                  </w:r>
                </w:p>
              </w:tc>
              <w:tc>
                <w:tcPr>
                  <w:tcW w:w="3382" w:type="dxa"/>
                  <w:vMerge w:val="continue"/>
                  <w:tcBorders>
                    <w:tl2br w:val="nil"/>
                    <w:tr2bl w:val="nil"/>
                  </w:tcBorders>
                  <w:vAlign w:val="center"/>
                </w:tcPr>
                <w:p w14:paraId="417368F5">
                  <w:pPr>
                    <w:numPr>
                      <w:ilvl w:val="0"/>
                      <w:numId w:val="0"/>
                    </w:numPr>
                    <w:spacing w:line="360" w:lineRule="auto"/>
                    <w:jc w:val="center"/>
                    <w:rPr>
                      <w:rFonts w:hint="default" w:ascii="Times New Roman" w:hAnsi="Times New Roman" w:eastAsia="宋体" w:cs="Times New Roman"/>
                      <w:color w:val="000000" w:themeColor="text1"/>
                      <w:vertAlign w:val="baseline"/>
                      <w:lang w:val="en-US" w:eastAsia="zh-CN"/>
                      <w14:textFill>
                        <w14:solidFill>
                          <w14:schemeClr w14:val="tx1"/>
                        </w14:solidFill>
                      </w14:textFill>
                    </w:rPr>
                  </w:pPr>
                </w:p>
              </w:tc>
            </w:tr>
          </w:tbl>
          <w:p w14:paraId="6FC63EEB">
            <w:pPr>
              <w:numPr>
                <w:ilvl w:val="0"/>
                <w:numId w:val="0"/>
              </w:numPr>
              <w:spacing w:line="360" w:lineRule="auto"/>
              <w:ind w:leftChars="0" w:firstLine="42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②施工期废水排放标准 </w:t>
            </w:r>
          </w:p>
          <w:p w14:paraId="6B26ED3E">
            <w:pPr>
              <w:numPr>
                <w:ilvl w:val="0"/>
                <w:numId w:val="0"/>
              </w:numPr>
              <w:spacing w:line="360" w:lineRule="auto"/>
              <w:ind w:leftChars="0" w:firstLine="42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施工期废水主要为工人生活污水和建筑用水。废水排放执行《污水综合排放标准》（GB8978-1996）表 4 中三级标准，其中氨氮、总氮、总磷参照执行《污水排入城镇下水道水质标准》</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GB/T 31962-2015</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表 1 中 B等级标准</w:t>
            </w:r>
            <w:r>
              <w:rPr>
                <w:rFonts w:hint="eastAsia" w:ascii="Times New Roman" w:hAnsi="Times New Roman" w:cs="Times New Roman"/>
                <w:color w:val="000000" w:themeColor="text1"/>
                <w:lang w:val="en-US" w:eastAsia="zh-CN"/>
                <w14:textFill>
                  <w14:solidFill>
                    <w14:schemeClr w14:val="tx1"/>
                  </w14:solidFill>
                </w14:textFill>
              </w:rPr>
              <w:t>。</w:t>
            </w:r>
          </w:p>
          <w:p w14:paraId="1E950311">
            <w:pPr>
              <w:numPr>
                <w:ilvl w:val="0"/>
                <w:numId w:val="0"/>
              </w:numPr>
              <w:spacing w:line="360" w:lineRule="auto"/>
              <w:ind w:leftChars="0" w:firstLine="422" w:firstLineChars="200"/>
              <w:jc w:val="center"/>
              <w:rPr>
                <w:rFonts w:hint="default" w:ascii="Times New Roman" w:hAnsi="Times New Roman" w:cs="Times New Roman"/>
                <w:b/>
                <w:bCs/>
                <w:color w:val="000000" w:themeColor="text1"/>
                <w:vertAlign w:val="baseline"/>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表4-5 施工期废水污染物排放标准（单位：mg/L）</w:t>
            </w:r>
          </w:p>
          <w:tbl>
            <w:tblPr>
              <w:tblStyle w:val="4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5"/>
              <w:gridCol w:w="4136"/>
            </w:tblGrid>
            <w:tr w14:paraId="41D4F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241F4FC1">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污染因子</w:t>
                  </w:r>
                </w:p>
              </w:tc>
              <w:tc>
                <w:tcPr>
                  <w:tcW w:w="4136" w:type="dxa"/>
                  <w:tcBorders>
                    <w:tl2br w:val="nil"/>
                    <w:tr2bl w:val="nil"/>
                  </w:tcBorders>
                  <w:vAlign w:val="top"/>
                </w:tcPr>
                <w:p w14:paraId="4C59099B">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排放标准</w:t>
                  </w:r>
                </w:p>
              </w:tc>
            </w:tr>
            <w:tr w14:paraId="59F57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3CA151A7">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pH值（无量纲）</w:t>
                  </w:r>
                </w:p>
              </w:tc>
              <w:tc>
                <w:tcPr>
                  <w:tcW w:w="4136" w:type="dxa"/>
                  <w:tcBorders>
                    <w:tl2br w:val="nil"/>
                    <w:tr2bl w:val="nil"/>
                  </w:tcBorders>
                  <w:vAlign w:val="top"/>
                </w:tcPr>
                <w:p w14:paraId="04C582EB">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6-9</w:t>
                  </w:r>
                </w:p>
              </w:tc>
            </w:tr>
            <w:tr w14:paraId="163B7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40AAEF79">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COD</w:t>
                  </w:r>
                </w:p>
              </w:tc>
              <w:tc>
                <w:tcPr>
                  <w:tcW w:w="4136" w:type="dxa"/>
                  <w:tcBorders>
                    <w:tl2br w:val="nil"/>
                    <w:tr2bl w:val="nil"/>
                  </w:tcBorders>
                  <w:vAlign w:val="top"/>
                </w:tcPr>
                <w:p w14:paraId="78986345">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500</w:t>
                  </w:r>
                </w:p>
              </w:tc>
            </w:tr>
            <w:tr w14:paraId="23993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421D5C03">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SS</w:t>
                  </w:r>
                </w:p>
              </w:tc>
              <w:tc>
                <w:tcPr>
                  <w:tcW w:w="4136" w:type="dxa"/>
                  <w:tcBorders>
                    <w:tl2br w:val="nil"/>
                    <w:tr2bl w:val="nil"/>
                  </w:tcBorders>
                  <w:vAlign w:val="top"/>
                </w:tcPr>
                <w:p w14:paraId="78953D9B">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400</w:t>
                  </w:r>
                </w:p>
              </w:tc>
            </w:tr>
            <w:tr w14:paraId="31690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18916345">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NH3-N</w:t>
                  </w:r>
                </w:p>
              </w:tc>
              <w:tc>
                <w:tcPr>
                  <w:tcW w:w="4136" w:type="dxa"/>
                  <w:tcBorders>
                    <w:tl2br w:val="nil"/>
                    <w:tr2bl w:val="nil"/>
                  </w:tcBorders>
                  <w:vAlign w:val="top"/>
                </w:tcPr>
                <w:p w14:paraId="2141C19D">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45</w:t>
                  </w:r>
                </w:p>
              </w:tc>
            </w:tr>
            <w:tr w14:paraId="2EE08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688F16AE">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TN</w:t>
                  </w:r>
                </w:p>
              </w:tc>
              <w:tc>
                <w:tcPr>
                  <w:tcW w:w="4136" w:type="dxa"/>
                  <w:tcBorders>
                    <w:tl2br w:val="nil"/>
                    <w:tr2bl w:val="nil"/>
                  </w:tcBorders>
                  <w:vAlign w:val="top"/>
                </w:tcPr>
                <w:p w14:paraId="0D9CD89C">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70</w:t>
                  </w:r>
                </w:p>
              </w:tc>
            </w:tr>
            <w:tr w14:paraId="0E8BF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05A7AB50">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TP</w:t>
                  </w:r>
                </w:p>
              </w:tc>
              <w:tc>
                <w:tcPr>
                  <w:tcW w:w="4136" w:type="dxa"/>
                  <w:tcBorders>
                    <w:tl2br w:val="nil"/>
                    <w:tr2bl w:val="nil"/>
                  </w:tcBorders>
                  <w:vAlign w:val="top"/>
                </w:tcPr>
                <w:p w14:paraId="1075BE0B">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8</w:t>
                  </w:r>
                </w:p>
              </w:tc>
            </w:tr>
          </w:tbl>
          <w:p w14:paraId="32575229">
            <w:pPr>
              <w:numPr>
                <w:ilvl w:val="0"/>
                <w:numId w:val="0"/>
              </w:numPr>
              <w:spacing w:line="360" w:lineRule="auto"/>
              <w:ind w:leftChars="0" w:firstLine="420" w:firstLineChars="20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③施工期噪声排放标准 </w:t>
            </w:r>
          </w:p>
          <w:p w14:paraId="34259F8B">
            <w:pPr>
              <w:numPr>
                <w:ilvl w:val="0"/>
                <w:numId w:val="0"/>
              </w:numPr>
              <w:spacing w:line="360" w:lineRule="auto"/>
              <w:ind w:leftChars="0" w:firstLine="420" w:firstLineChars="20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施工期噪声排放执行《建筑施工场界环境噪声排放标准》（GB12523-2011）表1中排放限值标准。 </w:t>
            </w:r>
          </w:p>
          <w:p w14:paraId="20511A0D">
            <w:pPr>
              <w:numPr>
                <w:ilvl w:val="0"/>
                <w:numId w:val="0"/>
              </w:numPr>
              <w:spacing w:line="360" w:lineRule="auto"/>
              <w:ind w:leftChars="0" w:firstLine="422" w:firstLineChars="200"/>
              <w:jc w:val="center"/>
              <w:rPr>
                <w:rFonts w:hint="default" w:ascii="Times New Roman" w:hAnsi="Times New Roman" w:cs="Times New Roman"/>
                <w:b/>
                <w:bCs/>
                <w:color w:val="000000" w:themeColor="text1"/>
                <w:vertAlign w:val="baseline"/>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表4-6 施工期噪声排放标准（单位：dB（A））</w:t>
            </w:r>
          </w:p>
          <w:tbl>
            <w:tblPr>
              <w:tblStyle w:val="4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5"/>
              <w:gridCol w:w="4136"/>
            </w:tblGrid>
            <w:tr w14:paraId="53C9F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35" w:type="dxa"/>
                  <w:tcBorders>
                    <w:tl2br w:val="nil"/>
                    <w:tr2bl w:val="nil"/>
                  </w:tcBorders>
                  <w:vAlign w:val="top"/>
                </w:tcPr>
                <w:p w14:paraId="697F1D38">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昼间</w:t>
                  </w:r>
                </w:p>
              </w:tc>
              <w:tc>
                <w:tcPr>
                  <w:tcW w:w="4136" w:type="dxa"/>
                  <w:tcBorders>
                    <w:tl2br w:val="nil"/>
                    <w:tr2bl w:val="nil"/>
                  </w:tcBorders>
                  <w:vAlign w:val="top"/>
                </w:tcPr>
                <w:p w14:paraId="4386E380">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夜间</w:t>
                  </w:r>
                </w:p>
              </w:tc>
            </w:tr>
            <w:tr w14:paraId="17D62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5" w:type="dxa"/>
                  <w:tcBorders>
                    <w:tl2br w:val="nil"/>
                    <w:tr2bl w:val="nil"/>
                  </w:tcBorders>
                  <w:vAlign w:val="top"/>
                </w:tcPr>
                <w:p w14:paraId="21AEF372">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70</w:t>
                  </w:r>
                </w:p>
              </w:tc>
              <w:tc>
                <w:tcPr>
                  <w:tcW w:w="4136" w:type="dxa"/>
                  <w:tcBorders>
                    <w:tl2br w:val="nil"/>
                    <w:tr2bl w:val="nil"/>
                  </w:tcBorders>
                  <w:vAlign w:val="top"/>
                </w:tcPr>
                <w:p w14:paraId="7B75EA19">
                  <w:pPr>
                    <w:numPr>
                      <w:ilvl w:val="0"/>
                      <w:numId w:val="0"/>
                    </w:numPr>
                    <w:spacing w:line="360" w:lineRule="auto"/>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55</w:t>
                  </w:r>
                </w:p>
              </w:tc>
            </w:tr>
          </w:tbl>
          <w:p w14:paraId="06597B9C">
            <w:pPr>
              <w:numPr>
                <w:ilvl w:val="0"/>
                <w:numId w:val="0"/>
              </w:numPr>
              <w:spacing w:line="360" w:lineRule="auto"/>
              <w:ind w:leftChars="0" w:firstLine="420" w:firstLineChars="200"/>
              <w:jc w:val="center"/>
              <w:rPr>
                <w:rFonts w:hint="default" w:ascii="Times New Roman" w:hAnsi="Times New Roman" w:cs="Times New Roman"/>
                <w:color w:val="000000" w:themeColor="text1"/>
                <w:lang w:val="en-US" w:eastAsia="zh-CN"/>
                <w14:textFill>
                  <w14:solidFill>
                    <w14:schemeClr w14:val="tx1"/>
                  </w14:solidFill>
                </w14:textFill>
              </w:rPr>
            </w:pPr>
          </w:p>
          <w:p w14:paraId="3E6F3D92">
            <w:pPr>
              <w:pStyle w:val="4"/>
              <w:rPr>
                <w:rFonts w:hint="eastAsia"/>
                <w:color w:val="000000" w:themeColor="text1"/>
                <w:lang w:val="en-US" w:eastAsia="zh-CN"/>
                <w14:textFill>
                  <w14:solidFill>
                    <w14:schemeClr w14:val="tx1"/>
                  </w14:solidFill>
                </w14:textFill>
              </w:rPr>
            </w:pPr>
          </w:p>
          <w:p w14:paraId="1CD9F994">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p>
        </w:tc>
      </w:tr>
      <w:tr w14:paraId="4AA3A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94" w:type="dxa"/>
            <w:noWrap w:val="0"/>
            <w:tcMar>
              <w:left w:w="28" w:type="dxa"/>
              <w:right w:w="28" w:type="dxa"/>
            </w:tcMar>
            <w:vAlign w:val="center"/>
          </w:tcPr>
          <w:p w14:paraId="3720CACB">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运营</w:t>
            </w:r>
          </w:p>
          <w:p w14:paraId="5286407F">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期环</w:t>
            </w:r>
          </w:p>
          <w:p w14:paraId="5AF3ACD6">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境影</w:t>
            </w:r>
          </w:p>
          <w:p w14:paraId="69FDE6F8">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响和</w:t>
            </w:r>
          </w:p>
          <w:p w14:paraId="72CB7FFE">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保护</w:t>
            </w:r>
          </w:p>
          <w:p w14:paraId="1E1DDE1D">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措施</w:t>
            </w:r>
          </w:p>
        </w:tc>
        <w:tc>
          <w:tcPr>
            <w:tcW w:w="8487" w:type="dxa"/>
            <w:noWrap w:val="0"/>
            <w:vAlign w:val="center"/>
          </w:tcPr>
          <w:p w14:paraId="17E129D5">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1、废气</w:t>
            </w:r>
          </w:p>
          <w:p w14:paraId="369361D2">
            <w:pPr>
              <w:pStyle w:val="4"/>
              <w:spacing w:before="0" w:after="0" w:line="360" w:lineRule="auto"/>
              <w:ind w:firstLine="420" w:firstLineChars="20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（1）污染工序及源强分析</w:t>
            </w:r>
          </w:p>
          <w:p w14:paraId="716EFC8F">
            <w:pPr>
              <w:pStyle w:val="4"/>
              <w:spacing w:before="0" w:after="0" w:line="360" w:lineRule="auto"/>
              <w:ind w:firstLine="420" w:firstLineChars="20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本项目废气主要为</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天然气燃烧废气</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14:paraId="4AC8D25A">
            <w:pPr>
              <w:pStyle w:val="4"/>
              <w:spacing w:before="0" w:after="0" w:line="360" w:lineRule="auto"/>
              <w:ind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①天然气燃烧废气</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G1</w:t>
            </w:r>
          </w:p>
          <w:p w14:paraId="65C7911F">
            <w:pPr>
              <w:spacing w:line="360" w:lineRule="auto"/>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服装生产时，在</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裁片熨烫和成品熨烫工序需要使用蒸汽，采用天然气锅炉供热产生蒸汽，</w:t>
            </w:r>
            <w:r>
              <w:rPr>
                <w:rFonts w:hint="default" w:ascii="Times New Roman" w:hAnsi="Times New Roman" w:cs="Times New Roman"/>
                <w:color w:val="000000" w:themeColor="text1"/>
                <w14:textFill>
                  <w14:solidFill>
                    <w14:schemeClr w14:val="tx1"/>
                  </w14:solidFill>
                </w14:textFill>
              </w:rPr>
              <w:t>天然气年使用量为</w:t>
            </w:r>
            <w:r>
              <w:rPr>
                <w:rFonts w:hint="default"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万m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/a，废气量的产污系数参考《排放源统计调查产排污核算方法和系数手册》4430 热力生产和供应行业的产污系数，烟尘</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SO2、NOx的产污系数参考《排污许可证申请与核发技术规范 锅炉》（HJ953-2018）表F.3 燃气工业锅炉的废气产排污系数，</w:t>
            </w:r>
            <w:r>
              <w:rPr>
                <w:rFonts w:hint="default" w:ascii="Times New Roman" w:hAnsi="Times New Roman" w:cs="Times New Roman"/>
                <w:color w:val="000000" w:themeColor="text1"/>
                <w14:textFill>
                  <w14:solidFill>
                    <w14:schemeClr w14:val="tx1"/>
                  </w14:solidFill>
                </w14:textFill>
              </w:rPr>
              <w:t>具体产污情况见表4-</w:t>
            </w:r>
            <w:r>
              <w:rPr>
                <w:rFonts w:hint="eastAsia"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w:t>
            </w:r>
          </w:p>
          <w:p w14:paraId="752D0E03">
            <w:pPr>
              <w:pStyle w:val="16"/>
              <w:spacing w:line="240" w:lineRule="auto"/>
              <w:ind w:firstLine="422" w:firstLineChars="20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14:textFill>
                  <w14:solidFill>
                    <w14:schemeClr w14:val="tx1"/>
                  </w14:solidFill>
                </w14:textFill>
              </w:rPr>
              <w:t xml:space="preserve"> 天然气燃烧烟气产生及排放情况</w:t>
            </w:r>
          </w:p>
          <w:tbl>
            <w:tblPr>
              <w:tblStyle w:val="4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1506"/>
              <w:gridCol w:w="1930"/>
              <w:gridCol w:w="1930"/>
              <w:gridCol w:w="1219"/>
              <w:gridCol w:w="1683"/>
            </w:tblGrid>
            <w:tr w14:paraId="117D0C7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910" w:type="pct"/>
                  <w:tcBorders>
                    <w:tl2br w:val="nil"/>
                    <w:tr2bl w:val="nil"/>
                  </w:tcBorders>
                  <w:vAlign w:val="center"/>
                </w:tcPr>
                <w:p w14:paraId="6831AB44">
                  <w:pPr>
                    <w:adjustRightInd w:val="0"/>
                    <w:snapToGrid w:val="0"/>
                    <w:spacing w:line="240" w:lineRule="exact"/>
                    <w:jc w:val="center"/>
                    <w:rPr>
                      <w:rFonts w:hint="default" w:ascii="Times New Roman" w:hAnsi="Times New Roman" w:cs="Times New Roman"/>
                      <w:b/>
                      <w:bCs/>
                      <w:snapToGrid w:val="0"/>
                      <w:color w:val="000000" w:themeColor="text1"/>
                      <w:kern w:val="0"/>
                      <w:szCs w:val="21"/>
                      <w14:textFill>
                        <w14:solidFill>
                          <w14:schemeClr w14:val="tx1"/>
                        </w14:solidFill>
                      </w14:textFill>
                    </w:rPr>
                  </w:pPr>
                  <w:r>
                    <w:rPr>
                      <w:rFonts w:hint="default" w:ascii="Times New Roman" w:hAnsi="Times New Roman" w:cs="Times New Roman"/>
                      <w:b/>
                      <w:bCs/>
                      <w:snapToGrid w:val="0"/>
                      <w:color w:val="000000" w:themeColor="text1"/>
                      <w:kern w:val="0"/>
                      <w:szCs w:val="21"/>
                      <w14:textFill>
                        <w14:solidFill>
                          <w14:schemeClr w14:val="tx1"/>
                        </w14:solidFill>
                      </w14:textFill>
                    </w:rPr>
                    <w:t>污染物指标</w:t>
                  </w:r>
                </w:p>
              </w:tc>
              <w:tc>
                <w:tcPr>
                  <w:tcW w:w="1167" w:type="pct"/>
                  <w:tcBorders>
                    <w:tl2br w:val="nil"/>
                    <w:tr2bl w:val="nil"/>
                  </w:tcBorders>
                  <w:vAlign w:val="center"/>
                </w:tcPr>
                <w:p w14:paraId="1CD7AA89">
                  <w:pPr>
                    <w:adjustRightInd w:val="0"/>
                    <w:snapToGrid w:val="0"/>
                    <w:spacing w:line="240" w:lineRule="exact"/>
                    <w:jc w:val="center"/>
                    <w:rPr>
                      <w:rFonts w:hint="default" w:ascii="Times New Roman" w:hAnsi="Times New Roman" w:cs="Times New Roman"/>
                      <w:b/>
                      <w:bCs/>
                      <w:snapToGrid w:val="0"/>
                      <w:color w:val="000000" w:themeColor="text1"/>
                      <w:kern w:val="0"/>
                      <w:szCs w:val="21"/>
                      <w14:textFill>
                        <w14:solidFill>
                          <w14:schemeClr w14:val="tx1"/>
                        </w14:solidFill>
                      </w14:textFill>
                    </w:rPr>
                  </w:pPr>
                  <w:r>
                    <w:rPr>
                      <w:rFonts w:hint="default" w:ascii="Times New Roman" w:hAnsi="Times New Roman" w:cs="Times New Roman"/>
                      <w:b/>
                      <w:bCs/>
                      <w:snapToGrid w:val="0"/>
                      <w:color w:val="000000" w:themeColor="text1"/>
                      <w:kern w:val="0"/>
                      <w:szCs w:val="21"/>
                      <w14:textFill>
                        <w14:solidFill>
                          <w14:schemeClr w14:val="tx1"/>
                        </w14:solidFill>
                      </w14:textFill>
                    </w:rPr>
                    <w:t>产污系数（kg/km3）</w:t>
                  </w:r>
                </w:p>
              </w:tc>
              <w:tc>
                <w:tcPr>
                  <w:tcW w:w="1167" w:type="pct"/>
                  <w:tcBorders>
                    <w:tl2br w:val="nil"/>
                    <w:tr2bl w:val="nil"/>
                  </w:tcBorders>
                  <w:vAlign w:val="center"/>
                </w:tcPr>
                <w:p w14:paraId="0E975BB4">
                  <w:pPr>
                    <w:adjustRightInd w:val="0"/>
                    <w:snapToGrid w:val="0"/>
                    <w:spacing w:line="240" w:lineRule="exact"/>
                    <w:jc w:val="center"/>
                    <w:rPr>
                      <w:rFonts w:hint="default" w:ascii="Times New Roman" w:hAnsi="Times New Roman" w:cs="Times New Roman"/>
                      <w:b/>
                      <w:bCs/>
                      <w:snapToGrid w:val="0"/>
                      <w:color w:val="000000" w:themeColor="text1"/>
                      <w:kern w:val="0"/>
                      <w:szCs w:val="21"/>
                      <w14:textFill>
                        <w14:solidFill>
                          <w14:schemeClr w14:val="tx1"/>
                        </w14:solidFill>
                      </w14:textFill>
                    </w:rPr>
                  </w:pPr>
                  <w:r>
                    <w:rPr>
                      <w:rFonts w:hint="default" w:ascii="Times New Roman" w:hAnsi="Times New Roman" w:cs="Times New Roman"/>
                      <w:b/>
                      <w:bCs/>
                      <w:snapToGrid w:val="0"/>
                      <w:color w:val="000000" w:themeColor="text1"/>
                      <w:kern w:val="0"/>
                      <w:szCs w:val="21"/>
                      <w14:textFill>
                        <w14:solidFill>
                          <w14:schemeClr w14:val="tx1"/>
                        </w14:solidFill>
                      </w14:textFill>
                    </w:rPr>
                    <w:t>产生量</w:t>
                  </w:r>
                </w:p>
              </w:tc>
              <w:tc>
                <w:tcPr>
                  <w:tcW w:w="737" w:type="pct"/>
                  <w:tcBorders>
                    <w:tl2br w:val="nil"/>
                    <w:tr2bl w:val="nil"/>
                  </w:tcBorders>
                  <w:vAlign w:val="center"/>
                </w:tcPr>
                <w:p w14:paraId="332496B4">
                  <w:pPr>
                    <w:adjustRightInd w:val="0"/>
                    <w:snapToGrid w:val="0"/>
                    <w:spacing w:line="240" w:lineRule="exact"/>
                    <w:jc w:val="center"/>
                    <w:rPr>
                      <w:rFonts w:hint="default" w:ascii="Times New Roman" w:hAnsi="Times New Roman" w:cs="Times New Roman"/>
                      <w:b/>
                      <w:bCs/>
                      <w:snapToGrid w:val="0"/>
                      <w:color w:val="000000" w:themeColor="text1"/>
                      <w:kern w:val="0"/>
                      <w:szCs w:val="21"/>
                      <w14:textFill>
                        <w14:solidFill>
                          <w14:schemeClr w14:val="tx1"/>
                        </w14:solidFill>
                      </w14:textFill>
                    </w:rPr>
                  </w:pPr>
                  <w:r>
                    <w:rPr>
                      <w:rFonts w:hint="default" w:ascii="Times New Roman" w:hAnsi="Times New Roman" w:cs="Times New Roman"/>
                      <w:b/>
                      <w:bCs/>
                      <w:snapToGrid w:val="0"/>
                      <w:color w:val="000000" w:themeColor="text1"/>
                      <w:kern w:val="0"/>
                      <w:szCs w:val="21"/>
                      <w14:textFill>
                        <w14:solidFill>
                          <w14:schemeClr w14:val="tx1"/>
                        </w14:solidFill>
                      </w14:textFill>
                    </w:rPr>
                    <w:t>防治措施</w:t>
                  </w:r>
                </w:p>
              </w:tc>
              <w:tc>
                <w:tcPr>
                  <w:tcW w:w="1017" w:type="pct"/>
                  <w:tcBorders>
                    <w:tl2br w:val="nil"/>
                    <w:tr2bl w:val="nil"/>
                  </w:tcBorders>
                  <w:vAlign w:val="center"/>
                </w:tcPr>
                <w:p w14:paraId="11061A7F">
                  <w:pPr>
                    <w:adjustRightInd w:val="0"/>
                    <w:snapToGrid w:val="0"/>
                    <w:spacing w:line="240" w:lineRule="exact"/>
                    <w:jc w:val="center"/>
                    <w:rPr>
                      <w:rFonts w:hint="default" w:ascii="Times New Roman" w:hAnsi="Times New Roman" w:cs="Times New Roman"/>
                      <w:b/>
                      <w:bCs/>
                      <w:snapToGrid w:val="0"/>
                      <w:color w:val="000000" w:themeColor="text1"/>
                      <w:kern w:val="0"/>
                      <w:szCs w:val="21"/>
                      <w14:textFill>
                        <w14:solidFill>
                          <w14:schemeClr w14:val="tx1"/>
                        </w14:solidFill>
                      </w14:textFill>
                    </w:rPr>
                  </w:pPr>
                  <w:r>
                    <w:rPr>
                      <w:rFonts w:hint="default" w:ascii="Times New Roman" w:hAnsi="Times New Roman" w:cs="Times New Roman"/>
                      <w:b/>
                      <w:bCs/>
                      <w:snapToGrid w:val="0"/>
                      <w:color w:val="000000" w:themeColor="text1"/>
                      <w:kern w:val="0"/>
                      <w:szCs w:val="21"/>
                      <w14:textFill>
                        <w14:solidFill>
                          <w14:schemeClr w14:val="tx1"/>
                        </w14:solidFill>
                      </w14:textFill>
                    </w:rPr>
                    <w:t>排放量</w:t>
                  </w:r>
                </w:p>
              </w:tc>
            </w:tr>
            <w:tr w14:paraId="26FD9C8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910" w:type="pct"/>
                  <w:tcBorders>
                    <w:tl2br w:val="nil"/>
                    <w:tr2bl w:val="nil"/>
                  </w:tcBorders>
                  <w:vAlign w:val="center"/>
                </w:tcPr>
                <w:p w14:paraId="17C8C412">
                  <w:pPr>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工业废气量</w:t>
                  </w:r>
                </w:p>
              </w:tc>
              <w:tc>
                <w:tcPr>
                  <w:tcW w:w="1167" w:type="pct"/>
                  <w:tcBorders>
                    <w:tl2br w:val="nil"/>
                    <w:tr2bl w:val="nil"/>
                  </w:tcBorders>
                  <w:vAlign w:val="center"/>
                </w:tcPr>
                <w:p w14:paraId="597D9956">
                  <w:pPr>
                    <w:jc w:val="center"/>
                    <w:rPr>
                      <w:rFonts w:hint="default" w:ascii="Times New Roman" w:hAnsi="Times New Roman" w:cs="Times New Roman"/>
                      <w:b w:val="0"/>
                      <w:bCs w:val="0"/>
                      <w:snapToGrid w:val="0"/>
                      <w:color w:val="000000" w:themeColor="text1"/>
                      <w:kern w:val="0"/>
                      <w:szCs w:val="21"/>
                      <w14:textFill>
                        <w14:solidFill>
                          <w14:schemeClr w14:val="tx1"/>
                        </w14:solidFill>
                      </w14:textFill>
                    </w:rPr>
                  </w:pPr>
                  <w:r>
                    <w:rPr>
                      <w:rFonts w:hint="default" w:ascii="Times New Roman" w:hAnsi="Times New Roman" w:cs="Times New Roman"/>
                      <w:b w:val="0"/>
                      <w:bCs w:val="0"/>
                      <w:snapToGrid w:val="0"/>
                      <w:color w:val="000000" w:themeColor="text1"/>
                      <w:kern w:val="0"/>
                      <w:szCs w:val="21"/>
                      <w14:textFill>
                        <w14:solidFill>
                          <w14:schemeClr w14:val="tx1"/>
                        </w14:solidFill>
                      </w14:textFill>
                    </w:rPr>
                    <w:t>107753</w:t>
                  </w:r>
                  <w:r>
                    <w:rPr>
                      <w:rFonts w:hint="eastAsia" w:ascii="Times New Roman" w:hAnsi="Times New Roman" w:cs="Times New Roman"/>
                      <w:b w:val="0"/>
                      <w:bCs w:val="0"/>
                      <w:snapToGrid w:val="0"/>
                      <w:color w:val="000000" w:themeColor="text1"/>
                      <w:kern w:val="0"/>
                      <w:szCs w:val="21"/>
                      <w:lang w:val="en-US" w:eastAsia="zh-CN"/>
                      <w14:textFill>
                        <w14:solidFill>
                          <w14:schemeClr w14:val="tx1"/>
                        </w14:solidFill>
                      </w14:textFill>
                    </w:rPr>
                    <w:t>m3</w:t>
                  </w:r>
                  <w:r>
                    <w:rPr>
                      <w:rFonts w:hint="default" w:ascii="Times New Roman" w:hAnsi="Times New Roman" w:cs="Times New Roman"/>
                      <w:b w:val="0"/>
                      <w:bCs w:val="0"/>
                      <w:snapToGrid w:val="0"/>
                      <w:color w:val="000000" w:themeColor="text1"/>
                      <w:kern w:val="0"/>
                      <w:szCs w:val="21"/>
                      <w14:textFill>
                        <w14:solidFill>
                          <w14:schemeClr w14:val="tx1"/>
                        </w14:solidFill>
                      </w14:textFill>
                    </w:rPr>
                    <w:t>/</w:t>
                  </w:r>
                  <w:r>
                    <w:rPr>
                      <w:rFonts w:hint="eastAsia" w:ascii="Times New Roman" w:hAnsi="Times New Roman" w:cs="Times New Roman"/>
                      <w:b w:val="0"/>
                      <w:bCs w:val="0"/>
                      <w:snapToGrid w:val="0"/>
                      <w:color w:val="000000" w:themeColor="text1"/>
                      <w:kern w:val="0"/>
                      <w:szCs w:val="21"/>
                      <w:lang w:val="en-US" w:eastAsia="zh-CN"/>
                      <w14:textFill>
                        <w14:solidFill>
                          <w14:schemeClr w14:val="tx1"/>
                        </w14:solidFill>
                      </w14:textFill>
                    </w:rPr>
                    <w:t>万</w:t>
                  </w:r>
                  <w:r>
                    <w:rPr>
                      <w:rFonts w:hint="default" w:ascii="Times New Roman" w:hAnsi="Times New Roman" w:cs="Times New Roman"/>
                      <w:b w:val="0"/>
                      <w:bCs w:val="0"/>
                      <w:snapToGrid w:val="0"/>
                      <w:color w:val="000000" w:themeColor="text1"/>
                      <w:kern w:val="0"/>
                      <w:szCs w:val="21"/>
                      <w14:textFill>
                        <w14:solidFill>
                          <w14:schemeClr w14:val="tx1"/>
                        </w14:solidFill>
                      </w14:textFill>
                    </w:rPr>
                    <w:t>m3</w:t>
                  </w:r>
                </w:p>
              </w:tc>
              <w:tc>
                <w:tcPr>
                  <w:tcW w:w="1167" w:type="pct"/>
                  <w:tcBorders>
                    <w:tl2br w:val="nil"/>
                    <w:tr2bl w:val="nil"/>
                  </w:tcBorders>
                  <w:vAlign w:val="center"/>
                </w:tcPr>
                <w:p w14:paraId="7EEC7A77">
                  <w:pPr>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5387650</w:t>
                  </w:r>
                  <w:r>
                    <w:rPr>
                      <w:rFonts w:hint="default" w:ascii="Times New Roman" w:hAnsi="Times New Roman" w:cs="Times New Roman"/>
                      <w:snapToGrid w:val="0"/>
                      <w:color w:val="000000" w:themeColor="text1"/>
                      <w:kern w:val="0"/>
                      <w:szCs w:val="21"/>
                      <w14:textFill>
                        <w14:solidFill>
                          <w14:schemeClr w14:val="tx1"/>
                        </w14:solidFill>
                      </w14:textFill>
                    </w:rPr>
                    <w:t>Nm3/a</w:t>
                  </w:r>
                </w:p>
              </w:tc>
              <w:tc>
                <w:tcPr>
                  <w:tcW w:w="737" w:type="pct"/>
                  <w:vMerge w:val="restart"/>
                  <w:tcBorders>
                    <w:tl2br w:val="nil"/>
                    <w:tr2bl w:val="nil"/>
                  </w:tcBorders>
                  <w:vAlign w:val="center"/>
                </w:tcPr>
                <w:p w14:paraId="01268242">
                  <w:pPr>
                    <w:adjustRightInd w:val="0"/>
                    <w:snapToGrid w:val="0"/>
                    <w:spacing w:line="240" w:lineRule="exact"/>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低氮燃烧装置+排气筒DA00</w:t>
                  </w: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1</w:t>
                  </w:r>
                </w:p>
              </w:tc>
              <w:tc>
                <w:tcPr>
                  <w:tcW w:w="1017" w:type="pct"/>
                  <w:tcBorders>
                    <w:tl2br w:val="nil"/>
                    <w:tr2bl w:val="nil"/>
                  </w:tcBorders>
                  <w:vAlign w:val="center"/>
                </w:tcPr>
                <w:p w14:paraId="2ABED51B">
                  <w:pPr>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5387650</w:t>
                  </w:r>
                  <w:r>
                    <w:rPr>
                      <w:rFonts w:hint="default" w:ascii="Times New Roman" w:hAnsi="Times New Roman" w:cs="Times New Roman"/>
                      <w:snapToGrid w:val="0"/>
                      <w:color w:val="000000" w:themeColor="text1"/>
                      <w:kern w:val="0"/>
                      <w:szCs w:val="21"/>
                      <w14:textFill>
                        <w14:solidFill>
                          <w14:schemeClr w14:val="tx1"/>
                        </w14:solidFill>
                      </w14:textFill>
                    </w:rPr>
                    <w:t>Nm3/a</w:t>
                  </w:r>
                </w:p>
              </w:tc>
            </w:tr>
            <w:tr w14:paraId="05C9D8F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910" w:type="pct"/>
                  <w:tcBorders>
                    <w:tl2br w:val="nil"/>
                    <w:tr2bl w:val="nil"/>
                  </w:tcBorders>
                  <w:vAlign w:val="center"/>
                </w:tcPr>
                <w:p w14:paraId="20849650">
                  <w:pPr>
                    <w:adjustRightInd w:val="0"/>
                    <w:snapToGrid w:val="0"/>
                    <w:spacing w:line="240" w:lineRule="exact"/>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SO</w:t>
                  </w:r>
                  <w:r>
                    <w:rPr>
                      <w:rFonts w:hint="default" w:ascii="Times New Roman" w:hAnsi="Times New Roman" w:cs="Times New Roman"/>
                      <w:snapToGrid w:val="0"/>
                      <w:color w:val="000000" w:themeColor="text1"/>
                      <w:kern w:val="0"/>
                      <w:szCs w:val="21"/>
                      <w:vertAlign w:val="subscript"/>
                      <w14:textFill>
                        <w14:solidFill>
                          <w14:schemeClr w14:val="tx1"/>
                        </w14:solidFill>
                      </w14:textFill>
                    </w:rPr>
                    <w:t>2</w:t>
                  </w:r>
                </w:p>
              </w:tc>
              <w:tc>
                <w:tcPr>
                  <w:tcW w:w="1167" w:type="pct"/>
                  <w:tcBorders>
                    <w:tl2br w:val="nil"/>
                    <w:tr2bl w:val="nil"/>
                  </w:tcBorders>
                  <w:vAlign w:val="center"/>
                </w:tcPr>
                <w:p w14:paraId="5DCDF3BC">
                  <w:pPr>
                    <w:adjustRightInd w:val="0"/>
                    <w:snapToGrid w:val="0"/>
                    <w:spacing w:line="240" w:lineRule="exact"/>
                    <w:jc w:val="center"/>
                    <w:rPr>
                      <w:rFonts w:hint="default" w:ascii="Times New Roman" w:hAnsi="Times New Roman" w:cs="Times New Roman"/>
                      <w:b w:val="0"/>
                      <w:bCs w:val="0"/>
                      <w:snapToGrid w:val="0"/>
                      <w:color w:val="000000" w:themeColor="text1"/>
                      <w:kern w:val="0"/>
                      <w:szCs w:val="21"/>
                      <w14:textFill>
                        <w14:solidFill>
                          <w14:schemeClr w14:val="tx1"/>
                        </w14:solidFill>
                      </w14:textFill>
                    </w:rPr>
                  </w:pPr>
                  <w:r>
                    <w:rPr>
                      <w:rFonts w:hint="default" w:ascii="Times New Roman" w:hAnsi="Times New Roman" w:cs="Times New Roman"/>
                      <w:b w:val="0"/>
                      <w:bCs w:val="0"/>
                      <w:snapToGrid w:val="0"/>
                      <w:color w:val="000000" w:themeColor="text1"/>
                      <w:kern w:val="0"/>
                      <w:szCs w:val="21"/>
                      <w14:textFill>
                        <w14:solidFill>
                          <w14:schemeClr w14:val="tx1"/>
                        </w14:solidFill>
                      </w14:textFill>
                    </w:rPr>
                    <w:t>0.02Skg/</w:t>
                  </w:r>
                  <w:r>
                    <w:rPr>
                      <w:rFonts w:hint="eastAsia" w:ascii="Times New Roman" w:hAnsi="Times New Roman" w:cs="Times New Roman"/>
                      <w:b w:val="0"/>
                      <w:bCs w:val="0"/>
                      <w:snapToGrid w:val="0"/>
                      <w:color w:val="000000" w:themeColor="text1"/>
                      <w:kern w:val="0"/>
                      <w:szCs w:val="21"/>
                      <w:lang w:val="en-US" w:eastAsia="zh-CN"/>
                      <w14:textFill>
                        <w14:solidFill>
                          <w14:schemeClr w14:val="tx1"/>
                        </w14:solidFill>
                      </w14:textFill>
                    </w:rPr>
                    <w:t>万</w:t>
                  </w:r>
                  <w:r>
                    <w:rPr>
                      <w:rFonts w:hint="default" w:ascii="Times New Roman" w:hAnsi="Times New Roman" w:cs="Times New Roman"/>
                      <w:b w:val="0"/>
                      <w:bCs w:val="0"/>
                      <w:snapToGrid w:val="0"/>
                      <w:color w:val="000000" w:themeColor="text1"/>
                      <w:kern w:val="0"/>
                      <w:szCs w:val="21"/>
                      <w14:textFill>
                        <w14:solidFill>
                          <w14:schemeClr w14:val="tx1"/>
                        </w14:solidFill>
                      </w14:textFill>
                    </w:rPr>
                    <w:t>m3</w:t>
                  </w:r>
                </w:p>
              </w:tc>
              <w:tc>
                <w:tcPr>
                  <w:tcW w:w="1167" w:type="pct"/>
                  <w:tcBorders>
                    <w:tl2br w:val="nil"/>
                    <w:tr2bl w:val="nil"/>
                  </w:tcBorders>
                  <w:vAlign w:val="center"/>
                </w:tcPr>
                <w:p w14:paraId="46DA1592">
                  <w:pPr>
                    <w:adjustRightInd w:val="0"/>
                    <w:snapToGrid w:val="0"/>
                    <w:spacing w:line="240" w:lineRule="exact"/>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r>
                    <w:rPr>
                      <w:rFonts w:hint="default" w:ascii="Times New Roman" w:hAnsi="Times New Roman" w:cs="Times New Roman"/>
                      <w:snapToGrid w:val="0"/>
                      <w:color w:val="000000" w:themeColor="text1"/>
                      <w:kern w:val="0"/>
                      <w:szCs w:val="21"/>
                      <w14:textFill>
                        <w14:solidFill>
                          <w14:schemeClr w14:val="tx1"/>
                        </w14:solidFill>
                      </w14:textFill>
                    </w:rPr>
                    <w:t>t/a</w:t>
                  </w:r>
                </w:p>
              </w:tc>
              <w:tc>
                <w:tcPr>
                  <w:tcW w:w="737" w:type="pct"/>
                  <w:vMerge w:val="continue"/>
                  <w:tcBorders>
                    <w:tl2br w:val="nil"/>
                    <w:tr2bl w:val="nil"/>
                  </w:tcBorders>
                  <w:vAlign w:val="center"/>
                </w:tcPr>
                <w:p w14:paraId="46DEC050">
                  <w:pPr>
                    <w:adjustRightInd w:val="0"/>
                    <w:snapToGrid w:val="0"/>
                    <w:spacing w:line="240" w:lineRule="exact"/>
                    <w:jc w:val="center"/>
                    <w:rPr>
                      <w:rFonts w:hint="default" w:ascii="Times New Roman" w:hAnsi="Times New Roman" w:cs="Times New Roman"/>
                      <w:color w:val="000000" w:themeColor="text1"/>
                      <w:kern w:val="0"/>
                      <w:szCs w:val="21"/>
                      <w14:textFill>
                        <w14:solidFill>
                          <w14:schemeClr w14:val="tx1"/>
                        </w14:solidFill>
                      </w14:textFill>
                    </w:rPr>
                  </w:pPr>
                </w:p>
              </w:tc>
              <w:tc>
                <w:tcPr>
                  <w:tcW w:w="1017" w:type="pct"/>
                  <w:tcBorders>
                    <w:tl2br w:val="nil"/>
                    <w:tr2bl w:val="nil"/>
                  </w:tcBorders>
                  <w:vAlign w:val="center"/>
                </w:tcPr>
                <w:p w14:paraId="36EE38EC">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r>
                    <w:rPr>
                      <w:rFonts w:hint="default" w:ascii="Times New Roman" w:hAnsi="Times New Roman" w:cs="Times New Roman"/>
                      <w:snapToGrid w:val="0"/>
                      <w:color w:val="000000" w:themeColor="text1"/>
                      <w:kern w:val="0"/>
                      <w:szCs w:val="21"/>
                      <w14:textFill>
                        <w14:solidFill>
                          <w14:schemeClr w14:val="tx1"/>
                        </w14:solidFill>
                      </w14:textFill>
                    </w:rPr>
                    <w:t>t/a</w:t>
                  </w:r>
                </w:p>
              </w:tc>
            </w:tr>
            <w:tr w14:paraId="1404558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910" w:type="pct"/>
                  <w:tcBorders>
                    <w:tl2br w:val="nil"/>
                    <w:tr2bl w:val="nil"/>
                  </w:tcBorders>
                  <w:vAlign w:val="center"/>
                </w:tcPr>
                <w:p w14:paraId="42424288">
                  <w:pPr>
                    <w:adjustRightInd w:val="0"/>
                    <w:snapToGrid w:val="0"/>
                    <w:spacing w:line="240" w:lineRule="exact"/>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烟尘</w:t>
                  </w:r>
                </w:p>
              </w:tc>
              <w:tc>
                <w:tcPr>
                  <w:tcW w:w="1167" w:type="pct"/>
                  <w:tcBorders>
                    <w:tl2br w:val="nil"/>
                    <w:tr2bl w:val="nil"/>
                  </w:tcBorders>
                  <w:vAlign w:val="center"/>
                </w:tcPr>
                <w:p w14:paraId="747F7B9F">
                  <w:pPr>
                    <w:adjustRightInd w:val="0"/>
                    <w:snapToGrid w:val="0"/>
                    <w:spacing w:line="240" w:lineRule="exact"/>
                    <w:jc w:val="center"/>
                    <w:rPr>
                      <w:rFonts w:hint="default" w:ascii="Times New Roman" w:hAnsi="Times New Roman" w:cs="Times New Roman"/>
                      <w:b w:val="0"/>
                      <w:bCs w:val="0"/>
                      <w:snapToGrid w:val="0"/>
                      <w:color w:val="000000" w:themeColor="text1"/>
                      <w:kern w:val="0"/>
                      <w:szCs w:val="21"/>
                      <w14:textFill>
                        <w14:solidFill>
                          <w14:schemeClr w14:val="tx1"/>
                        </w14:solidFill>
                      </w14:textFill>
                    </w:rPr>
                  </w:pPr>
                  <w:r>
                    <w:rPr>
                      <w:rFonts w:hint="default" w:ascii="Times New Roman" w:hAnsi="Times New Roman" w:cs="Times New Roman"/>
                      <w:b w:val="0"/>
                      <w:bCs w:val="0"/>
                      <w:snapToGrid w:val="0"/>
                      <w:color w:val="000000" w:themeColor="text1"/>
                      <w:kern w:val="0"/>
                      <w:szCs w:val="21"/>
                      <w14:textFill>
                        <w14:solidFill>
                          <w14:schemeClr w14:val="tx1"/>
                        </w14:solidFill>
                      </w14:textFill>
                    </w:rPr>
                    <w:t>2.</w:t>
                  </w:r>
                  <w:r>
                    <w:rPr>
                      <w:rFonts w:hint="eastAsia" w:ascii="Times New Roman" w:hAnsi="Times New Roman" w:cs="Times New Roman"/>
                      <w:b w:val="0"/>
                      <w:bCs w:val="0"/>
                      <w:snapToGrid w:val="0"/>
                      <w:color w:val="000000" w:themeColor="text1"/>
                      <w:kern w:val="0"/>
                      <w:szCs w:val="21"/>
                      <w:lang w:val="en-US" w:eastAsia="zh-CN"/>
                      <w14:textFill>
                        <w14:solidFill>
                          <w14:schemeClr w14:val="tx1"/>
                        </w14:solidFill>
                      </w14:textFill>
                    </w:rPr>
                    <w:t>86</w:t>
                  </w:r>
                  <w:r>
                    <w:rPr>
                      <w:rFonts w:hint="default" w:ascii="Times New Roman" w:hAnsi="Times New Roman" w:cs="Times New Roman"/>
                      <w:b w:val="0"/>
                      <w:bCs w:val="0"/>
                      <w:snapToGrid w:val="0"/>
                      <w:color w:val="000000" w:themeColor="text1"/>
                      <w:kern w:val="0"/>
                      <w:szCs w:val="21"/>
                      <w14:textFill>
                        <w14:solidFill>
                          <w14:schemeClr w14:val="tx1"/>
                        </w14:solidFill>
                      </w14:textFill>
                    </w:rPr>
                    <w:t>kg/</w:t>
                  </w:r>
                  <w:r>
                    <w:rPr>
                      <w:rFonts w:hint="eastAsia" w:ascii="Times New Roman" w:hAnsi="Times New Roman" w:cs="Times New Roman"/>
                      <w:b w:val="0"/>
                      <w:bCs w:val="0"/>
                      <w:snapToGrid w:val="0"/>
                      <w:color w:val="000000" w:themeColor="text1"/>
                      <w:kern w:val="0"/>
                      <w:szCs w:val="21"/>
                      <w:lang w:val="en-US" w:eastAsia="zh-CN"/>
                      <w14:textFill>
                        <w14:solidFill>
                          <w14:schemeClr w14:val="tx1"/>
                        </w14:solidFill>
                      </w14:textFill>
                    </w:rPr>
                    <w:t>万</w:t>
                  </w:r>
                  <w:r>
                    <w:rPr>
                      <w:rFonts w:hint="default" w:ascii="Times New Roman" w:hAnsi="Times New Roman" w:cs="Times New Roman"/>
                      <w:b w:val="0"/>
                      <w:bCs w:val="0"/>
                      <w:snapToGrid w:val="0"/>
                      <w:color w:val="000000" w:themeColor="text1"/>
                      <w:kern w:val="0"/>
                      <w:szCs w:val="21"/>
                      <w14:textFill>
                        <w14:solidFill>
                          <w14:schemeClr w14:val="tx1"/>
                        </w14:solidFill>
                      </w14:textFill>
                    </w:rPr>
                    <w:t>m3</w:t>
                  </w:r>
                </w:p>
              </w:tc>
              <w:tc>
                <w:tcPr>
                  <w:tcW w:w="1167" w:type="pct"/>
                  <w:tcBorders>
                    <w:tl2br w:val="nil"/>
                    <w:tr2bl w:val="nil"/>
                  </w:tcBorders>
                  <w:vAlign w:val="center"/>
                </w:tcPr>
                <w:p w14:paraId="5963AC04">
                  <w:pPr>
                    <w:adjustRightInd w:val="0"/>
                    <w:snapToGrid w:val="0"/>
                    <w:spacing w:line="240" w:lineRule="exact"/>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r>
                    <w:rPr>
                      <w:rFonts w:hint="default" w:ascii="Times New Roman" w:hAnsi="Times New Roman" w:cs="Times New Roman"/>
                      <w:snapToGrid w:val="0"/>
                      <w:color w:val="000000" w:themeColor="text1"/>
                      <w:kern w:val="0"/>
                      <w:szCs w:val="21"/>
                      <w14:textFill>
                        <w14:solidFill>
                          <w14:schemeClr w14:val="tx1"/>
                        </w14:solidFill>
                      </w14:textFill>
                    </w:rPr>
                    <w:t>t/a</w:t>
                  </w:r>
                </w:p>
              </w:tc>
              <w:tc>
                <w:tcPr>
                  <w:tcW w:w="737" w:type="pct"/>
                  <w:vMerge w:val="continue"/>
                  <w:tcBorders>
                    <w:tl2br w:val="nil"/>
                    <w:tr2bl w:val="nil"/>
                  </w:tcBorders>
                  <w:vAlign w:val="center"/>
                </w:tcPr>
                <w:p w14:paraId="4C7633FD">
                  <w:pPr>
                    <w:adjustRightInd w:val="0"/>
                    <w:snapToGrid w:val="0"/>
                    <w:spacing w:line="240" w:lineRule="exact"/>
                    <w:jc w:val="center"/>
                    <w:rPr>
                      <w:rFonts w:hint="default" w:ascii="Times New Roman" w:hAnsi="Times New Roman" w:cs="Times New Roman"/>
                      <w:color w:val="000000" w:themeColor="text1"/>
                      <w:kern w:val="0"/>
                      <w:szCs w:val="21"/>
                      <w14:textFill>
                        <w14:solidFill>
                          <w14:schemeClr w14:val="tx1"/>
                        </w14:solidFill>
                      </w14:textFill>
                    </w:rPr>
                  </w:pPr>
                </w:p>
              </w:tc>
              <w:tc>
                <w:tcPr>
                  <w:tcW w:w="1017" w:type="pct"/>
                  <w:tcBorders>
                    <w:tl2br w:val="nil"/>
                    <w:tr2bl w:val="nil"/>
                  </w:tcBorders>
                  <w:vAlign w:val="center"/>
                </w:tcPr>
                <w:p w14:paraId="75CCE03A">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r>
                    <w:rPr>
                      <w:rFonts w:hint="default" w:ascii="Times New Roman" w:hAnsi="Times New Roman" w:cs="Times New Roman"/>
                      <w:snapToGrid w:val="0"/>
                      <w:color w:val="000000" w:themeColor="text1"/>
                      <w:kern w:val="0"/>
                      <w:szCs w:val="21"/>
                      <w14:textFill>
                        <w14:solidFill>
                          <w14:schemeClr w14:val="tx1"/>
                        </w14:solidFill>
                      </w14:textFill>
                    </w:rPr>
                    <w:t>t/a</w:t>
                  </w:r>
                </w:p>
              </w:tc>
            </w:tr>
            <w:tr w14:paraId="401CCFD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910" w:type="pct"/>
                  <w:tcBorders>
                    <w:tl2br w:val="nil"/>
                    <w:tr2bl w:val="nil"/>
                  </w:tcBorders>
                  <w:vAlign w:val="center"/>
                </w:tcPr>
                <w:p w14:paraId="74BFFED3">
                  <w:pPr>
                    <w:adjustRightInd w:val="0"/>
                    <w:snapToGrid w:val="0"/>
                    <w:spacing w:line="240" w:lineRule="exact"/>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NOx</w:t>
                  </w:r>
                </w:p>
              </w:tc>
              <w:tc>
                <w:tcPr>
                  <w:tcW w:w="1167" w:type="pct"/>
                  <w:tcBorders>
                    <w:tl2br w:val="nil"/>
                    <w:tr2bl w:val="nil"/>
                  </w:tcBorders>
                  <w:vAlign w:val="center"/>
                </w:tcPr>
                <w:p w14:paraId="05471B71">
                  <w:pPr>
                    <w:adjustRightInd w:val="0"/>
                    <w:snapToGrid w:val="0"/>
                    <w:spacing w:line="240" w:lineRule="exact"/>
                    <w:jc w:val="center"/>
                    <w:rPr>
                      <w:rFonts w:hint="default" w:ascii="Times New Roman" w:hAnsi="Times New Roman" w:cs="Times New Roman"/>
                      <w:b w:val="0"/>
                      <w:bCs w:val="0"/>
                      <w:snapToGrid w:val="0"/>
                      <w:color w:val="000000" w:themeColor="text1"/>
                      <w:kern w:val="0"/>
                      <w:szCs w:val="21"/>
                      <w14:textFill>
                        <w14:solidFill>
                          <w14:schemeClr w14:val="tx1"/>
                        </w14:solidFill>
                      </w14:textFill>
                    </w:rPr>
                  </w:pPr>
                  <w:r>
                    <w:rPr>
                      <w:rFonts w:hint="eastAsia" w:ascii="Times New Roman" w:hAnsi="Times New Roman" w:cs="Times New Roman"/>
                      <w:b w:val="0"/>
                      <w:bCs w:val="0"/>
                      <w:snapToGrid w:val="0"/>
                      <w:color w:val="000000" w:themeColor="text1"/>
                      <w:kern w:val="0"/>
                      <w:szCs w:val="21"/>
                      <w:lang w:val="en-US" w:eastAsia="zh-CN"/>
                      <w14:textFill>
                        <w14:solidFill>
                          <w14:schemeClr w14:val="tx1"/>
                        </w14:solidFill>
                      </w14:textFill>
                    </w:rPr>
                    <w:t>9.36</w:t>
                  </w:r>
                  <w:r>
                    <w:rPr>
                      <w:rFonts w:hint="default" w:ascii="Times New Roman" w:hAnsi="Times New Roman" w:cs="Times New Roman"/>
                      <w:b w:val="0"/>
                      <w:bCs w:val="0"/>
                      <w:snapToGrid w:val="0"/>
                      <w:color w:val="000000" w:themeColor="text1"/>
                      <w:kern w:val="0"/>
                      <w:szCs w:val="21"/>
                      <w14:textFill>
                        <w14:solidFill>
                          <w14:schemeClr w14:val="tx1"/>
                        </w14:solidFill>
                      </w14:textFill>
                    </w:rPr>
                    <w:t>kg/</w:t>
                  </w:r>
                  <w:r>
                    <w:rPr>
                      <w:rFonts w:hint="eastAsia" w:ascii="Times New Roman" w:hAnsi="Times New Roman" w:cs="Times New Roman"/>
                      <w:b w:val="0"/>
                      <w:bCs w:val="0"/>
                      <w:snapToGrid w:val="0"/>
                      <w:color w:val="000000" w:themeColor="text1"/>
                      <w:kern w:val="0"/>
                      <w:szCs w:val="21"/>
                      <w:lang w:val="en-US" w:eastAsia="zh-CN"/>
                      <w14:textFill>
                        <w14:solidFill>
                          <w14:schemeClr w14:val="tx1"/>
                        </w14:solidFill>
                      </w14:textFill>
                    </w:rPr>
                    <w:t>万</w:t>
                  </w:r>
                  <w:r>
                    <w:rPr>
                      <w:rFonts w:hint="default" w:ascii="Times New Roman" w:hAnsi="Times New Roman" w:cs="Times New Roman"/>
                      <w:b w:val="0"/>
                      <w:bCs w:val="0"/>
                      <w:snapToGrid w:val="0"/>
                      <w:color w:val="000000" w:themeColor="text1"/>
                      <w:kern w:val="0"/>
                      <w:szCs w:val="21"/>
                      <w14:textFill>
                        <w14:solidFill>
                          <w14:schemeClr w14:val="tx1"/>
                        </w14:solidFill>
                      </w14:textFill>
                    </w:rPr>
                    <w:t>m3</w:t>
                  </w:r>
                </w:p>
              </w:tc>
              <w:tc>
                <w:tcPr>
                  <w:tcW w:w="1167" w:type="pct"/>
                  <w:tcBorders>
                    <w:tl2br w:val="nil"/>
                    <w:tr2bl w:val="nil"/>
                  </w:tcBorders>
                  <w:vAlign w:val="center"/>
                </w:tcPr>
                <w:p w14:paraId="75FB4A73">
                  <w:pPr>
                    <w:adjustRightInd w:val="0"/>
                    <w:snapToGrid w:val="0"/>
                    <w:spacing w:line="240" w:lineRule="exact"/>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r>
                    <w:rPr>
                      <w:rFonts w:hint="default" w:ascii="Times New Roman" w:hAnsi="Times New Roman" w:cs="Times New Roman"/>
                      <w:snapToGrid w:val="0"/>
                      <w:color w:val="000000" w:themeColor="text1"/>
                      <w:kern w:val="0"/>
                      <w:szCs w:val="21"/>
                      <w14:textFill>
                        <w14:solidFill>
                          <w14:schemeClr w14:val="tx1"/>
                        </w14:solidFill>
                      </w14:textFill>
                    </w:rPr>
                    <w:t>t/a</w:t>
                  </w:r>
                </w:p>
              </w:tc>
              <w:tc>
                <w:tcPr>
                  <w:tcW w:w="737" w:type="pct"/>
                  <w:vMerge w:val="continue"/>
                  <w:tcBorders>
                    <w:tl2br w:val="nil"/>
                    <w:tr2bl w:val="nil"/>
                  </w:tcBorders>
                  <w:vAlign w:val="center"/>
                </w:tcPr>
                <w:p w14:paraId="20A2DB29">
                  <w:pPr>
                    <w:adjustRightInd w:val="0"/>
                    <w:snapToGrid w:val="0"/>
                    <w:spacing w:line="240" w:lineRule="exact"/>
                    <w:jc w:val="center"/>
                    <w:rPr>
                      <w:rFonts w:hint="default" w:ascii="Times New Roman" w:hAnsi="Times New Roman" w:cs="Times New Roman"/>
                      <w:color w:val="000000" w:themeColor="text1"/>
                      <w:kern w:val="0"/>
                      <w:szCs w:val="21"/>
                      <w14:textFill>
                        <w14:solidFill>
                          <w14:schemeClr w14:val="tx1"/>
                        </w14:solidFill>
                      </w14:textFill>
                    </w:rPr>
                  </w:pPr>
                </w:p>
              </w:tc>
              <w:tc>
                <w:tcPr>
                  <w:tcW w:w="1017" w:type="pct"/>
                  <w:tcBorders>
                    <w:tl2br w:val="nil"/>
                    <w:tr2bl w:val="nil"/>
                  </w:tcBorders>
                  <w:vAlign w:val="center"/>
                </w:tcPr>
                <w:p w14:paraId="7F2DBA86">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r>
                    <w:rPr>
                      <w:rFonts w:hint="default" w:ascii="Times New Roman" w:hAnsi="Times New Roman" w:cs="Times New Roman"/>
                      <w:snapToGrid w:val="0"/>
                      <w:color w:val="000000" w:themeColor="text1"/>
                      <w:kern w:val="0"/>
                      <w:szCs w:val="21"/>
                      <w14:textFill>
                        <w14:solidFill>
                          <w14:schemeClr w14:val="tx1"/>
                        </w14:solidFill>
                      </w14:textFill>
                    </w:rPr>
                    <w:t>t/a</w:t>
                  </w:r>
                </w:p>
              </w:tc>
            </w:tr>
            <w:tr w14:paraId="0C31990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5"/>
                  <w:tcBorders>
                    <w:tl2br w:val="nil"/>
                    <w:tr2bl w:val="nil"/>
                  </w:tcBorders>
                  <w:vAlign w:val="center"/>
                </w:tcPr>
                <w:p w14:paraId="0E6D3EE3">
                  <w:pPr>
                    <w:adjustRightInd w:val="0"/>
                    <w:snapToGrid w:val="0"/>
                    <w:spacing w:line="240" w:lineRule="exact"/>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 w:val="18"/>
                      <w:szCs w:val="18"/>
                      <w14:textFill>
                        <w14:solidFill>
                          <w14:schemeClr w14:val="tx1"/>
                        </w14:solidFill>
                      </w14:textFill>
                    </w:rPr>
                    <w:t>注：①二氧化硫的产排污系数是以含硫量（S％）的形式表示的，是指燃气收到基硫分含量，单位为毫克/立方米。本项目天然气含硫量参考《环境保护实用数据手册》及川气天然气成分，总含硫量≤200 毫克/立方米，则 S=200。</w:t>
                  </w:r>
                </w:p>
              </w:tc>
            </w:tr>
          </w:tbl>
          <w:p w14:paraId="150A1031">
            <w:pPr>
              <w:numPr>
                <w:ilvl w:val="0"/>
                <w:numId w:val="0"/>
              </w:numPr>
              <w:bidi w:val="0"/>
              <w:spacing w:line="360" w:lineRule="auto"/>
              <w:ind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废气收集、处理及排放方式情况见表4-</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8</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p w14:paraId="6D7535AB">
            <w:pPr>
              <w:pStyle w:val="5"/>
              <w:tabs>
                <w:tab w:val="left" w:pos="960"/>
                <w:tab w:val="left" w:pos="8760"/>
              </w:tabs>
              <w:adjustRightInd w:val="0"/>
              <w:ind w:firstLine="482"/>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8</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废气源强核算、收集、处理、排放方式情况一览表</w:t>
            </w:r>
          </w:p>
          <w:tbl>
            <w:tblPr>
              <w:tblStyle w:val="42"/>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627"/>
              <w:gridCol w:w="606"/>
              <w:gridCol w:w="737"/>
              <w:gridCol w:w="937"/>
              <w:gridCol w:w="585"/>
              <w:gridCol w:w="600"/>
              <w:gridCol w:w="795"/>
              <w:gridCol w:w="615"/>
              <w:gridCol w:w="870"/>
              <w:gridCol w:w="705"/>
              <w:gridCol w:w="615"/>
              <w:gridCol w:w="564"/>
            </w:tblGrid>
            <w:tr w14:paraId="2BAFC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63" w:hRule="atLeast"/>
                <w:jc w:val="center"/>
              </w:trPr>
              <w:tc>
                <w:tcPr>
                  <w:tcW w:w="379" w:type="pct"/>
                  <w:vMerge w:val="restart"/>
                  <w:noWrap w:val="0"/>
                  <w:tcMar>
                    <w:right w:w="0" w:type="dxa"/>
                  </w:tcMar>
                  <w:vAlign w:val="center"/>
                </w:tcPr>
                <w:p w14:paraId="37B812BA">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367" w:type="pct"/>
                  <w:vMerge w:val="restart"/>
                  <w:noWrap w:val="0"/>
                  <w:tcMar>
                    <w:right w:w="0" w:type="dxa"/>
                  </w:tcMar>
                  <w:vAlign w:val="center"/>
                </w:tcPr>
                <w:p w14:paraId="5070891F">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污染物种类</w:t>
                  </w:r>
                </w:p>
              </w:tc>
              <w:tc>
                <w:tcPr>
                  <w:tcW w:w="446" w:type="pct"/>
                  <w:vMerge w:val="restart"/>
                  <w:tcBorders>
                    <w:right w:val="single" w:color="000000" w:sz="6" w:space="0"/>
                  </w:tcBorders>
                  <w:noWrap w:val="0"/>
                  <w:tcMar>
                    <w:right w:w="0" w:type="dxa"/>
                  </w:tcMar>
                  <w:vAlign w:val="center"/>
                </w:tcPr>
                <w:p w14:paraId="57EDA289">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污染源强核算t/a</w:t>
                  </w:r>
                </w:p>
              </w:tc>
              <w:tc>
                <w:tcPr>
                  <w:tcW w:w="567" w:type="pct"/>
                  <w:vMerge w:val="restart"/>
                  <w:tcBorders>
                    <w:left w:val="single" w:color="000000" w:sz="6" w:space="0"/>
                  </w:tcBorders>
                  <w:noWrap w:val="0"/>
                  <w:vAlign w:val="center"/>
                </w:tcPr>
                <w:p w14:paraId="20D48525">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源强核算依据</w:t>
                  </w:r>
                </w:p>
              </w:tc>
              <w:tc>
                <w:tcPr>
                  <w:tcW w:w="354" w:type="pct"/>
                  <w:vMerge w:val="restart"/>
                  <w:tcBorders>
                    <w:left w:val="single" w:color="auto" w:sz="4" w:space="0"/>
                  </w:tcBorders>
                  <w:noWrap w:val="0"/>
                  <w:vAlign w:val="center"/>
                </w:tcPr>
                <w:p w14:paraId="73CA684D">
                  <w:pPr>
                    <w:adjustRightInd w:val="0"/>
                    <w:snapToGrid w:val="0"/>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收集方式</w:t>
                  </w:r>
                </w:p>
              </w:tc>
              <w:tc>
                <w:tcPr>
                  <w:tcW w:w="363" w:type="pct"/>
                  <w:vMerge w:val="restart"/>
                  <w:noWrap w:val="0"/>
                  <w:tcMar>
                    <w:right w:w="0" w:type="dxa"/>
                  </w:tcMar>
                  <w:vAlign w:val="center"/>
                </w:tcPr>
                <w:p w14:paraId="524067DB">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收集效率</w:t>
                  </w:r>
                </w:p>
              </w:tc>
              <w:tc>
                <w:tcPr>
                  <w:tcW w:w="1380" w:type="pct"/>
                  <w:gridSpan w:val="3"/>
                  <w:tcBorders>
                    <w:bottom w:val="single" w:color="000000" w:sz="6" w:space="0"/>
                    <w:right w:val="single" w:color="000000" w:sz="6" w:space="0"/>
                  </w:tcBorders>
                  <w:noWrap w:val="0"/>
                  <w:tcMar>
                    <w:top w:w="0" w:type="dxa"/>
                    <w:left w:w="108" w:type="dxa"/>
                    <w:bottom w:w="0" w:type="dxa"/>
                    <w:right w:w="0" w:type="dxa"/>
                  </w:tcMar>
                  <w:vAlign w:val="center"/>
                </w:tcPr>
                <w:p w14:paraId="3F1DBF71">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治理措施</w:t>
                  </w:r>
                </w:p>
              </w:tc>
              <w:tc>
                <w:tcPr>
                  <w:tcW w:w="426" w:type="pct"/>
                  <w:vMerge w:val="restart"/>
                  <w:tcBorders>
                    <w:left w:val="single" w:color="000000" w:sz="6" w:space="0"/>
                  </w:tcBorders>
                  <w:noWrap w:val="0"/>
                  <w:vAlign w:val="center"/>
                </w:tcPr>
                <w:p w14:paraId="39516997">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风量</w:t>
                  </w:r>
                </w:p>
                <w:p w14:paraId="7C4269A7">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/h</w:t>
                  </w:r>
                </w:p>
              </w:tc>
              <w:tc>
                <w:tcPr>
                  <w:tcW w:w="714" w:type="pct"/>
                  <w:gridSpan w:val="2"/>
                  <w:tcBorders>
                    <w:left w:val="single" w:color="000000" w:sz="6" w:space="0"/>
                  </w:tcBorders>
                  <w:noWrap w:val="0"/>
                  <w:vAlign w:val="center"/>
                </w:tcPr>
                <w:p w14:paraId="0A9653C2">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排放形式</w:t>
                  </w:r>
                </w:p>
              </w:tc>
            </w:tr>
            <w:tr w14:paraId="772EE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379" w:type="pct"/>
                  <w:vMerge w:val="continue"/>
                  <w:noWrap w:val="0"/>
                  <w:tcMar>
                    <w:right w:w="0" w:type="dxa"/>
                  </w:tcMar>
                  <w:vAlign w:val="center"/>
                </w:tcPr>
                <w:p w14:paraId="434502D2">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367" w:type="pct"/>
                  <w:vMerge w:val="continue"/>
                  <w:noWrap w:val="0"/>
                  <w:tcMar>
                    <w:right w:w="0" w:type="dxa"/>
                  </w:tcMar>
                  <w:vAlign w:val="center"/>
                </w:tcPr>
                <w:p w14:paraId="15CEB6C4">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446" w:type="pct"/>
                  <w:vMerge w:val="continue"/>
                  <w:tcBorders>
                    <w:right w:val="single" w:color="000000" w:sz="6" w:space="0"/>
                  </w:tcBorders>
                  <w:noWrap w:val="0"/>
                  <w:tcMar>
                    <w:right w:w="0" w:type="dxa"/>
                  </w:tcMar>
                  <w:vAlign w:val="center"/>
                </w:tcPr>
                <w:p w14:paraId="3F6741AF">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567" w:type="pct"/>
                  <w:vMerge w:val="continue"/>
                  <w:tcBorders>
                    <w:left w:val="single" w:color="000000" w:sz="6" w:space="0"/>
                  </w:tcBorders>
                  <w:noWrap w:val="0"/>
                  <w:tcMar>
                    <w:right w:w="0" w:type="dxa"/>
                  </w:tcMar>
                  <w:vAlign w:val="center"/>
                </w:tcPr>
                <w:p w14:paraId="5652EC72">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354" w:type="pct"/>
                  <w:vMerge w:val="continue"/>
                  <w:tcBorders>
                    <w:left w:val="single" w:color="auto" w:sz="4" w:space="0"/>
                  </w:tcBorders>
                  <w:noWrap w:val="0"/>
                  <w:tcMar>
                    <w:right w:w="0" w:type="dxa"/>
                  </w:tcMar>
                  <w:vAlign w:val="center"/>
                </w:tcPr>
                <w:p w14:paraId="3ACED95C">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363" w:type="pct"/>
                  <w:vMerge w:val="continue"/>
                  <w:noWrap w:val="0"/>
                  <w:tcMar>
                    <w:right w:w="0" w:type="dxa"/>
                  </w:tcMar>
                  <w:vAlign w:val="center"/>
                </w:tcPr>
                <w:p w14:paraId="1F9E33FA">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481" w:type="pct"/>
                  <w:tcBorders>
                    <w:top w:val="single" w:color="000000" w:sz="6" w:space="0"/>
                  </w:tcBorders>
                  <w:noWrap w:val="0"/>
                  <w:tcMar>
                    <w:right w:w="0" w:type="dxa"/>
                  </w:tcMar>
                  <w:vAlign w:val="center"/>
                </w:tcPr>
                <w:p w14:paraId="01F9EFAD">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治理工艺</w:t>
                  </w:r>
                </w:p>
              </w:tc>
              <w:tc>
                <w:tcPr>
                  <w:tcW w:w="372" w:type="pct"/>
                  <w:tcBorders>
                    <w:top w:val="single" w:color="000000" w:sz="6" w:space="0"/>
                  </w:tcBorders>
                  <w:noWrap w:val="0"/>
                  <w:tcMar>
                    <w:top w:w="0" w:type="dxa"/>
                    <w:left w:w="108" w:type="dxa"/>
                    <w:bottom w:w="0" w:type="dxa"/>
                    <w:right w:w="0" w:type="dxa"/>
                  </w:tcMar>
                  <w:vAlign w:val="center"/>
                </w:tcPr>
                <w:p w14:paraId="7A4AF0B6">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去除效率</w:t>
                  </w:r>
                </w:p>
              </w:tc>
              <w:tc>
                <w:tcPr>
                  <w:tcW w:w="526" w:type="pct"/>
                  <w:tcBorders>
                    <w:right w:val="single" w:color="000000" w:sz="6" w:space="0"/>
                  </w:tcBorders>
                  <w:noWrap w:val="0"/>
                  <w:tcMar>
                    <w:right w:w="0" w:type="dxa"/>
                  </w:tcMar>
                  <w:vAlign w:val="center"/>
                </w:tcPr>
                <w:p w14:paraId="3EFB59AC">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是否为可行技术</w:t>
                  </w:r>
                </w:p>
              </w:tc>
              <w:tc>
                <w:tcPr>
                  <w:tcW w:w="426" w:type="pct"/>
                  <w:vMerge w:val="continue"/>
                  <w:tcBorders>
                    <w:left w:val="single" w:color="000000" w:sz="6" w:space="0"/>
                  </w:tcBorders>
                  <w:noWrap w:val="0"/>
                  <w:tcMar>
                    <w:right w:w="0" w:type="dxa"/>
                  </w:tcMar>
                  <w:vAlign w:val="center"/>
                </w:tcPr>
                <w:p w14:paraId="24D01BA2">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372" w:type="pct"/>
                  <w:tcBorders>
                    <w:top w:val="single" w:color="000000" w:sz="6" w:space="0"/>
                    <w:left w:val="single" w:color="000000" w:sz="6" w:space="0"/>
                  </w:tcBorders>
                  <w:noWrap w:val="0"/>
                  <w:tcMar>
                    <w:right w:w="0" w:type="dxa"/>
                  </w:tcMar>
                  <w:vAlign w:val="center"/>
                </w:tcPr>
                <w:p w14:paraId="450E740E">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有组织</w:t>
                  </w:r>
                </w:p>
              </w:tc>
              <w:tc>
                <w:tcPr>
                  <w:tcW w:w="341" w:type="pct"/>
                  <w:tcBorders>
                    <w:top w:val="single" w:color="000000" w:sz="6" w:space="0"/>
                  </w:tcBorders>
                  <w:noWrap w:val="0"/>
                  <w:tcMar>
                    <w:right w:w="0" w:type="dxa"/>
                  </w:tcMar>
                  <w:vAlign w:val="center"/>
                </w:tcPr>
                <w:p w14:paraId="03976886">
                  <w:pPr>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无组织</w:t>
                  </w:r>
                </w:p>
              </w:tc>
            </w:tr>
            <w:tr w14:paraId="29BB5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792" w:hRule="atLeast"/>
                <w:jc w:val="center"/>
              </w:trPr>
              <w:tc>
                <w:tcPr>
                  <w:tcW w:w="379" w:type="pct"/>
                  <w:vMerge w:val="restart"/>
                  <w:noWrap w:val="0"/>
                  <w:tcMar>
                    <w:right w:w="0" w:type="dxa"/>
                  </w:tcMar>
                  <w:vAlign w:val="center"/>
                </w:tcPr>
                <w:p w14:paraId="14617A99">
                  <w:pPr>
                    <w:adjustRightInd w:val="0"/>
                    <w:snapToGrid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天然气燃烧</w:t>
                  </w:r>
                </w:p>
              </w:tc>
              <w:tc>
                <w:tcPr>
                  <w:tcW w:w="367" w:type="pct"/>
                  <w:noWrap w:val="0"/>
                  <w:tcMar>
                    <w:right w:w="0" w:type="dxa"/>
                  </w:tcMar>
                  <w:vAlign w:val="center"/>
                </w:tcPr>
                <w:p w14:paraId="1AECBFA1">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SO</w:t>
                  </w:r>
                  <w:r>
                    <w:rPr>
                      <w:rFonts w:hint="default" w:ascii="Times New Roman" w:hAnsi="Times New Roman" w:cs="Times New Roman"/>
                      <w:snapToGrid w:val="0"/>
                      <w:color w:val="000000" w:themeColor="text1"/>
                      <w:kern w:val="0"/>
                      <w:szCs w:val="21"/>
                      <w:vertAlign w:val="subscript"/>
                      <w14:textFill>
                        <w14:solidFill>
                          <w14:schemeClr w14:val="tx1"/>
                        </w14:solidFill>
                      </w14:textFill>
                    </w:rPr>
                    <w:t>2</w:t>
                  </w:r>
                </w:p>
              </w:tc>
              <w:tc>
                <w:tcPr>
                  <w:tcW w:w="446" w:type="pct"/>
                  <w:noWrap w:val="0"/>
                  <w:tcMar>
                    <w:right w:w="0" w:type="dxa"/>
                  </w:tcMar>
                  <w:vAlign w:val="center"/>
                </w:tcPr>
                <w:p w14:paraId="733DEE24">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c>
                <w:tcPr>
                  <w:tcW w:w="567" w:type="pct"/>
                  <w:vMerge w:val="restart"/>
                  <w:noWrap w:val="0"/>
                  <w:tcMar>
                    <w:right w:w="0" w:type="dxa"/>
                  </w:tcMar>
                  <w:vAlign w:val="center"/>
                </w:tcPr>
                <w:p w14:paraId="1D967905">
                  <w:pPr>
                    <w:widowControl/>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《排污许可证申请与核发技术规范 锅炉》（HJ953-2018）</w:t>
                  </w:r>
                </w:p>
              </w:tc>
              <w:tc>
                <w:tcPr>
                  <w:tcW w:w="354" w:type="pct"/>
                  <w:vMerge w:val="restart"/>
                  <w:noWrap w:val="0"/>
                  <w:tcMar>
                    <w:right w:w="0" w:type="dxa"/>
                  </w:tcMar>
                  <w:vAlign w:val="center"/>
                </w:tcPr>
                <w:p w14:paraId="1397376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63" w:type="pct"/>
                  <w:vMerge w:val="restart"/>
                  <w:noWrap w:val="0"/>
                  <w:tcMar>
                    <w:right w:w="0" w:type="dxa"/>
                  </w:tcMar>
                  <w:vAlign w:val="center"/>
                </w:tcPr>
                <w:p w14:paraId="072A0DA3">
                  <w:pPr>
                    <w:adjustRightInd w:val="0"/>
                    <w:snapToGrid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100</w:t>
                  </w:r>
                </w:p>
              </w:tc>
              <w:tc>
                <w:tcPr>
                  <w:tcW w:w="481" w:type="pct"/>
                  <w:vMerge w:val="restart"/>
                  <w:noWrap w:val="0"/>
                  <w:tcMar>
                    <w:right w:w="0" w:type="dxa"/>
                  </w:tcMar>
                  <w:vAlign w:val="center"/>
                </w:tcPr>
                <w:p w14:paraId="0163C2F8">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低氮燃烧</w:t>
                  </w:r>
                </w:p>
              </w:tc>
              <w:tc>
                <w:tcPr>
                  <w:tcW w:w="372" w:type="pct"/>
                  <w:vMerge w:val="restart"/>
                  <w:noWrap w:val="0"/>
                  <w:tcMar>
                    <w:top w:w="0" w:type="dxa"/>
                    <w:left w:w="108" w:type="dxa"/>
                    <w:bottom w:w="0" w:type="dxa"/>
                    <w:right w:w="0" w:type="dxa"/>
                  </w:tcMar>
                  <w:vAlign w:val="center"/>
                </w:tcPr>
                <w:p w14:paraId="21645AC3">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526" w:type="pct"/>
                  <w:vMerge w:val="restart"/>
                  <w:noWrap w:val="0"/>
                  <w:tcMar>
                    <w:right w:w="0" w:type="dxa"/>
                  </w:tcMar>
                  <w:vAlign w:val="center"/>
                </w:tcPr>
                <w:p w14:paraId="12E5BE8D">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c>
                <w:tcPr>
                  <w:tcW w:w="426" w:type="pct"/>
                  <w:vMerge w:val="restart"/>
                  <w:noWrap w:val="0"/>
                  <w:tcMar>
                    <w:right w:w="0" w:type="dxa"/>
                  </w:tcMar>
                  <w:vAlign w:val="center"/>
                </w:tcPr>
                <w:p w14:paraId="35D3F52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lang w:val="en-US" w:eastAsia="zh-CN"/>
                      <w14:textFill>
                        <w14:solidFill>
                          <w14:schemeClr w14:val="tx1"/>
                        </w14:solidFill>
                      </w14:textFill>
                    </w:rPr>
                    <w:t>000</w:t>
                  </w:r>
                </w:p>
              </w:tc>
              <w:tc>
                <w:tcPr>
                  <w:tcW w:w="372" w:type="pct"/>
                  <w:vMerge w:val="restart"/>
                  <w:noWrap w:val="0"/>
                  <w:tcMar>
                    <w:right w:w="0" w:type="dxa"/>
                  </w:tcMar>
                  <w:vAlign w:val="center"/>
                </w:tcPr>
                <w:p w14:paraId="0BEE68A5">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41" w:type="pct"/>
                  <w:vMerge w:val="restart"/>
                  <w:noWrap w:val="0"/>
                  <w:tcMar>
                    <w:right w:w="0" w:type="dxa"/>
                  </w:tcMar>
                  <w:vAlign w:val="center"/>
                </w:tcPr>
                <w:p w14:paraId="371FCF2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421E5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792" w:hRule="atLeast"/>
                <w:jc w:val="center"/>
              </w:trPr>
              <w:tc>
                <w:tcPr>
                  <w:tcW w:w="379" w:type="pct"/>
                  <w:vMerge w:val="continue"/>
                  <w:noWrap w:val="0"/>
                  <w:tcMar>
                    <w:right w:w="0" w:type="dxa"/>
                  </w:tcMar>
                  <w:vAlign w:val="center"/>
                </w:tcPr>
                <w:p w14:paraId="01E13D5E">
                  <w:pPr>
                    <w:adjustRightInd w:val="0"/>
                    <w:snapToGrid w:val="0"/>
                    <w:jc w:val="center"/>
                    <w:textAlignment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367" w:type="pct"/>
                  <w:noWrap w:val="0"/>
                  <w:tcMar>
                    <w:right w:w="0" w:type="dxa"/>
                  </w:tcMar>
                  <w:vAlign w:val="center"/>
                </w:tcPr>
                <w:p w14:paraId="452AC1EA">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烟尘</w:t>
                  </w:r>
                </w:p>
              </w:tc>
              <w:tc>
                <w:tcPr>
                  <w:tcW w:w="446" w:type="pct"/>
                  <w:noWrap w:val="0"/>
                  <w:tcMar>
                    <w:right w:w="0" w:type="dxa"/>
                  </w:tcMar>
                  <w:vAlign w:val="center"/>
                </w:tcPr>
                <w:p w14:paraId="5E0DD4E1">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p>
              </w:tc>
              <w:tc>
                <w:tcPr>
                  <w:tcW w:w="567" w:type="pct"/>
                  <w:vMerge w:val="continue"/>
                  <w:noWrap w:val="0"/>
                  <w:tcMar>
                    <w:right w:w="0" w:type="dxa"/>
                  </w:tcMar>
                  <w:vAlign w:val="center"/>
                </w:tcPr>
                <w:p w14:paraId="006D5444">
                  <w:pPr>
                    <w:widowControl/>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4" w:type="pct"/>
                  <w:vMerge w:val="continue"/>
                  <w:noWrap w:val="0"/>
                  <w:tcMar>
                    <w:right w:w="0" w:type="dxa"/>
                  </w:tcMar>
                  <w:vAlign w:val="center"/>
                </w:tcPr>
                <w:p w14:paraId="6BCCD25D">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63" w:type="pct"/>
                  <w:vMerge w:val="continue"/>
                  <w:noWrap w:val="0"/>
                  <w:tcMar>
                    <w:right w:w="0" w:type="dxa"/>
                  </w:tcMar>
                  <w:vAlign w:val="center"/>
                </w:tcPr>
                <w:p w14:paraId="2E32A553">
                  <w:pPr>
                    <w:adjustRightInd w:val="0"/>
                    <w:snapToGrid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81" w:type="pct"/>
                  <w:vMerge w:val="continue"/>
                  <w:noWrap w:val="0"/>
                  <w:tcMar>
                    <w:right w:w="0" w:type="dxa"/>
                  </w:tcMar>
                  <w:vAlign w:val="center"/>
                </w:tcPr>
                <w:p w14:paraId="5210D103">
                  <w:pPr>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372" w:type="pct"/>
                  <w:vMerge w:val="continue"/>
                  <w:noWrap w:val="0"/>
                  <w:tcMar>
                    <w:top w:w="0" w:type="dxa"/>
                    <w:left w:w="108" w:type="dxa"/>
                    <w:bottom w:w="0" w:type="dxa"/>
                    <w:right w:w="0" w:type="dxa"/>
                  </w:tcMar>
                  <w:vAlign w:val="center"/>
                </w:tcPr>
                <w:p w14:paraId="6BAB0936">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26" w:type="pct"/>
                  <w:vMerge w:val="continue"/>
                  <w:noWrap w:val="0"/>
                  <w:tcMar>
                    <w:right w:w="0" w:type="dxa"/>
                  </w:tcMar>
                  <w:vAlign w:val="center"/>
                </w:tcPr>
                <w:p w14:paraId="5C7914F8">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26" w:type="pct"/>
                  <w:vMerge w:val="continue"/>
                  <w:noWrap w:val="0"/>
                  <w:tcMar>
                    <w:right w:w="0" w:type="dxa"/>
                  </w:tcMar>
                  <w:vAlign w:val="center"/>
                </w:tcPr>
                <w:p w14:paraId="06683277">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72" w:type="pct"/>
                  <w:vMerge w:val="continue"/>
                  <w:noWrap w:val="0"/>
                  <w:tcMar>
                    <w:right w:w="0" w:type="dxa"/>
                  </w:tcMar>
                  <w:vAlign w:val="center"/>
                </w:tcPr>
                <w:p w14:paraId="5B2B6654">
                  <w:pPr>
                    <w:jc w:val="center"/>
                    <w:rPr>
                      <w:rFonts w:hint="default" w:ascii="Times New Roman" w:hAnsi="Times New Roman" w:cs="Times New Roman"/>
                      <w:color w:val="000000" w:themeColor="text1"/>
                      <w:sz w:val="21"/>
                      <w:szCs w:val="21"/>
                      <w14:textFill>
                        <w14:solidFill>
                          <w14:schemeClr w14:val="tx1"/>
                        </w14:solidFill>
                      </w14:textFill>
                    </w:rPr>
                  </w:pPr>
                </w:p>
              </w:tc>
              <w:tc>
                <w:tcPr>
                  <w:tcW w:w="341" w:type="pct"/>
                  <w:vMerge w:val="continue"/>
                  <w:noWrap w:val="0"/>
                  <w:tcMar>
                    <w:right w:w="0" w:type="dxa"/>
                  </w:tcMar>
                  <w:vAlign w:val="center"/>
                </w:tcPr>
                <w:p w14:paraId="76F7B18E">
                  <w:pPr>
                    <w:jc w:val="center"/>
                    <w:rPr>
                      <w:rFonts w:hint="default" w:ascii="Times New Roman" w:hAnsi="Times New Roman" w:cs="Times New Roman"/>
                      <w:color w:val="000000" w:themeColor="text1"/>
                      <w:sz w:val="21"/>
                      <w:szCs w:val="21"/>
                      <w14:textFill>
                        <w14:solidFill>
                          <w14:schemeClr w14:val="tx1"/>
                        </w14:solidFill>
                      </w14:textFill>
                    </w:rPr>
                  </w:pPr>
                </w:p>
              </w:tc>
            </w:tr>
            <w:tr w14:paraId="6A5ED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792" w:hRule="atLeast"/>
                <w:jc w:val="center"/>
              </w:trPr>
              <w:tc>
                <w:tcPr>
                  <w:tcW w:w="379" w:type="pct"/>
                  <w:vMerge w:val="continue"/>
                  <w:noWrap w:val="0"/>
                  <w:tcMar>
                    <w:right w:w="0" w:type="dxa"/>
                  </w:tcMar>
                  <w:vAlign w:val="center"/>
                </w:tcPr>
                <w:p w14:paraId="5105C7B4">
                  <w:pPr>
                    <w:adjustRightInd w:val="0"/>
                    <w:snapToGrid w:val="0"/>
                    <w:jc w:val="center"/>
                    <w:textAlignment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367" w:type="pct"/>
                  <w:noWrap w:val="0"/>
                  <w:tcMar>
                    <w:right w:w="0" w:type="dxa"/>
                  </w:tcMar>
                  <w:vAlign w:val="center"/>
                </w:tcPr>
                <w:p w14:paraId="5160E2DA">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NOx</w:t>
                  </w:r>
                </w:p>
              </w:tc>
              <w:tc>
                <w:tcPr>
                  <w:tcW w:w="446" w:type="pct"/>
                  <w:noWrap w:val="0"/>
                  <w:tcMar>
                    <w:right w:w="0" w:type="dxa"/>
                  </w:tcMar>
                  <w:vAlign w:val="center"/>
                </w:tcPr>
                <w:p w14:paraId="097FEF75">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c>
                <w:tcPr>
                  <w:tcW w:w="567" w:type="pct"/>
                  <w:vMerge w:val="continue"/>
                  <w:noWrap w:val="0"/>
                  <w:tcMar>
                    <w:right w:w="0" w:type="dxa"/>
                  </w:tcMar>
                  <w:vAlign w:val="center"/>
                </w:tcPr>
                <w:p w14:paraId="7BEBE44F">
                  <w:pPr>
                    <w:widowControl/>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54" w:type="pct"/>
                  <w:vMerge w:val="continue"/>
                  <w:noWrap w:val="0"/>
                  <w:tcMar>
                    <w:right w:w="0" w:type="dxa"/>
                  </w:tcMar>
                  <w:vAlign w:val="center"/>
                </w:tcPr>
                <w:p w14:paraId="37964F66">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63" w:type="pct"/>
                  <w:vMerge w:val="continue"/>
                  <w:noWrap w:val="0"/>
                  <w:tcMar>
                    <w:right w:w="0" w:type="dxa"/>
                  </w:tcMar>
                  <w:vAlign w:val="center"/>
                </w:tcPr>
                <w:p w14:paraId="6030C4F9">
                  <w:pPr>
                    <w:adjustRightInd w:val="0"/>
                    <w:snapToGrid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81" w:type="pct"/>
                  <w:vMerge w:val="continue"/>
                  <w:noWrap w:val="0"/>
                  <w:tcMar>
                    <w:right w:w="0" w:type="dxa"/>
                  </w:tcMar>
                  <w:vAlign w:val="center"/>
                </w:tcPr>
                <w:p w14:paraId="06D6CFC7">
                  <w:pPr>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372" w:type="pct"/>
                  <w:vMerge w:val="continue"/>
                  <w:noWrap w:val="0"/>
                  <w:tcMar>
                    <w:top w:w="0" w:type="dxa"/>
                    <w:left w:w="108" w:type="dxa"/>
                    <w:bottom w:w="0" w:type="dxa"/>
                    <w:right w:w="0" w:type="dxa"/>
                  </w:tcMar>
                  <w:vAlign w:val="center"/>
                </w:tcPr>
                <w:p w14:paraId="4A24179E">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26" w:type="pct"/>
                  <w:vMerge w:val="continue"/>
                  <w:noWrap w:val="0"/>
                  <w:tcMar>
                    <w:right w:w="0" w:type="dxa"/>
                  </w:tcMar>
                  <w:vAlign w:val="center"/>
                </w:tcPr>
                <w:p w14:paraId="1B1C39CA">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26" w:type="pct"/>
                  <w:vMerge w:val="continue"/>
                  <w:noWrap w:val="0"/>
                  <w:tcMar>
                    <w:right w:w="0" w:type="dxa"/>
                  </w:tcMar>
                  <w:vAlign w:val="center"/>
                </w:tcPr>
                <w:p w14:paraId="42D909A5">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72" w:type="pct"/>
                  <w:vMerge w:val="continue"/>
                  <w:noWrap w:val="0"/>
                  <w:tcMar>
                    <w:right w:w="0" w:type="dxa"/>
                  </w:tcMar>
                  <w:vAlign w:val="center"/>
                </w:tcPr>
                <w:p w14:paraId="4D0CA4B4">
                  <w:pPr>
                    <w:jc w:val="center"/>
                    <w:rPr>
                      <w:rFonts w:hint="default" w:ascii="Times New Roman" w:hAnsi="Times New Roman" w:cs="Times New Roman"/>
                      <w:color w:val="000000" w:themeColor="text1"/>
                      <w:sz w:val="21"/>
                      <w:szCs w:val="21"/>
                      <w14:textFill>
                        <w14:solidFill>
                          <w14:schemeClr w14:val="tx1"/>
                        </w14:solidFill>
                      </w14:textFill>
                    </w:rPr>
                  </w:pPr>
                </w:p>
              </w:tc>
              <w:tc>
                <w:tcPr>
                  <w:tcW w:w="341" w:type="pct"/>
                  <w:vMerge w:val="continue"/>
                  <w:noWrap w:val="0"/>
                  <w:tcMar>
                    <w:right w:w="0" w:type="dxa"/>
                  </w:tcMar>
                  <w:vAlign w:val="center"/>
                </w:tcPr>
                <w:p w14:paraId="1E739D3A">
                  <w:pPr>
                    <w:jc w:val="center"/>
                    <w:rPr>
                      <w:rFonts w:hint="default" w:ascii="Times New Roman" w:hAnsi="Times New Roman" w:cs="Times New Roman"/>
                      <w:color w:val="000000" w:themeColor="text1"/>
                      <w:sz w:val="21"/>
                      <w:szCs w:val="21"/>
                      <w14:textFill>
                        <w14:solidFill>
                          <w14:schemeClr w14:val="tx1"/>
                        </w14:solidFill>
                      </w14:textFill>
                    </w:rPr>
                  </w:pPr>
                </w:p>
              </w:tc>
            </w:tr>
          </w:tbl>
          <w:p w14:paraId="0EFAFEB3">
            <w:pPr>
              <w:pStyle w:val="4"/>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本项目有组织废气产排情况见表4-</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9</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p>
          <w:p w14:paraId="5F0478C3">
            <w:pPr>
              <w:pStyle w:val="5"/>
              <w:pageBreakBefore w:val="0"/>
              <w:widowControl w:val="0"/>
              <w:tabs>
                <w:tab w:val="left" w:pos="960"/>
                <w:tab w:val="left" w:pos="8760"/>
              </w:tabs>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9</w:t>
            </w:r>
            <w:r>
              <w:rPr>
                <w:rFonts w:hint="default" w:ascii="Times New Roman" w:hAnsi="Times New Roman" w:cs="Times New Roman"/>
                <w:b/>
                <w:bCs/>
                <w:color w:val="000000" w:themeColor="text1"/>
                <w:sz w:val="21"/>
                <w:szCs w:val="21"/>
                <w14:textFill>
                  <w14:solidFill>
                    <w14:schemeClr w14:val="tx1"/>
                  </w14:solidFill>
                </w14:textFill>
              </w:rPr>
              <w:t xml:space="preserve">  有组织废气产生及排放情况</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219"/>
              <w:gridCol w:w="328"/>
              <w:gridCol w:w="576"/>
              <w:gridCol w:w="583"/>
              <w:gridCol w:w="593"/>
              <w:gridCol w:w="685"/>
              <w:gridCol w:w="687"/>
              <w:gridCol w:w="593"/>
              <w:gridCol w:w="630"/>
              <w:gridCol w:w="526"/>
              <w:gridCol w:w="389"/>
              <w:gridCol w:w="420"/>
              <w:gridCol w:w="435"/>
              <w:gridCol w:w="817"/>
              <w:gridCol w:w="790"/>
            </w:tblGrid>
            <w:tr w14:paraId="7B210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63" w:hRule="atLeast"/>
              </w:trPr>
              <w:tc>
                <w:tcPr>
                  <w:tcW w:w="132" w:type="pct"/>
                  <w:vMerge w:val="restart"/>
                  <w:noWrap w:val="0"/>
                  <w:tcMar>
                    <w:right w:w="0" w:type="dxa"/>
                  </w:tcMar>
                  <w:vAlign w:val="center"/>
                </w:tcPr>
                <w:p w14:paraId="455F0A59">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198" w:type="pct"/>
                  <w:vMerge w:val="restart"/>
                  <w:noWrap w:val="0"/>
                  <w:tcMar>
                    <w:right w:w="0" w:type="dxa"/>
                  </w:tcMar>
                  <w:vAlign w:val="center"/>
                </w:tcPr>
                <w:p w14:paraId="1A7F57EE">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p w14:paraId="1B48605B">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1059" w:type="pct"/>
                  <w:gridSpan w:val="3"/>
                  <w:noWrap w:val="0"/>
                  <w:tcMar>
                    <w:right w:w="0" w:type="dxa"/>
                  </w:tcMar>
                  <w:vAlign w:val="center"/>
                </w:tcPr>
                <w:p w14:paraId="495F73AC">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产生状况</w:t>
                  </w:r>
                </w:p>
              </w:tc>
              <w:tc>
                <w:tcPr>
                  <w:tcW w:w="1187" w:type="pct"/>
                  <w:gridSpan w:val="3"/>
                  <w:tcBorders>
                    <w:bottom w:val="single" w:color="000000" w:sz="6" w:space="0"/>
                  </w:tcBorders>
                  <w:noWrap w:val="0"/>
                  <w:tcMar>
                    <w:right w:w="0" w:type="dxa"/>
                  </w:tcMar>
                  <w:vAlign w:val="center"/>
                </w:tcPr>
                <w:p w14:paraId="3F47774C">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最大排放情况</w:t>
                  </w:r>
                </w:p>
              </w:tc>
              <w:tc>
                <w:tcPr>
                  <w:tcW w:w="1450" w:type="pct"/>
                  <w:gridSpan w:val="5"/>
                  <w:noWrap w:val="0"/>
                  <w:tcMar>
                    <w:right w:w="0" w:type="dxa"/>
                  </w:tcMar>
                  <w:vAlign w:val="center"/>
                </w:tcPr>
                <w:p w14:paraId="4F027F29">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排气筒参数</w:t>
                  </w:r>
                </w:p>
              </w:tc>
              <w:tc>
                <w:tcPr>
                  <w:tcW w:w="971" w:type="pct"/>
                  <w:gridSpan w:val="2"/>
                  <w:tcBorders>
                    <w:bottom w:val="single" w:color="000000" w:sz="6" w:space="0"/>
                  </w:tcBorders>
                  <w:noWrap w:val="0"/>
                  <w:tcMar>
                    <w:right w:w="0" w:type="dxa"/>
                  </w:tcMar>
                  <w:vAlign w:val="center"/>
                </w:tcPr>
                <w:p w14:paraId="3C62D0F6">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排气筒坐标</w:t>
                  </w:r>
                </w:p>
              </w:tc>
            </w:tr>
            <w:tr w14:paraId="37E63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692" w:hRule="atLeast"/>
              </w:trPr>
              <w:tc>
                <w:tcPr>
                  <w:tcW w:w="132" w:type="pct"/>
                  <w:vMerge w:val="continue"/>
                  <w:noWrap w:val="0"/>
                  <w:tcMar>
                    <w:right w:w="0" w:type="dxa"/>
                  </w:tcMar>
                  <w:vAlign w:val="center"/>
                </w:tcPr>
                <w:p w14:paraId="53E2A89C">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198" w:type="pct"/>
                  <w:vMerge w:val="continue"/>
                  <w:noWrap w:val="0"/>
                  <w:tcMar>
                    <w:right w:w="0" w:type="dxa"/>
                  </w:tcMar>
                  <w:vAlign w:val="center"/>
                </w:tcPr>
                <w:p w14:paraId="5D13CAB8">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p>
              </w:tc>
              <w:tc>
                <w:tcPr>
                  <w:tcW w:w="348" w:type="pct"/>
                  <w:noWrap w:val="0"/>
                  <w:tcMar>
                    <w:right w:w="0" w:type="dxa"/>
                  </w:tcMar>
                  <w:vAlign w:val="center"/>
                </w:tcPr>
                <w:p w14:paraId="09484E95">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产生量t/a</w:t>
                  </w:r>
                </w:p>
              </w:tc>
              <w:tc>
                <w:tcPr>
                  <w:tcW w:w="352" w:type="pct"/>
                  <w:noWrap w:val="0"/>
                  <w:tcMar>
                    <w:right w:w="0" w:type="dxa"/>
                  </w:tcMar>
                  <w:vAlign w:val="center"/>
                </w:tcPr>
                <w:p w14:paraId="63B2B9A6">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速率</w:t>
                  </w:r>
                </w:p>
                <w:p w14:paraId="793F7DE7">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kg/h</w:t>
                  </w:r>
                </w:p>
              </w:tc>
              <w:tc>
                <w:tcPr>
                  <w:tcW w:w="358" w:type="pct"/>
                  <w:tcBorders>
                    <w:top w:val="single" w:color="000000" w:sz="6" w:space="0"/>
                  </w:tcBorders>
                  <w:noWrap w:val="0"/>
                  <w:tcMar>
                    <w:right w:w="0" w:type="dxa"/>
                  </w:tcMar>
                  <w:vAlign w:val="center"/>
                </w:tcPr>
                <w:p w14:paraId="1831E56D">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浓度</w:t>
                  </w:r>
                </w:p>
                <w:p w14:paraId="780C303F">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c>
              <w:tc>
                <w:tcPr>
                  <w:tcW w:w="414" w:type="pct"/>
                  <w:tcBorders>
                    <w:top w:val="single" w:color="000000" w:sz="6" w:space="0"/>
                    <w:right w:val="single" w:color="000000" w:sz="6" w:space="0"/>
                  </w:tcBorders>
                  <w:noWrap w:val="0"/>
                  <w:tcMar>
                    <w:right w:w="0" w:type="dxa"/>
                  </w:tcMar>
                  <w:vAlign w:val="center"/>
                </w:tcPr>
                <w:p w14:paraId="15DD0ADA">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排放量t/a</w:t>
                  </w:r>
                </w:p>
              </w:tc>
              <w:tc>
                <w:tcPr>
                  <w:tcW w:w="415" w:type="pct"/>
                  <w:tcBorders>
                    <w:top w:val="single" w:color="000000" w:sz="6" w:space="0"/>
                    <w:left w:val="single" w:color="000000" w:sz="6" w:space="0"/>
                  </w:tcBorders>
                  <w:noWrap w:val="0"/>
                  <w:vAlign w:val="center"/>
                </w:tcPr>
                <w:p w14:paraId="601BA94B">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速率</w:t>
                  </w:r>
                </w:p>
                <w:p w14:paraId="22505347">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kg/h</w:t>
                  </w:r>
                </w:p>
              </w:tc>
              <w:tc>
                <w:tcPr>
                  <w:tcW w:w="358" w:type="pct"/>
                  <w:tcBorders>
                    <w:top w:val="single" w:color="000000" w:sz="6" w:space="0"/>
                  </w:tcBorders>
                  <w:noWrap w:val="0"/>
                  <w:tcMar>
                    <w:right w:w="0" w:type="dxa"/>
                  </w:tcMar>
                  <w:vAlign w:val="center"/>
                </w:tcPr>
                <w:p w14:paraId="1095CE80">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浓度</w:t>
                  </w:r>
                </w:p>
                <w:p w14:paraId="5E7BD663">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c>
              <w:tc>
                <w:tcPr>
                  <w:tcW w:w="380" w:type="pct"/>
                  <w:noWrap w:val="0"/>
                  <w:tcMar>
                    <w:top w:w="0" w:type="dxa"/>
                    <w:left w:w="108" w:type="dxa"/>
                    <w:bottom w:w="0" w:type="dxa"/>
                    <w:right w:w="0" w:type="dxa"/>
                  </w:tcMar>
                  <w:vAlign w:val="center"/>
                </w:tcPr>
                <w:p w14:paraId="3C7F9931">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编号及名称</w:t>
                  </w:r>
                </w:p>
              </w:tc>
              <w:tc>
                <w:tcPr>
                  <w:tcW w:w="317" w:type="pct"/>
                  <w:noWrap w:val="0"/>
                  <w:tcMar>
                    <w:right w:w="0" w:type="dxa"/>
                  </w:tcMar>
                  <w:vAlign w:val="center"/>
                </w:tcPr>
                <w:p w14:paraId="492F63B9">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风量</w:t>
                  </w:r>
                </w:p>
                <w:p w14:paraId="46B056B4">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/h</w:t>
                  </w:r>
                </w:p>
              </w:tc>
              <w:tc>
                <w:tcPr>
                  <w:tcW w:w="235" w:type="pct"/>
                  <w:tcBorders>
                    <w:right w:val="single" w:color="000000" w:sz="6" w:space="0"/>
                  </w:tcBorders>
                  <w:noWrap w:val="0"/>
                  <w:tcMar>
                    <w:right w:w="0" w:type="dxa"/>
                  </w:tcMar>
                  <w:vAlign w:val="center"/>
                </w:tcPr>
                <w:p w14:paraId="74C40716">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高度</w:t>
                  </w:r>
                </w:p>
                <w:p w14:paraId="1140E3B0">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w:t>
                  </w:r>
                </w:p>
              </w:tc>
              <w:tc>
                <w:tcPr>
                  <w:tcW w:w="253" w:type="pct"/>
                  <w:tcBorders>
                    <w:left w:val="single" w:color="000000" w:sz="6" w:space="0"/>
                  </w:tcBorders>
                  <w:noWrap w:val="0"/>
                  <w:vAlign w:val="center"/>
                </w:tcPr>
                <w:p w14:paraId="505BBB79">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内径m</w:t>
                  </w:r>
                </w:p>
              </w:tc>
              <w:tc>
                <w:tcPr>
                  <w:tcW w:w="262" w:type="pct"/>
                  <w:tcBorders>
                    <w:top w:val="single" w:color="000000" w:sz="6" w:space="0"/>
                    <w:left w:val="single" w:color="000000" w:sz="6" w:space="0"/>
                  </w:tcBorders>
                  <w:noWrap w:val="0"/>
                  <w:vAlign w:val="center"/>
                </w:tcPr>
                <w:p w14:paraId="26427820">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温度℃</w:t>
                  </w:r>
                </w:p>
              </w:tc>
              <w:tc>
                <w:tcPr>
                  <w:tcW w:w="493" w:type="pct"/>
                  <w:tcBorders>
                    <w:top w:val="single" w:color="000000" w:sz="6" w:space="0"/>
                    <w:right w:val="single" w:color="000000" w:sz="6" w:space="0"/>
                  </w:tcBorders>
                  <w:noWrap w:val="0"/>
                  <w:tcMar>
                    <w:right w:w="0" w:type="dxa"/>
                  </w:tcMar>
                  <w:vAlign w:val="center"/>
                </w:tcPr>
                <w:p w14:paraId="2A735219">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X</w:t>
                  </w:r>
                </w:p>
              </w:tc>
              <w:tc>
                <w:tcPr>
                  <w:tcW w:w="477" w:type="pct"/>
                  <w:tcBorders>
                    <w:top w:val="single" w:color="000000" w:sz="6" w:space="0"/>
                    <w:left w:val="single" w:color="000000" w:sz="6" w:space="0"/>
                  </w:tcBorders>
                  <w:noWrap w:val="0"/>
                  <w:vAlign w:val="center"/>
                </w:tcPr>
                <w:p w14:paraId="60CBA6E5">
                  <w:pPr>
                    <w:keepNext w:val="0"/>
                    <w:keepLines w:val="0"/>
                    <w:pageBreakBefore w:val="0"/>
                    <w:kinsoku/>
                    <w:wordWrap/>
                    <w:overflowPunct/>
                    <w:topLinePunct w:val="0"/>
                    <w:autoSpaceDE/>
                    <w:autoSpaceDN/>
                    <w:bidi w:val="0"/>
                    <w:adjustRightInd w:val="0"/>
                    <w:snapToGrid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Y</w:t>
                  </w:r>
                </w:p>
              </w:tc>
            </w:tr>
            <w:tr w14:paraId="0A4FD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44" w:hRule="atLeast"/>
              </w:trPr>
              <w:tc>
                <w:tcPr>
                  <w:tcW w:w="132" w:type="pct"/>
                  <w:vMerge w:val="restart"/>
                  <w:noWrap w:val="0"/>
                  <w:tcMar>
                    <w:right w:w="0" w:type="dxa"/>
                  </w:tcMar>
                  <w:vAlign w:val="center"/>
                </w:tcPr>
                <w:p w14:paraId="2CC499C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198" w:type="pct"/>
                  <w:noWrap w:val="0"/>
                  <w:tcMar>
                    <w:right w:w="0" w:type="dxa"/>
                  </w:tcMar>
                  <w:vAlign w:val="center"/>
                </w:tcPr>
                <w:p w14:paraId="620933DE">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SO</w:t>
                  </w:r>
                  <w:r>
                    <w:rPr>
                      <w:rFonts w:hint="default" w:ascii="Times New Roman" w:hAnsi="Times New Roman" w:cs="Times New Roman"/>
                      <w:snapToGrid w:val="0"/>
                      <w:color w:val="000000" w:themeColor="text1"/>
                      <w:kern w:val="0"/>
                      <w:szCs w:val="21"/>
                      <w:vertAlign w:val="subscript"/>
                      <w14:textFill>
                        <w14:solidFill>
                          <w14:schemeClr w14:val="tx1"/>
                        </w14:solidFill>
                      </w14:textFill>
                    </w:rPr>
                    <w:t>2</w:t>
                  </w:r>
                </w:p>
              </w:tc>
              <w:tc>
                <w:tcPr>
                  <w:tcW w:w="348" w:type="pct"/>
                  <w:noWrap w:val="0"/>
                  <w:tcMar>
                    <w:right w:w="0" w:type="dxa"/>
                  </w:tcMar>
                  <w:vAlign w:val="center"/>
                </w:tcPr>
                <w:p w14:paraId="0CEA734D">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c>
                <w:tcPr>
                  <w:tcW w:w="352" w:type="pct"/>
                  <w:noWrap w:val="0"/>
                  <w:tcMar>
                    <w:right w:w="0" w:type="dxa"/>
                  </w:tcMar>
                  <w:vAlign w:val="center"/>
                </w:tcPr>
                <w:p w14:paraId="3E62025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0.083</w:t>
                  </w:r>
                </w:p>
              </w:tc>
              <w:tc>
                <w:tcPr>
                  <w:tcW w:w="358" w:type="pct"/>
                  <w:noWrap w:val="0"/>
                  <w:tcMar>
                    <w:right w:w="0" w:type="dxa"/>
                  </w:tcMar>
                  <w:vAlign w:val="center"/>
                </w:tcPr>
                <w:p w14:paraId="131C4DA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11.9</w:t>
                  </w:r>
                </w:p>
              </w:tc>
              <w:tc>
                <w:tcPr>
                  <w:tcW w:w="414" w:type="pct"/>
                  <w:tcBorders>
                    <w:right w:val="single" w:color="000000" w:sz="6" w:space="0"/>
                  </w:tcBorders>
                  <w:noWrap w:val="0"/>
                  <w:tcMar>
                    <w:right w:w="0" w:type="dxa"/>
                  </w:tcMar>
                  <w:vAlign w:val="center"/>
                </w:tcPr>
                <w:p w14:paraId="1012C8CA">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c>
                <w:tcPr>
                  <w:tcW w:w="415" w:type="pct"/>
                  <w:tcBorders>
                    <w:left w:val="single" w:color="000000" w:sz="6" w:space="0"/>
                  </w:tcBorders>
                  <w:noWrap w:val="0"/>
                  <w:vAlign w:val="center"/>
                </w:tcPr>
                <w:p w14:paraId="3354E635">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0.083</w:t>
                  </w:r>
                </w:p>
              </w:tc>
              <w:tc>
                <w:tcPr>
                  <w:tcW w:w="358" w:type="pct"/>
                  <w:shd w:val="clear" w:color="auto" w:fill="auto"/>
                  <w:noWrap w:val="0"/>
                  <w:tcMar>
                    <w:right w:w="0" w:type="dxa"/>
                  </w:tcMar>
                  <w:vAlign w:val="center"/>
                </w:tcPr>
                <w:p w14:paraId="16A8E896">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11.9</w:t>
                  </w:r>
                </w:p>
              </w:tc>
              <w:tc>
                <w:tcPr>
                  <w:tcW w:w="380" w:type="pct"/>
                  <w:vMerge w:val="restart"/>
                  <w:noWrap w:val="0"/>
                  <w:tcMar>
                    <w:top w:w="0" w:type="dxa"/>
                    <w:left w:w="108" w:type="dxa"/>
                    <w:bottom w:w="0" w:type="dxa"/>
                    <w:right w:w="0" w:type="dxa"/>
                  </w:tcMar>
                  <w:vAlign w:val="center"/>
                </w:tcPr>
                <w:p w14:paraId="4657420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317" w:type="pct"/>
                  <w:vMerge w:val="restart"/>
                  <w:noWrap w:val="0"/>
                  <w:tcMar>
                    <w:right w:w="0" w:type="dxa"/>
                  </w:tcMar>
                  <w:vAlign w:val="center"/>
                </w:tcPr>
                <w:p w14:paraId="10385FD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lang w:val="en-US" w:eastAsia="zh-CN"/>
                      <w14:textFill>
                        <w14:solidFill>
                          <w14:schemeClr w14:val="tx1"/>
                        </w14:solidFill>
                      </w14:textFill>
                    </w:rPr>
                    <w:t>000</w:t>
                  </w:r>
                </w:p>
              </w:tc>
              <w:tc>
                <w:tcPr>
                  <w:tcW w:w="235" w:type="pct"/>
                  <w:vMerge w:val="restart"/>
                  <w:tcBorders>
                    <w:right w:val="single" w:color="000000" w:sz="6" w:space="0"/>
                  </w:tcBorders>
                  <w:noWrap w:val="0"/>
                  <w:tcMar>
                    <w:right w:w="0" w:type="dxa"/>
                  </w:tcMar>
                  <w:vAlign w:val="center"/>
                </w:tcPr>
                <w:p w14:paraId="095961EF">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253" w:type="pct"/>
                  <w:vMerge w:val="restart"/>
                  <w:tcBorders>
                    <w:left w:val="single" w:color="000000" w:sz="6" w:space="0"/>
                  </w:tcBorders>
                  <w:noWrap w:val="0"/>
                  <w:vAlign w:val="center"/>
                </w:tcPr>
                <w:p w14:paraId="1EB62B5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0.42</w:t>
                  </w:r>
                </w:p>
              </w:tc>
              <w:tc>
                <w:tcPr>
                  <w:tcW w:w="262" w:type="pct"/>
                  <w:vMerge w:val="restart"/>
                  <w:tcBorders>
                    <w:left w:val="single" w:color="000000" w:sz="6" w:space="0"/>
                  </w:tcBorders>
                  <w:noWrap w:val="0"/>
                  <w:vAlign w:val="center"/>
                </w:tcPr>
                <w:p w14:paraId="45DD3DB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w:t>
                  </w:r>
                </w:p>
              </w:tc>
              <w:tc>
                <w:tcPr>
                  <w:tcW w:w="493" w:type="pct"/>
                  <w:vMerge w:val="restart"/>
                  <w:tcBorders>
                    <w:right w:val="single" w:color="000000" w:sz="6" w:space="0"/>
                  </w:tcBorders>
                  <w:noWrap w:val="0"/>
                  <w:tcMar>
                    <w:right w:w="0" w:type="dxa"/>
                  </w:tcMar>
                  <w:vAlign w:val="center"/>
                </w:tcPr>
                <w:p w14:paraId="320018B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121.194006</w:t>
                  </w:r>
                </w:p>
              </w:tc>
              <w:tc>
                <w:tcPr>
                  <w:tcW w:w="477" w:type="pct"/>
                  <w:vMerge w:val="restart"/>
                  <w:tcBorders>
                    <w:left w:val="single" w:color="000000" w:sz="6" w:space="0"/>
                  </w:tcBorders>
                  <w:noWrap w:val="0"/>
                  <w:vAlign w:val="center"/>
                </w:tcPr>
                <w:p w14:paraId="6131596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31.897493</w:t>
                  </w:r>
                </w:p>
              </w:tc>
            </w:tr>
            <w:tr w14:paraId="2C231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44" w:hRule="atLeast"/>
              </w:trPr>
              <w:tc>
                <w:tcPr>
                  <w:tcW w:w="132" w:type="pct"/>
                  <w:vMerge w:val="continue"/>
                  <w:noWrap w:val="0"/>
                  <w:tcMar>
                    <w:right w:w="0" w:type="dxa"/>
                  </w:tcMar>
                  <w:vAlign w:val="center"/>
                </w:tcPr>
                <w:p w14:paraId="4467EF70">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98" w:type="pct"/>
                  <w:noWrap w:val="0"/>
                  <w:tcMar>
                    <w:right w:w="0" w:type="dxa"/>
                  </w:tcMar>
                  <w:vAlign w:val="center"/>
                </w:tcPr>
                <w:p w14:paraId="249F605A">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烟尘</w:t>
                  </w:r>
                </w:p>
              </w:tc>
              <w:tc>
                <w:tcPr>
                  <w:tcW w:w="348" w:type="pct"/>
                  <w:noWrap w:val="0"/>
                  <w:tcMar>
                    <w:right w:w="0" w:type="dxa"/>
                  </w:tcMar>
                  <w:vAlign w:val="center"/>
                </w:tcPr>
                <w:p w14:paraId="6F10FB7C">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p>
              </w:tc>
              <w:tc>
                <w:tcPr>
                  <w:tcW w:w="352" w:type="pct"/>
                  <w:noWrap w:val="0"/>
                  <w:tcMar>
                    <w:right w:w="0" w:type="dxa"/>
                  </w:tcMar>
                  <w:vAlign w:val="center"/>
                </w:tcPr>
                <w:p w14:paraId="4CF4AE68">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w:t>
                  </w: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358" w:type="pct"/>
                  <w:noWrap w:val="0"/>
                  <w:tcMar>
                    <w:right w:w="0" w:type="dxa"/>
                  </w:tcMar>
                  <w:vAlign w:val="center"/>
                </w:tcPr>
                <w:p w14:paraId="1F471311">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8.57</w:t>
                  </w:r>
                </w:p>
              </w:tc>
              <w:tc>
                <w:tcPr>
                  <w:tcW w:w="414" w:type="pct"/>
                  <w:tcBorders>
                    <w:right w:val="single" w:color="000000" w:sz="6" w:space="0"/>
                  </w:tcBorders>
                  <w:shd w:val="clear" w:color="auto" w:fill="auto"/>
                  <w:noWrap w:val="0"/>
                  <w:tcMar>
                    <w:right w:w="0" w:type="dxa"/>
                  </w:tcMar>
                  <w:vAlign w:val="center"/>
                </w:tcPr>
                <w:p w14:paraId="27F6F05E">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p>
              </w:tc>
              <w:tc>
                <w:tcPr>
                  <w:tcW w:w="415" w:type="pct"/>
                  <w:tcBorders>
                    <w:left w:val="single" w:color="000000" w:sz="6" w:space="0"/>
                  </w:tcBorders>
                  <w:shd w:val="clear" w:color="auto" w:fill="auto"/>
                  <w:noWrap w:val="0"/>
                  <w:vAlign w:val="center"/>
                </w:tcPr>
                <w:p w14:paraId="31032128">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w:t>
                  </w: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358" w:type="pct"/>
                  <w:shd w:val="clear" w:color="auto" w:fill="auto"/>
                  <w:noWrap w:val="0"/>
                  <w:tcMar>
                    <w:right w:w="0" w:type="dxa"/>
                  </w:tcMar>
                  <w:vAlign w:val="center"/>
                </w:tcPr>
                <w:p w14:paraId="1A97B08E">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8.57</w:t>
                  </w:r>
                </w:p>
              </w:tc>
              <w:tc>
                <w:tcPr>
                  <w:tcW w:w="380" w:type="pct"/>
                  <w:vMerge w:val="continue"/>
                  <w:noWrap w:val="0"/>
                  <w:tcMar>
                    <w:top w:w="0" w:type="dxa"/>
                    <w:left w:w="108" w:type="dxa"/>
                    <w:bottom w:w="0" w:type="dxa"/>
                    <w:right w:w="0" w:type="dxa"/>
                  </w:tcMar>
                  <w:vAlign w:val="center"/>
                </w:tcPr>
                <w:p w14:paraId="4A9DF4C3">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17" w:type="pct"/>
                  <w:vMerge w:val="continue"/>
                  <w:noWrap w:val="0"/>
                  <w:tcMar>
                    <w:right w:w="0" w:type="dxa"/>
                  </w:tcMar>
                  <w:vAlign w:val="center"/>
                </w:tcPr>
                <w:p w14:paraId="75380B31">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35" w:type="pct"/>
                  <w:vMerge w:val="continue"/>
                  <w:tcBorders>
                    <w:right w:val="single" w:color="000000" w:sz="6" w:space="0"/>
                  </w:tcBorders>
                  <w:noWrap w:val="0"/>
                  <w:tcMar>
                    <w:right w:w="0" w:type="dxa"/>
                  </w:tcMar>
                  <w:vAlign w:val="center"/>
                </w:tcPr>
                <w:p w14:paraId="2B810F0C">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3" w:type="pct"/>
                  <w:vMerge w:val="continue"/>
                  <w:tcBorders>
                    <w:left w:val="single" w:color="000000" w:sz="6" w:space="0"/>
                  </w:tcBorders>
                  <w:noWrap w:val="0"/>
                  <w:vAlign w:val="center"/>
                </w:tcPr>
                <w:p w14:paraId="31961FBB">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62" w:type="pct"/>
                  <w:vMerge w:val="continue"/>
                  <w:tcBorders>
                    <w:left w:val="single" w:color="000000" w:sz="6" w:space="0"/>
                  </w:tcBorders>
                  <w:noWrap w:val="0"/>
                  <w:vAlign w:val="center"/>
                </w:tcPr>
                <w:p w14:paraId="0857608F">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93" w:type="pct"/>
                  <w:vMerge w:val="continue"/>
                  <w:tcBorders>
                    <w:right w:val="single" w:color="000000" w:sz="6" w:space="0"/>
                  </w:tcBorders>
                  <w:noWrap w:val="0"/>
                  <w:tcMar>
                    <w:right w:w="0" w:type="dxa"/>
                  </w:tcMar>
                  <w:vAlign w:val="center"/>
                </w:tcPr>
                <w:p w14:paraId="4830214A">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77" w:type="pct"/>
                  <w:vMerge w:val="continue"/>
                  <w:tcBorders>
                    <w:left w:val="single" w:color="000000" w:sz="6" w:space="0"/>
                  </w:tcBorders>
                  <w:noWrap w:val="0"/>
                  <w:vAlign w:val="center"/>
                </w:tcPr>
                <w:p w14:paraId="5F6F8348">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r w14:paraId="7F3CC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44" w:hRule="atLeast"/>
              </w:trPr>
              <w:tc>
                <w:tcPr>
                  <w:tcW w:w="132" w:type="pct"/>
                  <w:vMerge w:val="continue"/>
                  <w:noWrap w:val="0"/>
                  <w:tcMar>
                    <w:right w:w="0" w:type="dxa"/>
                  </w:tcMar>
                  <w:vAlign w:val="center"/>
                </w:tcPr>
                <w:p w14:paraId="33B9ED41">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98" w:type="pct"/>
                  <w:noWrap w:val="0"/>
                  <w:tcMar>
                    <w:right w:w="0" w:type="dxa"/>
                  </w:tcMar>
                  <w:vAlign w:val="center"/>
                </w:tcPr>
                <w:p w14:paraId="00CB1EA3">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NOx</w:t>
                  </w:r>
                </w:p>
              </w:tc>
              <w:tc>
                <w:tcPr>
                  <w:tcW w:w="348" w:type="pct"/>
                  <w:noWrap w:val="0"/>
                  <w:tcMar>
                    <w:right w:w="0" w:type="dxa"/>
                  </w:tcMar>
                  <w:vAlign w:val="center"/>
                </w:tcPr>
                <w:p w14:paraId="52F4A329">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c>
                <w:tcPr>
                  <w:tcW w:w="352" w:type="pct"/>
                  <w:noWrap w:val="0"/>
                  <w:tcMar>
                    <w:right w:w="0" w:type="dxa"/>
                  </w:tcMar>
                  <w:vAlign w:val="center"/>
                </w:tcPr>
                <w:p w14:paraId="0F6374EC">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0.195</w:t>
                  </w:r>
                </w:p>
              </w:tc>
              <w:tc>
                <w:tcPr>
                  <w:tcW w:w="358" w:type="pct"/>
                  <w:noWrap w:val="0"/>
                  <w:tcMar>
                    <w:right w:w="0" w:type="dxa"/>
                  </w:tcMar>
                  <w:vAlign w:val="center"/>
                </w:tcPr>
                <w:p w14:paraId="261E2E94">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27.9</w:t>
                  </w:r>
                </w:p>
              </w:tc>
              <w:tc>
                <w:tcPr>
                  <w:tcW w:w="414" w:type="pct"/>
                  <w:tcBorders>
                    <w:right w:val="single" w:color="000000" w:sz="6" w:space="0"/>
                  </w:tcBorders>
                  <w:shd w:val="clear" w:color="auto" w:fill="auto"/>
                  <w:noWrap w:val="0"/>
                  <w:tcMar>
                    <w:right w:w="0" w:type="dxa"/>
                  </w:tcMar>
                  <w:vAlign w:val="center"/>
                </w:tcPr>
                <w:p w14:paraId="713D3816">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c>
                <w:tcPr>
                  <w:tcW w:w="415" w:type="pct"/>
                  <w:tcBorders>
                    <w:left w:val="single" w:color="000000" w:sz="6" w:space="0"/>
                  </w:tcBorders>
                  <w:shd w:val="clear" w:color="auto" w:fill="auto"/>
                  <w:noWrap w:val="0"/>
                  <w:vAlign w:val="center"/>
                </w:tcPr>
                <w:p w14:paraId="0A1855C7">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0.195</w:t>
                  </w:r>
                </w:p>
              </w:tc>
              <w:tc>
                <w:tcPr>
                  <w:tcW w:w="358" w:type="pct"/>
                  <w:shd w:val="clear" w:color="auto" w:fill="auto"/>
                  <w:noWrap w:val="0"/>
                  <w:tcMar>
                    <w:right w:w="0" w:type="dxa"/>
                  </w:tcMar>
                  <w:vAlign w:val="center"/>
                </w:tcPr>
                <w:p w14:paraId="40E61213">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27.9</w:t>
                  </w:r>
                </w:p>
              </w:tc>
              <w:tc>
                <w:tcPr>
                  <w:tcW w:w="380" w:type="pct"/>
                  <w:vMerge w:val="continue"/>
                  <w:noWrap w:val="0"/>
                  <w:tcMar>
                    <w:top w:w="0" w:type="dxa"/>
                    <w:left w:w="108" w:type="dxa"/>
                    <w:bottom w:w="0" w:type="dxa"/>
                    <w:right w:w="0" w:type="dxa"/>
                  </w:tcMar>
                  <w:vAlign w:val="center"/>
                </w:tcPr>
                <w:p w14:paraId="5C870521">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17" w:type="pct"/>
                  <w:vMerge w:val="continue"/>
                  <w:noWrap w:val="0"/>
                  <w:tcMar>
                    <w:right w:w="0" w:type="dxa"/>
                  </w:tcMar>
                  <w:vAlign w:val="center"/>
                </w:tcPr>
                <w:p w14:paraId="394FD318">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35" w:type="pct"/>
                  <w:vMerge w:val="continue"/>
                  <w:tcBorders>
                    <w:right w:val="single" w:color="000000" w:sz="6" w:space="0"/>
                  </w:tcBorders>
                  <w:noWrap w:val="0"/>
                  <w:tcMar>
                    <w:right w:w="0" w:type="dxa"/>
                  </w:tcMar>
                  <w:vAlign w:val="center"/>
                </w:tcPr>
                <w:p w14:paraId="092A22D3">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3" w:type="pct"/>
                  <w:vMerge w:val="continue"/>
                  <w:tcBorders>
                    <w:left w:val="single" w:color="000000" w:sz="6" w:space="0"/>
                  </w:tcBorders>
                  <w:noWrap w:val="0"/>
                  <w:vAlign w:val="center"/>
                </w:tcPr>
                <w:p w14:paraId="0305254F">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62" w:type="pct"/>
                  <w:vMerge w:val="continue"/>
                  <w:tcBorders>
                    <w:left w:val="single" w:color="000000" w:sz="6" w:space="0"/>
                  </w:tcBorders>
                  <w:noWrap w:val="0"/>
                  <w:vAlign w:val="center"/>
                </w:tcPr>
                <w:p w14:paraId="3884101F">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93" w:type="pct"/>
                  <w:vMerge w:val="continue"/>
                  <w:tcBorders>
                    <w:right w:val="single" w:color="000000" w:sz="6" w:space="0"/>
                  </w:tcBorders>
                  <w:noWrap w:val="0"/>
                  <w:tcMar>
                    <w:right w:w="0" w:type="dxa"/>
                  </w:tcMar>
                  <w:vAlign w:val="center"/>
                </w:tcPr>
                <w:p w14:paraId="758704CB">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77" w:type="pct"/>
                  <w:vMerge w:val="continue"/>
                  <w:tcBorders>
                    <w:left w:val="single" w:color="000000" w:sz="6" w:space="0"/>
                  </w:tcBorders>
                  <w:noWrap w:val="0"/>
                  <w:vAlign w:val="center"/>
                </w:tcPr>
                <w:p w14:paraId="3B411C6E">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bl>
          <w:p w14:paraId="05E05F31">
            <w:pPr>
              <w:pStyle w:val="5"/>
              <w:keepNext w:val="0"/>
              <w:keepLines w:val="0"/>
              <w:pageBreakBefore w:val="0"/>
              <w:widowControl w:val="0"/>
              <w:tabs>
                <w:tab w:val="left" w:pos="960"/>
                <w:tab w:val="left" w:pos="8760"/>
              </w:tabs>
              <w:kinsoku/>
              <w:wordWrap/>
              <w:overflowPunct/>
              <w:topLinePunct w:val="0"/>
              <w:autoSpaceDE/>
              <w:autoSpaceDN/>
              <w:bidi w:val="0"/>
              <w:adjustRightInd/>
              <w:snapToGrid/>
              <w:spacing w:line="360" w:lineRule="auto"/>
              <w:ind w:left="0" w:leftChars="0" w:firstLine="420" w:firstLineChars="20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风机风量核算：</w:t>
            </w:r>
            <w:r>
              <w:rPr>
                <w:rFonts w:hint="default" w:ascii="Times New Roman" w:hAnsi="Times New Roman" w:eastAsia="宋体" w:cs="Times New Roman"/>
                <w:color w:val="000000" w:themeColor="text1"/>
                <w:sz w:val="21"/>
                <w:szCs w:val="21"/>
                <w14:textFill>
                  <w14:solidFill>
                    <w14:schemeClr w14:val="tx1"/>
                  </w14:solidFill>
                </w14:textFill>
              </w:rPr>
              <w:t>参考《排放源统计调查产排污核算方法和系数手册》4430 热力生产和</w:t>
            </w:r>
          </w:p>
          <w:p w14:paraId="50A2540D">
            <w:pPr>
              <w:pStyle w:val="5"/>
              <w:keepNext w:val="0"/>
              <w:keepLines w:val="0"/>
              <w:pageBreakBefore w:val="0"/>
              <w:widowControl w:val="0"/>
              <w:tabs>
                <w:tab w:val="left" w:pos="960"/>
                <w:tab w:val="left" w:pos="8760"/>
              </w:tabs>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供应行业的产污系数</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废气量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5387650</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Nm3/a</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年运行2400h，计算得理论风机风量应不小于2244.85417m3/h，本项目风机风量为</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000m3/h，可满足生产需求。</w:t>
            </w:r>
          </w:p>
          <w:p w14:paraId="6CA48342">
            <w:pPr>
              <w:pStyle w:val="5"/>
              <w:keepNext w:val="0"/>
              <w:keepLines w:val="0"/>
              <w:pageBreakBefore w:val="0"/>
              <w:widowControl w:val="0"/>
              <w:tabs>
                <w:tab w:val="left" w:pos="960"/>
                <w:tab w:val="left" w:pos="8760"/>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c">
                  <w:drawing>
                    <wp:inline distT="0" distB="0" distL="114300" distR="114300">
                      <wp:extent cx="5252085" cy="1071880"/>
                      <wp:effectExtent l="0" t="0" r="0" b="0"/>
                      <wp:docPr id="62" name="画布 62"/>
                      <wp:cNvGraphicFramePr/>
                      <a:graphic xmlns:a="http://schemas.openxmlformats.org/drawingml/2006/main">
                        <a:graphicData uri="http://schemas.microsoft.com/office/word/2010/wordprocessingCanvas">
                          <wpc:wpc>
                            <wpc:bg/>
                            <wpc:whole/>
                            <wps:wsp>
                              <wps:cNvPr id="63" name="矩形 63"/>
                              <wps:cNvSpPr/>
                              <wps:spPr>
                                <a:xfrm>
                                  <a:off x="73660" y="288290"/>
                                  <a:ext cx="1256665" cy="571500"/>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411A639">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天然气燃烧废气</w:t>
                                    </w:r>
                                  </w:p>
                                  <w:p w14:paraId="4591F8E2">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、NO</w:t>
                                    </w:r>
                                    <w:r>
                                      <w:rPr>
                                        <w:rFonts w:hint="default" w:ascii="Times New Roman" w:hAnsi="Times New Roman" w:cs="Times New Roman"/>
                                        <w:color w:val="000000" w:themeColor="text1"/>
                                        <w:vertAlign w:val="subscript"/>
                                        <w:lang w:val="en-US" w:eastAsia="zh-CN"/>
                                        <w14:textFill>
                                          <w14:solidFill>
                                            <w14:schemeClr w14:val="tx1"/>
                                          </w14:solidFill>
                                        </w14:textFill>
                                      </w:rPr>
                                      <w:t>X</w:t>
                                    </w:r>
                                    <w:r>
                                      <w:rPr>
                                        <w:rFonts w:hint="default" w:ascii="Times New Roman" w:hAnsi="Times New Roman" w:cs="Times New Roman"/>
                                        <w:color w:val="000000" w:themeColor="text1"/>
                                        <w:lang w:val="en-US" w:eastAsia="zh-CN"/>
                                        <w14:textFill>
                                          <w14:solidFill>
                                            <w14:schemeClr w14:val="tx1"/>
                                          </w14:solidFill>
                                        </w14:textFill>
                                      </w:rPr>
                                      <w:t>、烟尘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64"/>
                              <wps:cNvSpPr/>
                              <wps:spPr>
                                <a:xfrm>
                                  <a:off x="1951355" y="408305"/>
                                  <a:ext cx="1000125" cy="33337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91B02BE">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低氮燃烧装置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65"/>
                              <wps:cNvSpPr/>
                              <wps:spPr>
                                <a:xfrm>
                                  <a:off x="3494405" y="408305"/>
                                  <a:ext cx="1076325" cy="32448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7F5FC97">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排气筒DA001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直接箭头连接符 66"/>
                              <wps:cNvCnPr>
                                <a:stCxn id="63" idx="3"/>
                                <a:endCxn id="64" idx="1"/>
                              </wps:cNvCnPr>
                              <wps:spPr>
                                <a:xfrm>
                                  <a:off x="1330325" y="574040"/>
                                  <a:ext cx="621030" cy="127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 name="直接箭头连接符 67"/>
                              <wps:cNvCnPr>
                                <a:stCxn id="64" idx="3"/>
                                <a:endCxn id="65" idx="1"/>
                              </wps:cNvCnPr>
                              <wps:spPr>
                                <a:xfrm flipV="1">
                                  <a:off x="2951480" y="570865"/>
                                  <a:ext cx="542925" cy="444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84.4pt;width:413.55pt;" coordsize="5252085,1071880" editas="canvas" o:gfxdata="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JQEkZDWAAAA&#10;BQEAAA8AAAAAAAAAAQAgAAAAIgAAAGRycy9kb3ducmV2LnhtbFBLAQIUABQAAAAIAIdO4kDuc1D3&#10;IAQAAFQQAAAOAAAAAAAAAAEAIAAAACUBAABkcnMvZTJvRG9jLnhtbFBLBQYAAAAABgAGAFkBAAC3&#10;BwAAAAA=&#10;">
                      <o:lock v:ext="edit" aspectratio="f"/>
                      <v:shape id="_x0000_s1026" o:spid="_x0000_s1026" style="position:absolute;left:0;top:0;height:1071880;width:5252085;" filled="f" stroked="f" coordsize="21600,21600" o:gfxdata="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JQEkZDWAAAABQEAAA8AAAAAAAAAAQAgAAAAIgAAAGRycy9kb3ducmV2&#10;LnhtbFBLAQIUABQAAAAIAIdO4kDzdOmexgMAAJkPAAAOAAAAAAAAAAEAIAAAACUBAABkcnMvZTJv&#10;RG9jLnhtbFBLBQYAAAAABgAGAFkBAABdBwAAAAA=&#10;">
                        <v:fill on="f" focussize="0,0"/>
                        <v:stroke on="f"/>
                        <v:imagedata o:title=""/>
                        <o:lock v:ext="edit" aspectratio="f"/>
                      </v:shape>
                      <v:rect id="_x0000_s1026" o:spid="_x0000_s1026" o:spt="1" style="position:absolute;left:73660;top:288290;height:571500;width:1256665;v-text-anchor:middle;" filled="f" stroked="t" coordsize="21600,21600" o:gfxdata="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rgsRTVAAAABQEAAA8AAAAAAAAAAQAgAAAAIgAAAGRycy9kb3ducmV2Lnht&#10;bFBLAQIUABQAAAAIAIdO4kADY6E7bgIAAMkEAAAOAAAAAAAAAAEAIAAAACQBAABkcnMvZTJvRG9j&#10;LnhtbFBLBQYAAAAABgAGAFkBAAAEBgAAAAA=&#10;">
                        <v:fill on="f" focussize="0,0"/>
                        <v:stroke color="#000000 [3213]" joinstyle="round"/>
                        <v:imagedata o:title=""/>
                        <o:lock v:ext="edit" aspectratio="f"/>
                        <v:textbox>
                          <w:txbxContent>
                            <w:p w14:paraId="4411A639">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天然气燃烧废气</w:t>
                              </w:r>
                            </w:p>
                            <w:p w14:paraId="4591F8E2">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、NO</w:t>
                              </w:r>
                              <w:r>
                                <w:rPr>
                                  <w:rFonts w:hint="default" w:ascii="Times New Roman" w:hAnsi="Times New Roman" w:cs="Times New Roman"/>
                                  <w:color w:val="000000" w:themeColor="text1"/>
                                  <w:vertAlign w:val="subscript"/>
                                  <w:lang w:val="en-US" w:eastAsia="zh-CN"/>
                                  <w14:textFill>
                                    <w14:solidFill>
                                      <w14:schemeClr w14:val="tx1"/>
                                    </w14:solidFill>
                                  </w14:textFill>
                                </w:rPr>
                                <w:t>X</w:t>
                              </w:r>
                              <w:r>
                                <w:rPr>
                                  <w:rFonts w:hint="default" w:ascii="Times New Roman" w:hAnsi="Times New Roman" w:cs="Times New Roman"/>
                                  <w:color w:val="000000" w:themeColor="text1"/>
                                  <w:lang w:val="en-US" w:eastAsia="zh-CN"/>
                                  <w14:textFill>
                                    <w14:solidFill>
                                      <w14:schemeClr w14:val="tx1"/>
                                    </w14:solidFill>
                                  </w14:textFill>
                                </w:rPr>
                                <w:t>、烟尘</w:t>
                              </w:r>
                            </w:p>
                          </w:txbxContent>
                        </v:textbox>
                      </v:rect>
                      <v:rect id="_x0000_s1026" o:spid="_x0000_s1026" o:spt="1" style="position:absolute;left:1951355;top:408305;height:333375;width:1000125;v-text-anchor:middle;" filled="f" stroked="t" coordsize="21600,21600" o:gfxdata="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a4LEU1QAAAAUBAAAPAAAAAAAAAAEAIAAAACIAAABkcnMvZG93bnJldi54bWxQ&#10;SwECFAAUAAAACACHTuJANK3Y52wCAADLBAAADgAAAAAAAAABACAAAAAkAQAAZHJzL2Uyb0RvYy54&#10;bWxQSwUGAAAAAAYABgBZAQAAAgYAAAAA&#10;">
                        <v:fill on="f" focussize="0,0"/>
                        <v:stroke color="#000000 [3213]" joinstyle="round"/>
                        <v:imagedata o:title=""/>
                        <o:lock v:ext="edit" aspectratio="f"/>
                        <v:textbox>
                          <w:txbxContent>
                            <w:p w14:paraId="091B02BE">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低氮燃烧装置</w:t>
                              </w:r>
                            </w:p>
                          </w:txbxContent>
                        </v:textbox>
                      </v:rect>
                      <v:rect id="_x0000_s1026" o:spid="_x0000_s1026" o:spt="1" style="position:absolute;left:3494405;top:408305;height:324485;width:1076325;v-text-anchor:middle;" filled="f" stroked="t" coordsize="21600,21600" o:gfxdata="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a4LEU1QAAAAUBAAAPAAAAAAAAAAEAIAAAACIAAABkcnMvZG93bnJldi54bWxQ&#10;SwECFAAUAAAACACHTuJADM1z82wCAADLBAAADgAAAAAAAAABACAAAAAkAQAAZHJzL2Uyb0RvYy54&#10;bWxQSwUGAAAAAAYABgBZAQAAAgYAAAAA&#10;">
                        <v:fill on="f" focussize="0,0"/>
                        <v:stroke color="#000000 [3213]" joinstyle="round"/>
                        <v:imagedata o:title=""/>
                        <o:lock v:ext="edit" aspectratio="f"/>
                        <v:textbox>
                          <w:txbxContent>
                            <w:p w14:paraId="47F5FC97">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排气筒DA001</w:t>
                              </w:r>
                            </w:p>
                          </w:txbxContent>
                        </v:textbox>
                      </v:rect>
                      <v:shape id="_x0000_s1026" o:spid="_x0000_s1026" o:spt="32" type="#_x0000_t32" style="position:absolute;left:1330325;top:574040;height:1270;width:621030;" filled="f" stroked="t" coordsize="21600,21600" o:gfxdata="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LystvUAAAA&#10;BQEAAA8AAAAAAAAAAQAgAAAAIgAAAGRycy9kb3ducmV2LnhtbFBLAQIUABQAAAAIAIdO4kD3EZOr&#10;IQIAABgEAAAOAAAAAAAAAAEAIAAAACMBAABkcnMvZTJvRG9jLnhtbFBLBQYAAAAABgAGAFkBAAC2&#10;BQAAAAA=&#10;">
                        <v:fill on="f" focussize="0,0"/>
                        <v:stroke color="#000000 [3213]" joinstyle="round" endarrow="open"/>
                        <v:imagedata o:title=""/>
                        <o:lock v:ext="edit" aspectratio="f"/>
                      </v:shape>
                      <v:shape id="_x0000_s1026" o:spid="_x0000_s1026" o:spt="32" type="#_x0000_t32" style="position:absolute;left:2951480;top:570865;flip:y;height:4445;width:542925;" filled="f" stroked="t" coordsize="21600,21600" o:gfxdata="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av&#10;+RDUAAAABQEAAA8AAAAAAAAAAQAgAAAAIgAAAGRycy9kb3ducmV2LnhtbFBLAQIUABQAAAAIAIdO&#10;4kAWjAjqJwIAACIEAAAOAAAAAAAAAAEAIAAAACMBAABkcnMvZTJvRG9jLnhtbFBLBQYAAAAABgAG&#10;AFkBAAC8BQAAAAA=&#10;">
                        <v:fill on="f" focussize="0,0"/>
                        <v:stroke color="#000000 [3213]" joinstyle="round" endarrow="open"/>
                        <v:imagedata o:title=""/>
                        <o:lock v:ext="edit" aspectratio="f"/>
                      </v:shape>
                      <w10:wrap type="none"/>
                      <w10:anchorlock/>
                    </v:group>
                  </w:pict>
                </mc:Fallback>
              </mc:AlternateContent>
            </w:r>
            <w:r>
              <w:rPr>
                <w:rFonts w:hint="default" w:ascii="Times New Roman" w:hAnsi="Times New Roman" w:cs="Times New Roman"/>
                <w:b/>
                <w:bCs w:val="0"/>
                <w:color w:val="000000" w:themeColor="text1"/>
                <w:sz w:val="21"/>
                <w:szCs w:val="21"/>
                <w:lang w:val="en-US" w:eastAsia="zh-CN"/>
                <w14:textFill>
                  <w14:solidFill>
                    <w14:schemeClr w14:val="tx1"/>
                  </w14:solidFill>
                </w14:textFill>
              </w:rPr>
              <w:t>图4-1 废气收集、处理与排放示意图</w:t>
            </w:r>
          </w:p>
          <w:p w14:paraId="551C3ED0">
            <w:pPr>
              <w:pStyle w:val="5"/>
              <w:tabs>
                <w:tab w:val="left" w:pos="960"/>
                <w:tab w:val="left" w:pos="8760"/>
              </w:tabs>
              <w:adjustRightInd w:val="0"/>
              <w:snapToGrid w:val="0"/>
              <w:ind w:firstLine="0" w:firstLineChars="0"/>
              <w:jc w:val="center"/>
              <w:rPr>
                <w:rFonts w:hint="default" w:ascii="Times New Roman" w:hAnsi="Times New Roman"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表4-</w:t>
            </w:r>
            <w:r>
              <w:rPr>
                <w:rFonts w:hint="eastAsia" w:ascii="Times New Roman" w:hAnsi="Times New Roman" w:cs="Times New Roman"/>
                <w:b/>
                <w:color w:val="000000" w:themeColor="text1"/>
                <w:sz w:val="21"/>
                <w:szCs w:val="21"/>
                <w:lang w:val="en-US" w:eastAsia="zh-CN"/>
                <w14:textFill>
                  <w14:solidFill>
                    <w14:schemeClr w14:val="tx1"/>
                  </w14:solidFill>
                </w14:textFill>
              </w:rPr>
              <w:t>10</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 废气非正常排放情况</w:t>
            </w:r>
          </w:p>
          <w:tbl>
            <w:tblPr>
              <w:tblStyle w:val="42"/>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Layout w:type="fixed"/>
              <w:tblCellMar>
                <w:top w:w="0" w:type="dxa"/>
                <w:left w:w="108" w:type="dxa"/>
                <w:bottom w:w="0" w:type="dxa"/>
                <w:right w:w="108" w:type="dxa"/>
              </w:tblCellMar>
            </w:tblPr>
            <w:tblGrid>
              <w:gridCol w:w="1144"/>
              <w:gridCol w:w="1066"/>
              <w:gridCol w:w="783"/>
              <w:gridCol w:w="1245"/>
              <w:gridCol w:w="1245"/>
              <w:gridCol w:w="1392"/>
              <w:gridCol w:w="1396"/>
            </w:tblGrid>
            <w:tr w14:paraId="3029E5BA">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130" w:hRule="atLeast"/>
                <w:tblHeader/>
                <w:jc w:val="center"/>
              </w:trPr>
              <w:tc>
                <w:tcPr>
                  <w:tcW w:w="1144" w:type="dxa"/>
                  <w:tcBorders>
                    <w:tl2br w:val="nil"/>
                    <w:tr2bl w:val="nil"/>
                  </w:tcBorders>
                  <w:shd w:val="clear" w:color="auto" w:fill="auto"/>
                  <w:noWrap w:val="0"/>
                  <w:vAlign w:val="center"/>
                </w:tcPr>
                <w:p w14:paraId="1C363EE3">
                  <w:pPr>
                    <w:pStyle w:val="80"/>
                    <w:spacing w:before="31" w:after="31"/>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非正常排放源</w:t>
                  </w:r>
                </w:p>
              </w:tc>
              <w:tc>
                <w:tcPr>
                  <w:tcW w:w="1066" w:type="dxa"/>
                  <w:tcBorders>
                    <w:tl2br w:val="nil"/>
                    <w:tr2bl w:val="nil"/>
                  </w:tcBorders>
                  <w:shd w:val="clear" w:color="auto" w:fill="auto"/>
                  <w:noWrap w:val="0"/>
                  <w:vAlign w:val="center"/>
                </w:tcPr>
                <w:p w14:paraId="43E01BFF">
                  <w:pPr>
                    <w:pStyle w:val="80"/>
                    <w:spacing w:before="31" w:after="31"/>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非正常排放原因</w:t>
                  </w:r>
                </w:p>
              </w:tc>
              <w:tc>
                <w:tcPr>
                  <w:tcW w:w="783" w:type="dxa"/>
                  <w:tcBorders>
                    <w:tl2br w:val="nil"/>
                    <w:tr2bl w:val="nil"/>
                  </w:tcBorders>
                  <w:shd w:val="clear" w:color="auto" w:fill="auto"/>
                  <w:noWrap w:val="0"/>
                  <w:vAlign w:val="center"/>
                </w:tcPr>
                <w:p w14:paraId="646A50EC">
                  <w:pPr>
                    <w:pStyle w:val="80"/>
                    <w:spacing w:before="31" w:after="31"/>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1245" w:type="dxa"/>
                  <w:tcBorders>
                    <w:tl2br w:val="nil"/>
                    <w:tr2bl w:val="nil"/>
                  </w:tcBorders>
                  <w:shd w:val="clear" w:color="auto" w:fill="auto"/>
                  <w:noWrap w:val="0"/>
                  <w:vAlign w:val="center"/>
                </w:tcPr>
                <w:p w14:paraId="3AE7D722">
                  <w:pPr>
                    <w:pStyle w:val="80"/>
                    <w:spacing w:before="31" w:after="31"/>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非正常排放速率/（kg/h）</w:t>
                  </w:r>
                </w:p>
              </w:tc>
              <w:tc>
                <w:tcPr>
                  <w:tcW w:w="1245" w:type="dxa"/>
                  <w:tcBorders>
                    <w:tl2br w:val="nil"/>
                    <w:tr2bl w:val="nil"/>
                  </w:tcBorders>
                  <w:shd w:val="clear" w:color="auto" w:fill="auto"/>
                  <w:noWrap w:val="0"/>
                  <w:vAlign w:val="center"/>
                </w:tcPr>
                <w:p w14:paraId="6435C854">
                  <w:pPr>
                    <w:pStyle w:val="80"/>
                    <w:spacing w:before="31" w:after="31"/>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非正常排放浓度/（</w:t>
                  </w: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1392" w:type="dxa"/>
                  <w:tcBorders>
                    <w:tl2br w:val="nil"/>
                    <w:tr2bl w:val="nil"/>
                  </w:tcBorders>
                  <w:shd w:val="clear" w:color="auto" w:fill="auto"/>
                  <w:noWrap w:val="0"/>
                  <w:vAlign w:val="center"/>
                </w:tcPr>
                <w:p w14:paraId="5680CD3A">
                  <w:pPr>
                    <w:pStyle w:val="80"/>
                    <w:spacing w:before="31" w:after="31"/>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年发生频次</w:t>
                  </w:r>
                </w:p>
              </w:tc>
              <w:tc>
                <w:tcPr>
                  <w:tcW w:w="1396" w:type="dxa"/>
                  <w:tcBorders>
                    <w:tl2br w:val="nil"/>
                    <w:tr2bl w:val="nil"/>
                  </w:tcBorders>
                  <w:shd w:val="clear" w:color="auto" w:fill="auto"/>
                  <w:noWrap w:val="0"/>
                  <w:vAlign w:val="center"/>
                </w:tcPr>
                <w:p w14:paraId="0DAF8CCF">
                  <w:pPr>
                    <w:pStyle w:val="80"/>
                    <w:spacing w:before="31" w:after="31"/>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应对措施</w:t>
                  </w:r>
                </w:p>
              </w:tc>
            </w:tr>
            <w:tr w14:paraId="3BBBDB09">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544" w:hRule="atLeast"/>
                <w:tblHeader/>
                <w:jc w:val="center"/>
              </w:trPr>
              <w:tc>
                <w:tcPr>
                  <w:tcW w:w="1144" w:type="dxa"/>
                  <w:vMerge w:val="restart"/>
                  <w:tcBorders>
                    <w:tl2br w:val="nil"/>
                    <w:tr2bl w:val="nil"/>
                  </w:tcBorders>
                  <w:shd w:val="clear" w:color="auto" w:fill="auto"/>
                  <w:noWrap w:val="0"/>
                  <w:vAlign w:val="center"/>
                </w:tcPr>
                <w:p w14:paraId="256027D3">
                  <w:pPr>
                    <w:adjustRightInd w:val="0"/>
                    <w:snapToGrid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排气筒</w:t>
                  </w: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1066" w:type="dxa"/>
                  <w:vMerge w:val="restart"/>
                  <w:tcBorders>
                    <w:tl2br w:val="nil"/>
                    <w:tr2bl w:val="nil"/>
                  </w:tcBorders>
                  <w:shd w:val="clear" w:color="auto" w:fill="auto"/>
                  <w:noWrap w:val="0"/>
                  <w:vAlign w:val="center"/>
                </w:tcPr>
                <w:p w14:paraId="6BFB14A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废气处理设施故障</w:t>
                  </w:r>
                </w:p>
              </w:tc>
              <w:tc>
                <w:tcPr>
                  <w:tcW w:w="783" w:type="dxa"/>
                  <w:tcBorders>
                    <w:tl2br w:val="nil"/>
                    <w:tr2bl w:val="nil"/>
                  </w:tcBorders>
                  <w:shd w:val="clear" w:color="auto" w:fill="auto"/>
                  <w:noWrap w:val="0"/>
                  <w:vAlign w:val="center"/>
                </w:tcPr>
                <w:p w14:paraId="637910E5">
                  <w:pPr>
                    <w:adjustRightIn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氮氧化物</w:t>
                  </w:r>
                </w:p>
              </w:tc>
              <w:tc>
                <w:tcPr>
                  <w:tcW w:w="1245" w:type="dxa"/>
                  <w:tcBorders>
                    <w:tl2br w:val="nil"/>
                    <w:tr2bl w:val="nil"/>
                  </w:tcBorders>
                  <w:shd w:val="clear" w:color="auto" w:fill="auto"/>
                  <w:noWrap w:val="0"/>
                  <w:vAlign w:val="center"/>
                </w:tcPr>
                <w:p w14:paraId="564087AE">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0.39</w:t>
                  </w:r>
                </w:p>
              </w:tc>
              <w:tc>
                <w:tcPr>
                  <w:tcW w:w="1245" w:type="dxa"/>
                  <w:tcBorders>
                    <w:tl2br w:val="nil"/>
                    <w:tr2bl w:val="nil"/>
                  </w:tcBorders>
                  <w:shd w:val="clear" w:color="auto" w:fill="auto"/>
                  <w:noWrap w:val="0"/>
                  <w:vAlign w:val="center"/>
                </w:tcPr>
                <w:p w14:paraId="7B23C7E8">
                  <w:pPr>
                    <w:pStyle w:val="80"/>
                    <w:spacing w:before="31" w:after="31"/>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55.7</w:t>
                  </w:r>
                </w:p>
              </w:tc>
              <w:tc>
                <w:tcPr>
                  <w:tcW w:w="1392" w:type="dxa"/>
                  <w:vMerge w:val="restart"/>
                  <w:tcBorders>
                    <w:tl2br w:val="nil"/>
                    <w:tr2bl w:val="nil"/>
                  </w:tcBorders>
                  <w:shd w:val="clear" w:color="auto" w:fill="auto"/>
                  <w:noWrap w:val="0"/>
                  <w:vAlign w:val="center"/>
                </w:tcPr>
                <w:p w14:paraId="7AB95C73">
                  <w:pPr>
                    <w:pStyle w:val="80"/>
                    <w:spacing w:before="31" w:after="31"/>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年发生频次不超过1次</w:t>
                  </w:r>
                </w:p>
              </w:tc>
              <w:tc>
                <w:tcPr>
                  <w:tcW w:w="1396" w:type="dxa"/>
                  <w:vMerge w:val="restart"/>
                  <w:tcBorders>
                    <w:tl2br w:val="nil"/>
                    <w:tr2bl w:val="nil"/>
                  </w:tcBorders>
                  <w:shd w:val="clear" w:color="auto" w:fill="auto"/>
                  <w:noWrap w:val="0"/>
                  <w:vAlign w:val="center"/>
                </w:tcPr>
                <w:p w14:paraId="0C59824D">
                  <w:pPr>
                    <w:pStyle w:val="80"/>
                    <w:spacing w:before="31" w:after="31"/>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停止生产，对设备进行检修</w:t>
                  </w:r>
                </w:p>
              </w:tc>
            </w:tr>
            <w:tr w14:paraId="656002ED">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544" w:hRule="atLeast"/>
                <w:tblHeader/>
                <w:jc w:val="center"/>
              </w:trPr>
              <w:tc>
                <w:tcPr>
                  <w:tcW w:w="1144" w:type="dxa"/>
                  <w:vMerge w:val="continue"/>
                  <w:tcBorders>
                    <w:tl2br w:val="nil"/>
                    <w:tr2bl w:val="nil"/>
                  </w:tcBorders>
                  <w:shd w:val="clear" w:color="auto" w:fill="auto"/>
                  <w:noWrap w:val="0"/>
                  <w:vAlign w:val="center"/>
                </w:tcPr>
                <w:p w14:paraId="3084DE56">
                  <w:pPr>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066" w:type="dxa"/>
                  <w:vMerge w:val="continue"/>
                  <w:tcBorders>
                    <w:tl2br w:val="nil"/>
                    <w:tr2bl w:val="nil"/>
                  </w:tcBorders>
                  <w:shd w:val="clear" w:color="auto" w:fill="auto"/>
                  <w:noWrap w:val="0"/>
                  <w:vAlign w:val="center"/>
                </w:tcPr>
                <w:p w14:paraId="24E7AF3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83" w:type="dxa"/>
                  <w:tcBorders>
                    <w:tl2br w:val="nil"/>
                    <w:tr2bl w:val="nil"/>
                  </w:tcBorders>
                  <w:shd w:val="clear" w:color="auto" w:fill="auto"/>
                  <w:noWrap w:val="0"/>
                  <w:vAlign w:val="center"/>
                </w:tcPr>
                <w:p w14:paraId="0D2D47A5">
                  <w:pPr>
                    <w:adjustRightIn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1245" w:type="dxa"/>
                  <w:tcBorders>
                    <w:tl2br w:val="nil"/>
                    <w:tr2bl w:val="nil"/>
                  </w:tcBorders>
                  <w:shd w:val="clear" w:color="auto" w:fill="auto"/>
                  <w:noWrap w:val="0"/>
                  <w:vAlign w:val="center"/>
                </w:tcPr>
                <w:p w14:paraId="2D38D15F">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0.083</w:t>
                  </w:r>
                </w:p>
              </w:tc>
              <w:tc>
                <w:tcPr>
                  <w:tcW w:w="1245" w:type="dxa"/>
                  <w:tcBorders>
                    <w:tl2br w:val="nil"/>
                    <w:tr2bl w:val="nil"/>
                  </w:tcBorders>
                  <w:shd w:val="clear" w:color="auto" w:fill="auto"/>
                  <w:noWrap w:val="0"/>
                  <w:vAlign w:val="center"/>
                </w:tcPr>
                <w:p w14:paraId="712F4FDA">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11.9</w:t>
                  </w:r>
                </w:p>
              </w:tc>
              <w:tc>
                <w:tcPr>
                  <w:tcW w:w="1392" w:type="dxa"/>
                  <w:vMerge w:val="continue"/>
                  <w:tcBorders>
                    <w:tl2br w:val="nil"/>
                    <w:tr2bl w:val="nil"/>
                  </w:tcBorders>
                  <w:shd w:val="clear" w:color="auto" w:fill="auto"/>
                  <w:noWrap w:val="0"/>
                  <w:vAlign w:val="center"/>
                </w:tcPr>
                <w:p w14:paraId="468A3FFF">
                  <w:pPr>
                    <w:pStyle w:val="80"/>
                    <w:spacing w:before="31" w:after="31"/>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396" w:type="dxa"/>
                  <w:vMerge w:val="continue"/>
                  <w:tcBorders>
                    <w:tl2br w:val="nil"/>
                    <w:tr2bl w:val="nil"/>
                  </w:tcBorders>
                  <w:shd w:val="clear" w:color="auto" w:fill="auto"/>
                  <w:noWrap w:val="0"/>
                  <w:vAlign w:val="center"/>
                </w:tcPr>
                <w:p w14:paraId="377885B5">
                  <w:pPr>
                    <w:pStyle w:val="80"/>
                    <w:spacing w:before="31" w:after="31"/>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18C85C48">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PrEx>
              <w:trPr>
                <w:trHeight w:val="544" w:hRule="atLeast"/>
                <w:tblHeader/>
                <w:jc w:val="center"/>
              </w:trPr>
              <w:tc>
                <w:tcPr>
                  <w:tcW w:w="1144" w:type="dxa"/>
                  <w:vMerge w:val="continue"/>
                  <w:tcBorders>
                    <w:tl2br w:val="nil"/>
                    <w:tr2bl w:val="nil"/>
                  </w:tcBorders>
                  <w:shd w:val="clear" w:color="auto" w:fill="auto"/>
                  <w:noWrap w:val="0"/>
                  <w:vAlign w:val="center"/>
                </w:tcPr>
                <w:p w14:paraId="43483E63">
                  <w:pPr>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066" w:type="dxa"/>
                  <w:vMerge w:val="continue"/>
                  <w:tcBorders>
                    <w:tl2br w:val="nil"/>
                    <w:tr2bl w:val="nil"/>
                  </w:tcBorders>
                  <w:shd w:val="clear" w:color="auto" w:fill="auto"/>
                  <w:noWrap w:val="0"/>
                  <w:vAlign w:val="center"/>
                </w:tcPr>
                <w:p w14:paraId="325E5FDB">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83" w:type="dxa"/>
                  <w:tcBorders>
                    <w:tl2br w:val="nil"/>
                    <w:tr2bl w:val="nil"/>
                  </w:tcBorders>
                  <w:shd w:val="clear" w:color="auto" w:fill="auto"/>
                  <w:noWrap w:val="0"/>
                  <w:vAlign w:val="center"/>
                </w:tcPr>
                <w:p w14:paraId="30918C7A">
                  <w:pPr>
                    <w:adjustRightIn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烟尘</w:t>
                  </w:r>
                </w:p>
              </w:tc>
              <w:tc>
                <w:tcPr>
                  <w:tcW w:w="1245" w:type="dxa"/>
                  <w:tcBorders>
                    <w:tl2br w:val="nil"/>
                    <w:tr2bl w:val="nil"/>
                  </w:tcBorders>
                  <w:shd w:val="clear" w:color="auto" w:fill="auto"/>
                  <w:noWrap w:val="0"/>
                  <w:vAlign w:val="center"/>
                </w:tcPr>
                <w:p w14:paraId="182E6321">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w:t>
                  </w: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1245" w:type="dxa"/>
                  <w:tcBorders>
                    <w:tl2br w:val="nil"/>
                    <w:tr2bl w:val="nil"/>
                  </w:tcBorders>
                  <w:shd w:val="clear" w:color="auto" w:fill="auto"/>
                  <w:noWrap w:val="0"/>
                  <w:vAlign w:val="center"/>
                </w:tcPr>
                <w:p w14:paraId="335A95C1">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8.57</w:t>
                  </w:r>
                </w:p>
              </w:tc>
              <w:tc>
                <w:tcPr>
                  <w:tcW w:w="1392" w:type="dxa"/>
                  <w:vMerge w:val="continue"/>
                  <w:tcBorders>
                    <w:tl2br w:val="nil"/>
                    <w:tr2bl w:val="nil"/>
                  </w:tcBorders>
                  <w:shd w:val="clear" w:color="auto" w:fill="auto"/>
                  <w:noWrap w:val="0"/>
                  <w:vAlign w:val="center"/>
                </w:tcPr>
                <w:p w14:paraId="62668376">
                  <w:pPr>
                    <w:pStyle w:val="80"/>
                    <w:spacing w:before="31" w:after="31"/>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396" w:type="dxa"/>
                  <w:vMerge w:val="continue"/>
                  <w:tcBorders>
                    <w:tl2br w:val="nil"/>
                    <w:tr2bl w:val="nil"/>
                  </w:tcBorders>
                  <w:shd w:val="clear" w:color="auto" w:fill="auto"/>
                  <w:noWrap w:val="0"/>
                  <w:vAlign w:val="center"/>
                </w:tcPr>
                <w:p w14:paraId="4960708E">
                  <w:pPr>
                    <w:pStyle w:val="80"/>
                    <w:spacing w:before="31" w:after="31"/>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bl>
          <w:p w14:paraId="38D012D7">
            <w:pPr>
              <w:pStyle w:val="4"/>
              <w:spacing w:before="0" w:after="0" w:line="360" w:lineRule="auto"/>
              <w:ind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（2）大气污染源监测计划</w:t>
            </w:r>
          </w:p>
          <w:p w14:paraId="1535A750">
            <w:pPr>
              <w:pStyle w:val="4"/>
              <w:spacing w:before="0" w:after="0" w:line="360" w:lineRule="auto"/>
              <w:ind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①污染源自行监测方案</w:t>
            </w:r>
          </w:p>
          <w:p w14:paraId="171A2489">
            <w:pPr>
              <w:pStyle w:val="4"/>
              <w:spacing w:before="0" w:after="0" w:line="360" w:lineRule="auto"/>
              <w:ind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企业应按照《排污单位自行监测技术指南总则》（HJ 819-2017）、《固定污染源排污许可分类管理目录》</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、《排污许可证申请与核发技术规范 锅炉》（HJ953-2018）</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相关要求，开展大气污染源监测，大气污染源监测计划见表4-</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11</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p w14:paraId="2AEABD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表4-</w:t>
            </w: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11</w:t>
            </w:r>
            <w:r>
              <w:rPr>
                <w:rFonts w:hint="default" w:ascii="Times New Roman" w:hAnsi="Times New Roman" w:cs="Times New Roman"/>
                <w:b/>
                <w:bCs/>
                <w:color w:val="000000" w:themeColor="text1"/>
                <w:kern w:val="0"/>
                <w:sz w:val="21"/>
                <w:szCs w:val="21"/>
                <w14:textFill>
                  <w14:solidFill>
                    <w14:schemeClr w14:val="tx1"/>
                  </w14:solidFill>
                </w14:textFill>
              </w:rPr>
              <w:t xml:space="preserve">  大气污染源监测计划</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39"/>
              <w:gridCol w:w="885"/>
              <w:gridCol w:w="1594"/>
              <w:gridCol w:w="1984"/>
              <w:gridCol w:w="2993"/>
            </w:tblGrid>
            <w:tr w14:paraId="2E8DC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739" w:type="dxa"/>
                  <w:noWrap w:val="0"/>
                  <w:vAlign w:val="center"/>
                </w:tcPr>
                <w:p w14:paraId="7589BDA4">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类别</w:t>
                  </w:r>
                </w:p>
              </w:tc>
              <w:tc>
                <w:tcPr>
                  <w:tcW w:w="2479" w:type="dxa"/>
                  <w:gridSpan w:val="2"/>
                  <w:noWrap w:val="0"/>
                  <w:vAlign w:val="center"/>
                </w:tcPr>
                <w:p w14:paraId="306DBD9E">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监测位置</w:t>
                  </w:r>
                </w:p>
              </w:tc>
              <w:tc>
                <w:tcPr>
                  <w:tcW w:w="1984" w:type="dxa"/>
                  <w:noWrap w:val="0"/>
                  <w:vAlign w:val="center"/>
                </w:tcPr>
                <w:p w14:paraId="276239CE">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监测项目</w:t>
                  </w:r>
                </w:p>
              </w:tc>
              <w:tc>
                <w:tcPr>
                  <w:tcW w:w="2993" w:type="dxa"/>
                  <w:noWrap w:val="0"/>
                  <w:vAlign w:val="center"/>
                </w:tcPr>
                <w:p w14:paraId="7754F2C7">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监测频次</w:t>
                  </w:r>
                </w:p>
              </w:tc>
            </w:tr>
            <w:tr w14:paraId="6F3E3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62" w:hRule="atLeast"/>
              </w:trPr>
              <w:tc>
                <w:tcPr>
                  <w:tcW w:w="739" w:type="dxa"/>
                  <w:vMerge w:val="restart"/>
                  <w:noWrap w:val="0"/>
                  <w:vAlign w:val="center"/>
                </w:tcPr>
                <w:p w14:paraId="16628AD1">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废气</w:t>
                  </w:r>
                </w:p>
              </w:tc>
              <w:tc>
                <w:tcPr>
                  <w:tcW w:w="885" w:type="dxa"/>
                  <w:vMerge w:val="restart"/>
                  <w:noWrap w:val="0"/>
                  <w:vAlign w:val="center"/>
                </w:tcPr>
                <w:p w14:paraId="339ED4BB">
                  <w:pPr>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eastAsia="zh-CN"/>
                      <w14:textFill>
                        <w14:solidFill>
                          <w14:schemeClr w14:val="tx1"/>
                        </w14:solidFill>
                      </w14:textFill>
                    </w:rPr>
                    <w:t>有组织</w:t>
                  </w:r>
                </w:p>
              </w:tc>
              <w:tc>
                <w:tcPr>
                  <w:tcW w:w="1594" w:type="dxa"/>
                  <w:vMerge w:val="restart"/>
                  <w:noWrap w:val="0"/>
                  <w:vAlign w:val="center"/>
                </w:tcPr>
                <w:p w14:paraId="4269C461">
                  <w:pPr>
                    <w:adjustRightInd w:val="0"/>
                    <w:snapToGrid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1984" w:type="dxa"/>
                  <w:noWrap w:val="0"/>
                  <w:vAlign w:val="center"/>
                </w:tcPr>
                <w:p w14:paraId="20DF296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、烟尘、林格曼黑度</w:t>
                  </w:r>
                </w:p>
              </w:tc>
              <w:tc>
                <w:tcPr>
                  <w:tcW w:w="2993" w:type="dxa"/>
                  <w:noWrap w:val="0"/>
                  <w:vAlign w:val="center"/>
                </w:tcPr>
                <w:p w14:paraId="309C71D4">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1次/年；1</w:t>
                  </w:r>
                  <w:r>
                    <w:rPr>
                      <w:rFonts w:hint="default" w:ascii="Times New Roman" w:hAnsi="Times New Roman" w:cs="Times New Roman"/>
                      <w:color w:val="000000" w:themeColor="text1"/>
                      <w:sz w:val="21"/>
                      <w:szCs w:val="21"/>
                      <w14:textFill>
                        <w14:solidFill>
                          <w14:schemeClr w14:val="tx1"/>
                        </w14:solidFill>
                      </w14:textFill>
                    </w:rPr>
                    <w:t>天（</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次/点·天）</w:t>
                  </w:r>
                </w:p>
              </w:tc>
            </w:tr>
            <w:tr w14:paraId="2BFB1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62" w:hRule="atLeast"/>
              </w:trPr>
              <w:tc>
                <w:tcPr>
                  <w:tcW w:w="739" w:type="dxa"/>
                  <w:vMerge w:val="continue"/>
                  <w:noWrap w:val="0"/>
                  <w:vAlign w:val="center"/>
                </w:tcPr>
                <w:p w14:paraId="7C29B897">
                  <w:pPr>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885" w:type="dxa"/>
                  <w:vMerge w:val="continue"/>
                  <w:noWrap w:val="0"/>
                  <w:vAlign w:val="center"/>
                </w:tcPr>
                <w:p w14:paraId="601993D0">
                  <w:pPr>
                    <w:jc w:val="center"/>
                    <w:rPr>
                      <w:rFonts w:hint="default" w:ascii="Times New Roman" w:hAnsi="Times New Roman" w:cs="Times New Roman"/>
                      <w:color w:val="000000" w:themeColor="text1"/>
                      <w:kern w:val="0"/>
                      <w:sz w:val="21"/>
                      <w:szCs w:val="21"/>
                      <w:lang w:eastAsia="zh-CN"/>
                      <w14:textFill>
                        <w14:solidFill>
                          <w14:schemeClr w14:val="tx1"/>
                        </w14:solidFill>
                      </w14:textFill>
                    </w:rPr>
                  </w:pPr>
                </w:p>
              </w:tc>
              <w:tc>
                <w:tcPr>
                  <w:tcW w:w="1594" w:type="dxa"/>
                  <w:vMerge w:val="continue"/>
                  <w:noWrap w:val="0"/>
                  <w:vAlign w:val="center"/>
                </w:tcPr>
                <w:p w14:paraId="282AF05F">
                  <w:pPr>
                    <w:adjustRightInd w:val="0"/>
                    <w:snapToGrid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984" w:type="dxa"/>
                  <w:noWrap w:val="0"/>
                  <w:vAlign w:val="center"/>
                </w:tcPr>
                <w:p w14:paraId="7A24BF5B">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NOx</w:t>
                  </w:r>
                </w:p>
              </w:tc>
              <w:tc>
                <w:tcPr>
                  <w:tcW w:w="2993" w:type="dxa"/>
                  <w:noWrap w:val="0"/>
                  <w:vAlign w:val="center"/>
                </w:tcPr>
                <w:p w14:paraId="29B4A310">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1次/月</w:t>
                  </w:r>
                  <w:r>
                    <w:rPr>
                      <w:rFonts w:hint="default" w:ascii="Times New Roman" w:hAnsi="Times New Roman" w:cs="Times New Roman"/>
                      <w:color w:val="000000" w:themeColor="text1"/>
                      <w:kern w:val="0"/>
                      <w:sz w:val="21"/>
                      <w:szCs w:val="21"/>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天（</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次/点·天）</w:t>
                  </w:r>
                </w:p>
              </w:tc>
            </w:tr>
          </w:tbl>
          <w:p w14:paraId="447B74BC">
            <w:pPr>
              <w:spacing w:line="360" w:lineRule="auto"/>
              <w:ind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②三同时验收监测计划</w:t>
            </w:r>
          </w:p>
          <w:p w14:paraId="19EBBBCD">
            <w:pPr>
              <w:spacing w:line="360" w:lineRule="auto"/>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本项目竣工验收废</w:t>
            </w:r>
            <w:r>
              <w:rPr>
                <w:rFonts w:hint="default" w:ascii="Times New Roman" w:hAnsi="Times New Roman" w:cs="Times New Roman"/>
                <w:color w:val="000000" w:themeColor="text1"/>
                <w:szCs w:val="21"/>
                <w:lang w:val="en-US" w:eastAsia="zh-CN"/>
                <w14:textFill>
                  <w14:solidFill>
                    <w14:schemeClr w14:val="tx1"/>
                  </w14:solidFill>
                </w14:textFill>
              </w:rPr>
              <w:t>气</w:t>
            </w:r>
            <w:r>
              <w:rPr>
                <w:rFonts w:hint="default" w:ascii="Times New Roman" w:hAnsi="Times New Roman" w:cs="Times New Roman"/>
                <w:color w:val="000000" w:themeColor="text1"/>
                <w:szCs w:val="21"/>
                <w14:textFill>
                  <w14:solidFill>
                    <w14:schemeClr w14:val="tx1"/>
                  </w14:solidFill>
                </w14:textFill>
              </w:rPr>
              <w:t>监测计划如下。</w:t>
            </w:r>
          </w:p>
          <w:p w14:paraId="1695F5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t>表4-</w:t>
            </w:r>
            <w:r>
              <w:rPr>
                <w:rFonts w:hint="eastAsia" w:ascii="Times New Roman" w:hAnsi="Times New Roman" w:cs="Times New Roman"/>
                <w:b/>
                <w:bCs/>
                <w:snapToGrid w:val="0"/>
                <w:color w:val="000000" w:themeColor="text1"/>
                <w:sz w:val="21"/>
                <w:szCs w:val="21"/>
                <w:lang w:val="en-US" w:eastAsia="zh-CN"/>
                <w14:textFill>
                  <w14:solidFill>
                    <w14:schemeClr w14:val="tx1"/>
                  </w14:solidFill>
                </w14:textFill>
              </w:rPr>
              <w:t>12</w:t>
            </w:r>
            <w:r>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snapToGrid w:val="0"/>
                <w:color w:val="000000" w:themeColor="text1"/>
                <w:sz w:val="21"/>
                <w:szCs w:val="21"/>
                <w14:textFill>
                  <w14:solidFill>
                    <w14:schemeClr w14:val="tx1"/>
                  </w14:solidFill>
                </w14:textFill>
              </w:rPr>
              <w:t>本项目</w:t>
            </w:r>
            <w:r>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t>大气</w:t>
            </w:r>
            <w:r>
              <w:rPr>
                <w:rFonts w:hint="default" w:ascii="Times New Roman" w:hAnsi="Times New Roman" w:cs="Times New Roman"/>
                <w:b/>
                <w:bCs/>
                <w:snapToGrid w:val="0"/>
                <w:color w:val="000000" w:themeColor="text1"/>
                <w:sz w:val="21"/>
                <w:szCs w:val="21"/>
                <w14:textFill>
                  <w14:solidFill>
                    <w14:schemeClr w14:val="tx1"/>
                  </w14:solidFill>
                </w14:textFill>
              </w:rPr>
              <w:t>环保验收监测计划</w:t>
            </w:r>
          </w:p>
          <w:tbl>
            <w:tblPr>
              <w:tblStyle w:val="42"/>
              <w:tblW w:w="850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809"/>
              <w:gridCol w:w="2835"/>
              <w:gridCol w:w="2085"/>
              <w:gridCol w:w="1656"/>
            </w:tblGrid>
            <w:tr w14:paraId="608A54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8" w:type="dxa"/>
                  <w:gridSpan w:val="2"/>
                  <w:tcBorders>
                    <w:tl2br w:val="nil"/>
                    <w:tr2bl w:val="nil"/>
                  </w:tcBorders>
                  <w:noWrap w:val="0"/>
                  <w:vAlign w:val="center"/>
                </w:tcPr>
                <w:p w14:paraId="3045BB3C">
                  <w:pPr>
                    <w:pStyle w:val="138"/>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2835" w:type="dxa"/>
                  <w:tcBorders>
                    <w:tl2br w:val="nil"/>
                    <w:tr2bl w:val="nil"/>
                  </w:tcBorders>
                  <w:noWrap w:val="0"/>
                  <w:vAlign w:val="center"/>
                </w:tcPr>
                <w:p w14:paraId="67E30A7E">
                  <w:pPr>
                    <w:pStyle w:val="138"/>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监测点位</w:t>
                  </w:r>
                </w:p>
              </w:tc>
              <w:tc>
                <w:tcPr>
                  <w:tcW w:w="2085" w:type="dxa"/>
                  <w:tcBorders>
                    <w:tl2br w:val="nil"/>
                    <w:tr2bl w:val="nil"/>
                  </w:tcBorders>
                  <w:noWrap w:val="0"/>
                  <w:vAlign w:val="center"/>
                </w:tcPr>
                <w:p w14:paraId="1150E9ED">
                  <w:pPr>
                    <w:pStyle w:val="138"/>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监测项目</w:t>
                  </w:r>
                </w:p>
              </w:tc>
              <w:tc>
                <w:tcPr>
                  <w:tcW w:w="1656" w:type="dxa"/>
                  <w:tcBorders>
                    <w:tl2br w:val="nil"/>
                    <w:tr2bl w:val="nil"/>
                  </w:tcBorders>
                  <w:noWrap w:val="0"/>
                  <w:vAlign w:val="center"/>
                </w:tcPr>
                <w:p w14:paraId="4425BAAA">
                  <w:pPr>
                    <w:ind w:left="0" w:lef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监测频次</w:t>
                  </w:r>
                </w:p>
              </w:tc>
            </w:tr>
            <w:tr w14:paraId="5DD6D4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1119" w:type="dxa"/>
                  <w:tcBorders>
                    <w:tl2br w:val="nil"/>
                    <w:tr2bl w:val="nil"/>
                  </w:tcBorders>
                  <w:noWrap w:val="0"/>
                  <w:vAlign w:val="center"/>
                </w:tcPr>
                <w:p w14:paraId="13277DC0">
                  <w:pPr>
                    <w:pStyle w:val="13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运营期</w:t>
                  </w:r>
                </w:p>
              </w:tc>
              <w:tc>
                <w:tcPr>
                  <w:tcW w:w="809" w:type="dxa"/>
                  <w:tcBorders>
                    <w:tl2br w:val="nil"/>
                    <w:tr2bl w:val="nil"/>
                  </w:tcBorders>
                  <w:noWrap w:val="0"/>
                  <w:vAlign w:val="center"/>
                </w:tcPr>
                <w:p w14:paraId="57FE5931">
                  <w:pPr>
                    <w:pStyle w:val="13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2835" w:type="dxa"/>
                  <w:tcBorders>
                    <w:tl2br w:val="nil"/>
                    <w:tr2bl w:val="nil"/>
                  </w:tcBorders>
                  <w:noWrap w:val="0"/>
                  <w:vAlign w:val="center"/>
                </w:tcPr>
                <w:p w14:paraId="0255F74D">
                  <w:pPr>
                    <w:spacing w:line="320" w:lineRule="exact"/>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排气筒</w:t>
                  </w: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2085" w:type="dxa"/>
                  <w:tcBorders>
                    <w:tl2br w:val="nil"/>
                    <w:tr2bl w:val="nil"/>
                  </w:tcBorders>
                  <w:noWrap w:val="0"/>
                  <w:vAlign w:val="center"/>
                </w:tcPr>
                <w:p w14:paraId="5816317D">
                  <w:pPr>
                    <w:spacing w:line="240" w:lineRule="auto"/>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、NO</w:t>
                  </w:r>
                  <w:r>
                    <w:rPr>
                      <w:rFonts w:hint="default" w:ascii="Times New Roman" w:hAnsi="Times New Roman" w:cs="Times New Roman"/>
                      <w:color w:val="000000" w:themeColor="text1"/>
                      <w:vertAlign w:val="subscript"/>
                      <w:lang w:val="en-US" w:eastAsia="zh-CN"/>
                      <w14:textFill>
                        <w14:solidFill>
                          <w14:schemeClr w14:val="tx1"/>
                        </w14:solidFill>
                      </w14:textFill>
                    </w:rPr>
                    <w:t>X</w:t>
                  </w:r>
                  <w:r>
                    <w:rPr>
                      <w:rFonts w:hint="default" w:ascii="Times New Roman" w:hAnsi="Times New Roman" w:cs="Times New Roman"/>
                      <w:color w:val="000000" w:themeColor="text1"/>
                      <w:lang w:val="en-US" w:eastAsia="zh-CN"/>
                      <w14:textFill>
                        <w14:solidFill>
                          <w14:schemeClr w14:val="tx1"/>
                        </w14:solidFill>
                      </w14:textFill>
                    </w:rPr>
                    <w:t>、烟尘、林格曼黑度</w:t>
                  </w:r>
                </w:p>
              </w:tc>
              <w:tc>
                <w:tcPr>
                  <w:tcW w:w="1656" w:type="dxa"/>
                  <w:tcBorders>
                    <w:tl2br w:val="nil"/>
                    <w:tr2bl w:val="nil"/>
                  </w:tcBorders>
                  <w:noWrap w:val="0"/>
                  <w:vAlign w:val="center"/>
                </w:tcPr>
                <w:p w14:paraId="4E7D32CC">
                  <w:pPr>
                    <w:ind w:left="0" w:leftChars="0" w:firstLine="0" w:firstLineChars="0"/>
                    <w:jc w:val="center"/>
                    <w:textAlignment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val="en-US" w:eastAsia="zh-CN" w:bidi="ar"/>
                      <w14:textFill>
                        <w14:solidFill>
                          <w14:schemeClr w14:val="tx1"/>
                        </w14:solidFill>
                      </w14:textFill>
                    </w:rPr>
                    <w:t>3</w:t>
                  </w:r>
                  <w:r>
                    <w:rPr>
                      <w:rFonts w:hint="default" w:ascii="Times New Roman" w:hAnsi="Times New Roman" w:cs="Times New Roman"/>
                      <w:color w:val="000000" w:themeColor="text1"/>
                      <w:sz w:val="21"/>
                      <w:szCs w:val="21"/>
                      <w:lang w:bidi="ar"/>
                      <w14:textFill>
                        <w14:solidFill>
                          <w14:schemeClr w14:val="tx1"/>
                        </w14:solidFill>
                      </w14:textFill>
                    </w:rPr>
                    <w:t>次/天，2天</w:t>
                  </w:r>
                </w:p>
              </w:tc>
            </w:tr>
          </w:tbl>
          <w:p w14:paraId="7510677D">
            <w:pPr>
              <w:pStyle w:val="16"/>
              <w:spacing w:line="240" w:lineRule="auto"/>
              <w:ind w:left="420" w:left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③大气环境应急监测方案</w:t>
            </w:r>
          </w:p>
          <w:p w14:paraId="71FAA5BA">
            <w:pPr>
              <w:spacing w:line="360" w:lineRule="auto"/>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监测因子：</w:t>
            </w:r>
            <w:r>
              <w:rPr>
                <w:rFonts w:hint="default" w:ascii="Times New Roman" w:hAnsi="Times New Roman" w:cs="Times New Roman"/>
                <w:color w:val="000000" w:themeColor="text1"/>
                <w:szCs w:val="21"/>
                <w:lang w:val="en-US" w:eastAsia="zh-CN"/>
                <w14:textFill>
                  <w14:solidFill>
                    <w14:schemeClr w14:val="tx1"/>
                  </w14:solidFill>
                </w14:textFill>
              </w:rPr>
              <w:t>颗粒物、二氧化硫、氮氧化物</w:t>
            </w:r>
            <w:r>
              <w:rPr>
                <w:rFonts w:hint="default" w:ascii="Times New Roman" w:hAnsi="Times New Roman" w:cs="Times New Roman"/>
                <w:color w:val="000000" w:themeColor="text1"/>
                <w:szCs w:val="21"/>
                <w14:textFill>
                  <w14:solidFill>
                    <w14:schemeClr w14:val="tx1"/>
                  </w14:solidFill>
                </w14:textFill>
              </w:rPr>
              <w:t>。</w:t>
            </w:r>
          </w:p>
          <w:p w14:paraId="7C7882F9">
            <w:pPr>
              <w:spacing w:line="360" w:lineRule="auto"/>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监测时间和频次：按照事故持续时间决定监测时间，根据事故严重性决定监测频次。一般情况下每小时取样一次。随事故控制减弱，适当减少监测频次。</w:t>
            </w:r>
          </w:p>
          <w:p w14:paraId="3299F77B">
            <w:pPr>
              <w:spacing w:line="360" w:lineRule="auto"/>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监测布点：按事故发生时的主导风向的下风向，考虑区域功能设置1个测点，厂界设监控点。</w:t>
            </w:r>
          </w:p>
          <w:p w14:paraId="4F408761">
            <w:pPr>
              <w:spacing w:line="360" w:lineRule="auto"/>
              <w:ind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防治措施可行性分析</w:t>
            </w:r>
          </w:p>
          <w:p w14:paraId="5D4C0C9C">
            <w:pPr>
              <w:keepNext w:val="0"/>
              <w:keepLines w:val="0"/>
              <w:pageBreakBefore w:val="0"/>
              <w:widowControl/>
              <w:suppressLineNumbers w:val="0"/>
              <w:kinsoku/>
              <w:wordWrap/>
              <w:overflowPunct/>
              <w:topLinePunct w:val="0"/>
              <w:autoSpaceDE/>
              <w:autoSpaceDN/>
              <w:bidi w:val="0"/>
              <w:adjustRightInd/>
              <w:spacing w:line="360" w:lineRule="auto"/>
              <w:ind w:firstLine="420" w:firstLineChars="200"/>
              <w:jc w:val="left"/>
              <w:textAlignment w:val="auto"/>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 xml:space="preserve">低氮燃烧：本项目锅炉以清洁能源天然气为燃料，并在加热炉内部安装有专用的低氮燃烧装置，全预混金属表面燃烧技术是结合了贫燃预混燃烧技术和无焰燃烧技术各自优点的一种低氮燃气燃烧技术，在燃料混合物点燃之前，燃料与氧化剂在分子层面上完全混合。由于预混燃烧没有扩散燃烧，燃料混合物过量空气系统分布均匀，燃尽速度快，通过控制过量空气，可以实现对燃烧温度的控制，从而降低热力型NOx 生成速率。而且无焰燃烧的烟气回流都是发生在燃烧之前，甚至可能在燃烧器当中，这样再循环的烟气加热了预混的燃料，降低了炉膛温度，扩大了反应区域，无焰燃烧火焰分布均匀，燃烧温度低，同时羟基生成少，这使得 NOx产生更少，低氮燃烧在《排污许可证申请与核发技术规范 </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锅炉</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》（HJ</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953</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—20</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18</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）中可行。</w:t>
            </w:r>
          </w:p>
          <w:p w14:paraId="1CD0BD12">
            <w:pPr>
              <w:spacing w:line="360" w:lineRule="auto"/>
              <w:ind w:left="420" w:left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）废气环境影响分析</w:t>
            </w:r>
          </w:p>
          <w:p w14:paraId="6F561A8E">
            <w:pPr>
              <w:pStyle w:val="4"/>
              <w:spacing w:before="0" w:after="0" w:line="360" w:lineRule="auto"/>
              <w:ind w:firstLine="420" w:firstLineChars="200"/>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建设项目位于江苏省南通市海门经济技术开发区人民东路南、通源路西侧</w:t>
            </w:r>
            <w:r>
              <w:rPr>
                <w:rFonts w:hint="default" w:ascii="Times New Roman" w:hAnsi="Times New Roman" w:cs="Times New Roman"/>
                <w:b w:val="0"/>
                <w:bCs w:val="0"/>
                <w:color w:val="000000" w:themeColor="text1"/>
                <w:sz w:val="21"/>
                <w:szCs w:val="21"/>
                <w:lang w:eastAsia="zh-CN"/>
                <w14:textFill>
                  <w14:solidFill>
                    <w14:schemeClr w14:val="tx1"/>
                  </w14:solidFill>
                </w14:textFill>
              </w:rPr>
              <w:t>，根据2023年南通市生态环境状况公报，2023年海门区环境空气质量中O3超过《环境空气质量标准》（GB3095-2012）中二级标准，SO2、NO2、CO、PM10、PM2.5均达到二级标准，因此，判断海门地区为环境空气质量不达标区。</w:t>
            </w:r>
          </w:p>
          <w:p w14:paraId="1CD2885F">
            <w:pPr>
              <w:pStyle w:val="4"/>
              <w:spacing w:before="0" w:after="0" w:line="360" w:lineRule="auto"/>
              <w:ind w:firstLine="420" w:firstLineChars="200"/>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本项目锅炉废气通过排气筒外排。</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各项污染物</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排放满足</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《锅炉大气污染物排放标准》</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DB32/4385-2022</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，对周围大气环境影</w:t>
            </w:r>
            <w:r>
              <w:rPr>
                <w:rFonts w:hint="default" w:ascii="Times New Roman" w:hAnsi="Times New Roman" w:cs="Times New Roman"/>
                <w:b w:val="0"/>
                <w:bCs w:val="0"/>
                <w:color w:val="000000" w:themeColor="text1"/>
                <w:sz w:val="21"/>
                <w:szCs w:val="21"/>
                <w14:textFill>
                  <w14:solidFill>
                    <w14:schemeClr w14:val="tx1"/>
                  </w14:solidFill>
                </w14:textFill>
              </w:rPr>
              <w:t>响较小，不会改变区域环境空气质量等级，可接受</w:t>
            </w: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 xml:space="preserve">。 </w:t>
            </w:r>
          </w:p>
          <w:p w14:paraId="287535D3">
            <w:pPr>
              <w:adjustRightInd w:val="0"/>
              <w:snapToGrid w:val="0"/>
              <w:spacing w:line="360" w:lineRule="auto"/>
              <w:ind w:firstLine="422" w:firstLineChars="20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2、废水</w:t>
            </w:r>
          </w:p>
          <w:p w14:paraId="6E84312E">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（1）污染工序及源强分析</w:t>
            </w:r>
          </w:p>
          <w:p w14:paraId="635D7D96">
            <w:pPr>
              <w:pStyle w:val="4"/>
              <w:spacing w:before="0" w:after="0" w:line="360" w:lineRule="auto"/>
              <w:ind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本项目废水主要为锅炉废水，地面平时采用扫把清扫，不用水进行冲洗，无车间清洗用排水</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p w14:paraId="4586A6A4">
            <w:pPr>
              <w:adjustRightInd w:val="0"/>
              <w:snapToGrid w:val="0"/>
              <w:spacing w:line="360" w:lineRule="auto"/>
              <w:ind w:firstLine="420" w:firstLineChars="20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锅炉废水</w:t>
            </w:r>
          </w:p>
          <w:p w14:paraId="12287D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本项目使用的天然气锅炉，利用天然气作为燃料，在炉内燃烧放出热量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加热锅</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内的水，使其汽化成蒸汽，蒸汽的转换率在90%左右。本项目年使用蒸汽7030t/a，则</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使用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新鲜用水7800t/a，同时产生锅炉废水770t/a，</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锅炉废水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接管排放。</w:t>
            </w:r>
          </w:p>
          <w:p w14:paraId="371D3C8C">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本项目废水污染源产生及排放情况见表4-</w:t>
            </w:r>
            <w:r>
              <w:rPr>
                <w:rFonts w:hint="eastAsia" w:ascii="Times New Roman" w:hAnsi="Times New Roman" w:cs="Times New Roman"/>
                <w:color w:val="000000" w:themeColor="text1"/>
                <w:sz w:val="21"/>
                <w:szCs w:val="21"/>
                <w:lang w:val="en-US" w:eastAsia="zh-CN"/>
                <w14:textFill>
                  <w14:solidFill>
                    <w14:schemeClr w14:val="tx1"/>
                  </w14:solidFill>
                </w14:textFill>
              </w:rPr>
              <w:t>13</w:t>
            </w:r>
            <w:r>
              <w:rPr>
                <w:rFonts w:hint="default" w:ascii="Times New Roman" w:hAnsi="Times New Roman" w:cs="Times New Roman"/>
                <w:color w:val="000000" w:themeColor="text1"/>
                <w:sz w:val="21"/>
                <w:szCs w:val="21"/>
                <w14:textFill>
                  <w14:solidFill>
                    <w14:schemeClr w14:val="tx1"/>
                  </w14:solidFill>
                </w14:textFill>
              </w:rPr>
              <w:t>。</w:t>
            </w:r>
          </w:p>
          <w:p w14:paraId="5F6942D5">
            <w:pPr>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13</w:t>
            </w:r>
            <w:r>
              <w:rPr>
                <w:rFonts w:hint="default" w:ascii="Times New Roman" w:hAnsi="Times New Roman" w:cs="Times New Roman"/>
                <w:b/>
                <w:bCs/>
                <w:color w:val="000000" w:themeColor="text1"/>
                <w:sz w:val="21"/>
                <w:szCs w:val="21"/>
                <w14:textFill>
                  <w14:solidFill>
                    <w14:schemeClr w14:val="tx1"/>
                  </w14:solidFill>
                </w14:textFill>
              </w:rPr>
              <w:t xml:space="preserve">   水污染物产生状况表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6"/>
              <w:gridCol w:w="819"/>
              <w:gridCol w:w="1011"/>
              <w:gridCol w:w="725"/>
              <w:gridCol w:w="809"/>
              <w:gridCol w:w="788"/>
              <w:gridCol w:w="791"/>
              <w:gridCol w:w="885"/>
              <w:gridCol w:w="854"/>
              <w:gridCol w:w="803"/>
            </w:tblGrid>
            <w:tr w14:paraId="29121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75" w:type="pct"/>
                  <w:vMerge w:val="restart"/>
                  <w:noWrap w:val="0"/>
                  <w:vAlign w:val="center"/>
                </w:tcPr>
                <w:p w14:paraId="6B456954">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495" w:type="pct"/>
                  <w:vMerge w:val="restart"/>
                  <w:noWrap w:val="0"/>
                  <w:vAlign w:val="center"/>
                </w:tcPr>
                <w:p w14:paraId="0EA33AA1">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废水量</w:t>
                  </w:r>
                </w:p>
                <w:p w14:paraId="1D0271E7">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(t/a)</w:t>
                  </w:r>
                </w:p>
              </w:tc>
              <w:tc>
                <w:tcPr>
                  <w:tcW w:w="611" w:type="pct"/>
                  <w:vMerge w:val="restart"/>
                  <w:noWrap w:val="0"/>
                  <w:vAlign w:val="center"/>
                </w:tcPr>
                <w:p w14:paraId="45B39650">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p w14:paraId="7FBCD232">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927" w:type="pct"/>
                  <w:gridSpan w:val="2"/>
                  <w:noWrap w:val="0"/>
                  <w:vAlign w:val="center"/>
                </w:tcPr>
                <w:p w14:paraId="593D9129">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污染物产生量</w:t>
                  </w:r>
                </w:p>
              </w:tc>
              <w:tc>
                <w:tcPr>
                  <w:tcW w:w="476" w:type="pct"/>
                  <w:vMerge w:val="restart"/>
                  <w:noWrap w:val="0"/>
                  <w:vAlign w:val="center"/>
                </w:tcPr>
                <w:p w14:paraId="3A142798">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w:t>
                  </w:r>
                </w:p>
                <w:p w14:paraId="53270A80">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措施</w:t>
                  </w:r>
                </w:p>
              </w:tc>
              <w:tc>
                <w:tcPr>
                  <w:tcW w:w="1013" w:type="pct"/>
                  <w:gridSpan w:val="2"/>
                  <w:noWrap w:val="0"/>
                  <w:vAlign w:val="center"/>
                </w:tcPr>
                <w:p w14:paraId="69BFB0CD">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污染物接管量</w:t>
                  </w:r>
                </w:p>
              </w:tc>
              <w:tc>
                <w:tcPr>
                  <w:tcW w:w="516" w:type="pct"/>
                  <w:vMerge w:val="restart"/>
                  <w:noWrap w:val="0"/>
                  <w:vAlign w:val="center"/>
                </w:tcPr>
                <w:p w14:paraId="520D814B">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接管标准浓度</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mg/L</w:t>
                  </w:r>
                  <w:r>
                    <w:rPr>
                      <w:rFonts w:hint="eastAsia" w:ascii="Times New Roman" w:hAnsi="Times New Roman" w:cs="Times New Roman"/>
                      <w:b/>
                      <w:bCs/>
                      <w:color w:val="000000" w:themeColor="text1"/>
                      <w:sz w:val="21"/>
                      <w:szCs w:val="21"/>
                      <w:lang w:eastAsia="zh-CN"/>
                      <w14:textFill>
                        <w14:solidFill>
                          <w14:schemeClr w14:val="tx1"/>
                        </w14:solidFill>
                      </w14:textFill>
                    </w:rPr>
                    <w:t>）</w:t>
                  </w:r>
                </w:p>
              </w:tc>
              <w:tc>
                <w:tcPr>
                  <w:tcW w:w="485" w:type="pct"/>
                  <w:vMerge w:val="restart"/>
                  <w:noWrap w:val="0"/>
                  <w:vAlign w:val="center"/>
                </w:tcPr>
                <w:p w14:paraId="35F972A4">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排放方式与去向</w:t>
                  </w:r>
                </w:p>
              </w:tc>
            </w:tr>
            <w:tr w14:paraId="46A38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65" w:hRule="atLeast"/>
                <w:jc w:val="center"/>
              </w:trPr>
              <w:tc>
                <w:tcPr>
                  <w:tcW w:w="475" w:type="pct"/>
                  <w:vMerge w:val="continue"/>
                  <w:noWrap w:val="0"/>
                  <w:vAlign w:val="center"/>
                </w:tcPr>
                <w:p w14:paraId="084197AB">
                  <w:pPr>
                    <w:widowControl/>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95" w:type="pct"/>
                  <w:vMerge w:val="continue"/>
                  <w:noWrap w:val="0"/>
                  <w:vAlign w:val="center"/>
                </w:tcPr>
                <w:p w14:paraId="1605D386">
                  <w:pPr>
                    <w:widowControl/>
                    <w:jc w:val="center"/>
                    <w:rPr>
                      <w:rFonts w:hint="default" w:ascii="Times New Roman" w:hAnsi="Times New Roman" w:cs="Times New Roman"/>
                      <w:b/>
                      <w:bCs/>
                      <w:color w:val="000000" w:themeColor="text1"/>
                      <w:sz w:val="21"/>
                      <w:szCs w:val="21"/>
                      <w14:textFill>
                        <w14:solidFill>
                          <w14:schemeClr w14:val="tx1"/>
                        </w14:solidFill>
                      </w14:textFill>
                    </w:rPr>
                  </w:pPr>
                </w:p>
              </w:tc>
              <w:tc>
                <w:tcPr>
                  <w:tcW w:w="611" w:type="pct"/>
                  <w:vMerge w:val="continue"/>
                  <w:noWrap w:val="0"/>
                  <w:vAlign w:val="center"/>
                </w:tcPr>
                <w:p w14:paraId="6672DF37">
                  <w:pPr>
                    <w:widowControl/>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38" w:type="pct"/>
                  <w:noWrap w:val="0"/>
                  <w:vAlign w:val="center"/>
                </w:tcPr>
                <w:p w14:paraId="73996DB9">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浓度</w:t>
                  </w:r>
                </w:p>
                <w:p w14:paraId="73693820">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(mg/L)</w:t>
                  </w:r>
                </w:p>
              </w:tc>
              <w:tc>
                <w:tcPr>
                  <w:tcW w:w="489" w:type="pct"/>
                  <w:noWrap w:val="0"/>
                  <w:vAlign w:val="center"/>
                </w:tcPr>
                <w:p w14:paraId="0C444EAF">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产生量</w:t>
                  </w:r>
                </w:p>
                <w:p w14:paraId="30CFEFDF">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(t/a)</w:t>
                  </w:r>
                </w:p>
              </w:tc>
              <w:tc>
                <w:tcPr>
                  <w:tcW w:w="476" w:type="pct"/>
                  <w:vMerge w:val="continue"/>
                  <w:noWrap w:val="0"/>
                  <w:vAlign w:val="center"/>
                </w:tcPr>
                <w:p w14:paraId="6896010B">
                  <w:pPr>
                    <w:widowControl/>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78" w:type="pct"/>
                  <w:noWrap w:val="0"/>
                  <w:vAlign w:val="center"/>
                </w:tcPr>
                <w:p w14:paraId="3FB3C0E4">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浓度</w:t>
                  </w:r>
                </w:p>
                <w:p w14:paraId="2550AD2A">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(mg/L)</w:t>
                  </w:r>
                </w:p>
              </w:tc>
              <w:tc>
                <w:tcPr>
                  <w:tcW w:w="535" w:type="pct"/>
                  <w:noWrap w:val="0"/>
                  <w:vAlign w:val="center"/>
                </w:tcPr>
                <w:p w14:paraId="3285D481">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接管量</w:t>
                  </w:r>
                </w:p>
                <w:p w14:paraId="72C186DF">
                  <w:pPr>
                    <w:autoSpaceDE w:val="0"/>
                    <w:snapToGrid w:val="0"/>
                    <w:spacing w:line="240" w:lineRule="atLeas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(t/a)</w:t>
                  </w:r>
                </w:p>
              </w:tc>
              <w:tc>
                <w:tcPr>
                  <w:tcW w:w="516" w:type="pct"/>
                  <w:vMerge w:val="continue"/>
                  <w:noWrap w:val="0"/>
                  <w:vAlign w:val="center"/>
                </w:tcPr>
                <w:p w14:paraId="6DDB7BE5">
                  <w:pPr>
                    <w:widowControl/>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85" w:type="pct"/>
                  <w:vMerge w:val="continue"/>
                  <w:noWrap w:val="0"/>
                  <w:vAlign w:val="center"/>
                </w:tcPr>
                <w:p w14:paraId="5C5C60A6">
                  <w:pPr>
                    <w:widowControl/>
                    <w:jc w:val="center"/>
                    <w:rPr>
                      <w:rFonts w:hint="default" w:ascii="Times New Roman" w:hAnsi="Times New Roman" w:cs="Times New Roman"/>
                      <w:b/>
                      <w:bCs/>
                      <w:color w:val="000000" w:themeColor="text1"/>
                      <w:sz w:val="21"/>
                      <w:szCs w:val="21"/>
                      <w14:textFill>
                        <w14:solidFill>
                          <w14:schemeClr w14:val="tx1"/>
                        </w14:solidFill>
                      </w14:textFill>
                    </w:rPr>
                  </w:pPr>
                </w:p>
              </w:tc>
            </w:tr>
            <w:tr w14:paraId="631FF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96" w:hRule="atLeast"/>
                <w:jc w:val="center"/>
              </w:trPr>
              <w:tc>
                <w:tcPr>
                  <w:tcW w:w="475" w:type="pct"/>
                  <w:vMerge w:val="restart"/>
                  <w:noWrap w:val="0"/>
                  <w:vAlign w:val="center"/>
                </w:tcPr>
                <w:p w14:paraId="53FED42B">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锅炉废水</w:t>
                  </w:r>
                </w:p>
              </w:tc>
              <w:tc>
                <w:tcPr>
                  <w:tcW w:w="495" w:type="pct"/>
                  <w:vMerge w:val="restart"/>
                  <w:noWrap w:val="0"/>
                  <w:vAlign w:val="center"/>
                </w:tcPr>
                <w:p w14:paraId="37413127">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770</w:t>
                  </w:r>
                </w:p>
              </w:tc>
              <w:tc>
                <w:tcPr>
                  <w:tcW w:w="611" w:type="pct"/>
                  <w:noWrap w:val="0"/>
                  <w:vAlign w:val="center"/>
                </w:tcPr>
                <w:p w14:paraId="08445216">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COD</w:t>
                  </w:r>
                </w:p>
              </w:tc>
              <w:tc>
                <w:tcPr>
                  <w:tcW w:w="438" w:type="pct"/>
                  <w:noWrap w:val="0"/>
                  <w:vAlign w:val="center"/>
                </w:tcPr>
                <w:p w14:paraId="6737F2C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489" w:type="pct"/>
                  <w:noWrap w:val="0"/>
                  <w:vAlign w:val="center"/>
                </w:tcPr>
                <w:p w14:paraId="7897791A">
                  <w:pPr>
                    <w:widowControl/>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0.0616</w:t>
                  </w:r>
                </w:p>
              </w:tc>
              <w:tc>
                <w:tcPr>
                  <w:tcW w:w="476" w:type="pct"/>
                  <w:vMerge w:val="restart"/>
                  <w:noWrap w:val="0"/>
                  <w:vAlign w:val="center"/>
                </w:tcPr>
                <w:p w14:paraId="5CE82DB1">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478" w:type="pct"/>
                  <w:shd w:val="clear" w:color="auto" w:fill="auto"/>
                  <w:noWrap w:val="0"/>
                  <w:vAlign w:val="center"/>
                </w:tcPr>
                <w:p w14:paraId="75B9659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p>
              </w:tc>
              <w:tc>
                <w:tcPr>
                  <w:tcW w:w="535" w:type="pct"/>
                  <w:shd w:val="clear" w:color="auto" w:fill="auto"/>
                  <w:noWrap w:val="0"/>
                  <w:vAlign w:val="center"/>
                </w:tcPr>
                <w:p w14:paraId="4B699FC5">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0.0616</w:t>
                  </w:r>
                </w:p>
              </w:tc>
              <w:tc>
                <w:tcPr>
                  <w:tcW w:w="516" w:type="pct"/>
                  <w:noWrap w:val="0"/>
                  <w:vAlign w:val="center"/>
                </w:tcPr>
                <w:p w14:paraId="6D8885DB">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485" w:type="pct"/>
                  <w:vMerge w:val="restart"/>
                  <w:noWrap w:val="0"/>
                  <w:vAlign w:val="center"/>
                </w:tcPr>
                <w:p w14:paraId="2CF79803">
                  <w:pPr>
                    <w:jc w:val="center"/>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南通市海门东洲水处理有限公司</w:t>
                  </w:r>
                </w:p>
              </w:tc>
            </w:tr>
            <w:tr w14:paraId="3C733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75" w:type="pct"/>
                  <w:vMerge w:val="continue"/>
                  <w:noWrap w:val="0"/>
                  <w:vAlign w:val="center"/>
                </w:tcPr>
                <w:p w14:paraId="22BB6DCE">
                  <w:pPr>
                    <w:widowControl/>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95" w:type="pct"/>
                  <w:vMerge w:val="continue"/>
                  <w:noWrap w:val="0"/>
                  <w:vAlign w:val="center"/>
                </w:tcPr>
                <w:p w14:paraId="1DD0785F">
                  <w:pPr>
                    <w:widowControl/>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11" w:type="pct"/>
                  <w:noWrap w:val="0"/>
                  <w:vAlign w:val="center"/>
                </w:tcPr>
                <w:p w14:paraId="67598ED3">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SS</w:t>
                  </w:r>
                </w:p>
              </w:tc>
              <w:tc>
                <w:tcPr>
                  <w:tcW w:w="438" w:type="pct"/>
                  <w:shd w:val="clear" w:color="auto" w:fill="auto"/>
                  <w:noWrap w:val="0"/>
                  <w:vAlign w:val="center"/>
                </w:tcPr>
                <w:p w14:paraId="0E40E12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c>
              <w:tc>
                <w:tcPr>
                  <w:tcW w:w="489" w:type="pct"/>
                  <w:shd w:val="clear" w:color="auto" w:fill="auto"/>
                  <w:noWrap w:val="0"/>
                  <w:vAlign w:val="center"/>
                </w:tcPr>
                <w:p w14:paraId="399FB28A">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0.154</w:t>
                  </w:r>
                </w:p>
              </w:tc>
              <w:tc>
                <w:tcPr>
                  <w:tcW w:w="476" w:type="pct"/>
                  <w:vMerge w:val="continue"/>
                  <w:shd w:val="clear" w:color="auto" w:fill="auto"/>
                  <w:noWrap w:val="0"/>
                  <w:vAlign w:val="center"/>
                </w:tcPr>
                <w:p w14:paraId="63189F01">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78" w:type="pct"/>
                  <w:shd w:val="clear" w:color="auto" w:fill="auto"/>
                  <w:noWrap w:val="0"/>
                  <w:vAlign w:val="center"/>
                </w:tcPr>
                <w:p w14:paraId="5D10862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200</w:t>
                  </w:r>
                </w:p>
              </w:tc>
              <w:tc>
                <w:tcPr>
                  <w:tcW w:w="535" w:type="pct"/>
                  <w:shd w:val="clear" w:color="auto" w:fill="auto"/>
                  <w:noWrap w:val="0"/>
                  <w:vAlign w:val="center"/>
                </w:tcPr>
                <w:p w14:paraId="542CC890">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0.154</w:t>
                  </w:r>
                </w:p>
              </w:tc>
              <w:tc>
                <w:tcPr>
                  <w:tcW w:w="516" w:type="pct"/>
                  <w:noWrap w:val="0"/>
                  <w:vAlign w:val="center"/>
                </w:tcPr>
                <w:p w14:paraId="78892BB8">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485" w:type="pct"/>
                  <w:vMerge w:val="continue"/>
                  <w:noWrap w:val="0"/>
                  <w:vAlign w:val="center"/>
                </w:tcPr>
                <w:p w14:paraId="6917B093">
                  <w:pPr>
                    <w:jc w:val="center"/>
                    <w:rPr>
                      <w:rFonts w:hint="default" w:ascii="Times New Roman" w:hAnsi="Times New Roman" w:cs="Times New Roman"/>
                      <w:color w:val="000000" w:themeColor="text1"/>
                      <w:sz w:val="21"/>
                      <w:szCs w:val="21"/>
                      <w14:textFill>
                        <w14:solidFill>
                          <w14:schemeClr w14:val="tx1"/>
                        </w14:solidFill>
                      </w14:textFill>
                    </w:rPr>
                  </w:pPr>
                </w:p>
              </w:tc>
            </w:tr>
          </w:tbl>
          <w:p w14:paraId="72A09A01">
            <w:pPr>
              <w:adjustRightInd w:val="0"/>
              <w:snapToGrid w:val="0"/>
              <w:spacing w:before="120" w:beforeLines="5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14</w:t>
            </w:r>
            <w:r>
              <w:rPr>
                <w:rFonts w:hint="default" w:ascii="Times New Roman" w:hAnsi="Times New Roman" w:cs="Times New Roman"/>
                <w:b/>
                <w:bCs/>
                <w:color w:val="000000" w:themeColor="text1"/>
                <w:sz w:val="21"/>
                <w:szCs w:val="21"/>
                <w14:textFill>
                  <w14:solidFill>
                    <w14:schemeClr w14:val="tx1"/>
                  </w14:solidFill>
                </w14:textFill>
              </w:rPr>
              <w:t xml:space="preserve"> 废水污染物排放执行标准表</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fixed"/>
              <w:tblCellMar>
                <w:top w:w="0" w:type="dxa"/>
                <w:left w:w="108" w:type="dxa"/>
                <w:bottom w:w="0" w:type="dxa"/>
                <w:right w:w="108" w:type="dxa"/>
              </w:tblCellMar>
            </w:tblPr>
            <w:tblGrid>
              <w:gridCol w:w="701"/>
              <w:gridCol w:w="802"/>
              <w:gridCol w:w="1096"/>
              <w:gridCol w:w="3735"/>
              <w:gridCol w:w="1937"/>
            </w:tblGrid>
            <w:tr w14:paraId="05E56622">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3" w:hRule="atLeast"/>
                <w:jc w:val="center"/>
              </w:trPr>
              <w:tc>
                <w:tcPr>
                  <w:tcW w:w="701" w:type="dxa"/>
                  <w:vMerge w:val="restart"/>
                  <w:tcBorders>
                    <w:tl2br w:val="nil"/>
                    <w:tr2bl w:val="nil"/>
                  </w:tcBorders>
                  <w:vAlign w:val="center"/>
                </w:tcPr>
                <w:p w14:paraId="00402EE0">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序号</w:t>
                  </w:r>
                </w:p>
              </w:tc>
              <w:tc>
                <w:tcPr>
                  <w:tcW w:w="802" w:type="dxa"/>
                  <w:vMerge w:val="restart"/>
                  <w:tcBorders>
                    <w:tl2br w:val="nil"/>
                    <w:tr2bl w:val="nil"/>
                  </w:tcBorders>
                  <w:vAlign w:val="center"/>
                </w:tcPr>
                <w:p w14:paraId="6D53E80F">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排放口编号</w:t>
                  </w:r>
                </w:p>
              </w:tc>
              <w:tc>
                <w:tcPr>
                  <w:tcW w:w="1096" w:type="dxa"/>
                  <w:vMerge w:val="restart"/>
                  <w:tcBorders>
                    <w:tl2br w:val="nil"/>
                    <w:tr2bl w:val="nil"/>
                  </w:tcBorders>
                  <w:vAlign w:val="center"/>
                </w:tcPr>
                <w:p w14:paraId="2351A595">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污染物种类</w:t>
                  </w:r>
                </w:p>
              </w:tc>
              <w:tc>
                <w:tcPr>
                  <w:tcW w:w="5672" w:type="dxa"/>
                  <w:gridSpan w:val="2"/>
                  <w:tcBorders>
                    <w:tl2br w:val="nil"/>
                    <w:tr2bl w:val="nil"/>
                  </w:tcBorders>
                  <w:vAlign w:val="center"/>
                </w:tcPr>
                <w:p w14:paraId="495A6AA1">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国家或地方污染物排放标准及其他按规定商定的排放协议</w:t>
                  </w:r>
                </w:p>
              </w:tc>
            </w:tr>
            <w:tr w14:paraId="03CDD78C">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3" w:hRule="atLeast"/>
                <w:jc w:val="center"/>
              </w:trPr>
              <w:tc>
                <w:tcPr>
                  <w:tcW w:w="701" w:type="dxa"/>
                  <w:vMerge w:val="continue"/>
                  <w:tcBorders>
                    <w:tl2br w:val="nil"/>
                    <w:tr2bl w:val="nil"/>
                  </w:tcBorders>
                  <w:vAlign w:val="center"/>
                </w:tcPr>
                <w:p w14:paraId="333000A4">
                  <w:pPr>
                    <w:widowControl/>
                    <w:jc w:val="left"/>
                    <w:rPr>
                      <w:rFonts w:ascii="Times New Roman" w:hAnsi="Times New Roman" w:cs="Times New Roman"/>
                      <w:b/>
                      <w:bCs/>
                      <w:color w:val="000000" w:themeColor="text1"/>
                      <w14:textFill>
                        <w14:solidFill>
                          <w14:schemeClr w14:val="tx1"/>
                        </w14:solidFill>
                      </w14:textFill>
                    </w:rPr>
                  </w:pPr>
                </w:p>
              </w:tc>
              <w:tc>
                <w:tcPr>
                  <w:tcW w:w="802" w:type="dxa"/>
                  <w:vMerge w:val="continue"/>
                  <w:tcBorders>
                    <w:tl2br w:val="nil"/>
                    <w:tr2bl w:val="nil"/>
                  </w:tcBorders>
                  <w:vAlign w:val="center"/>
                </w:tcPr>
                <w:p w14:paraId="0383CC0D">
                  <w:pPr>
                    <w:widowControl/>
                    <w:jc w:val="left"/>
                    <w:rPr>
                      <w:rFonts w:ascii="Times New Roman" w:hAnsi="Times New Roman" w:cs="Times New Roman"/>
                      <w:b/>
                      <w:bCs/>
                      <w:color w:val="000000" w:themeColor="text1"/>
                      <w14:textFill>
                        <w14:solidFill>
                          <w14:schemeClr w14:val="tx1"/>
                        </w14:solidFill>
                      </w14:textFill>
                    </w:rPr>
                  </w:pPr>
                </w:p>
              </w:tc>
              <w:tc>
                <w:tcPr>
                  <w:tcW w:w="1096" w:type="dxa"/>
                  <w:vMerge w:val="continue"/>
                  <w:tcBorders>
                    <w:tl2br w:val="nil"/>
                    <w:tr2bl w:val="nil"/>
                  </w:tcBorders>
                  <w:vAlign w:val="center"/>
                </w:tcPr>
                <w:p w14:paraId="71A661CA">
                  <w:pPr>
                    <w:widowControl/>
                    <w:jc w:val="left"/>
                    <w:rPr>
                      <w:rFonts w:ascii="Times New Roman" w:hAnsi="Times New Roman" w:cs="Times New Roman"/>
                      <w:b/>
                      <w:bCs/>
                      <w:color w:val="000000" w:themeColor="text1"/>
                      <w14:textFill>
                        <w14:solidFill>
                          <w14:schemeClr w14:val="tx1"/>
                        </w14:solidFill>
                      </w14:textFill>
                    </w:rPr>
                  </w:pPr>
                </w:p>
              </w:tc>
              <w:tc>
                <w:tcPr>
                  <w:tcW w:w="3735" w:type="dxa"/>
                  <w:tcBorders>
                    <w:tl2br w:val="nil"/>
                    <w:tr2bl w:val="nil"/>
                  </w:tcBorders>
                  <w:vAlign w:val="center"/>
                </w:tcPr>
                <w:p w14:paraId="1A653024">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名称</w:t>
                  </w:r>
                </w:p>
              </w:tc>
              <w:tc>
                <w:tcPr>
                  <w:tcW w:w="1937" w:type="dxa"/>
                  <w:tcBorders>
                    <w:tl2br w:val="nil"/>
                    <w:tr2bl w:val="nil"/>
                  </w:tcBorders>
                  <w:vAlign w:val="center"/>
                </w:tcPr>
                <w:p w14:paraId="4BACAE8F">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浓度限值/(mg/L)</w:t>
                  </w:r>
                </w:p>
              </w:tc>
            </w:tr>
            <w:tr w14:paraId="07B1D320">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3" w:hRule="atLeast"/>
                <w:jc w:val="center"/>
              </w:trPr>
              <w:tc>
                <w:tcPr>
                  <w:tcW w:w="701" w:type="dxa"/>
                  <w:vMerge w:val="restart"/>
                  <w:tcBorders>
                    <w:tl2br w:val="nil"/>
                    <w:tr2bl w:val="nil"/>
                  </w:tcBorders>
                  <w:vAlign w:val="center"/>
                </w:tcPr>
                <w:p w14:paraId="54BFB247">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802" w:type="dxa"/>
                  <w:vMerge w:val="restart"/>
                  <w:tcBorders>
                    <w:tl2br w:val="nil"/>
                    <w:tr2bl w:val="nil"/>
                  </w:tcBorders>
                  <w:vAlign w:val="center"/>
                </w:tcPr>
                <w:p w14:paraId="3A6A6141">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1096" w:type="dxa"/>
                  <w:tcBorders>
                    <w:tl2br w:val="nil"/>
                    <w:tr2bl w:val="nil"/>
                  </w:tcBorders>
                  <w:vAlign w:val="center"/>
                </w:tcPr>
                <w:p w14:paraId="4326BAA2">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COD</w:t>
                  </w:r>
                </w:p>
              </w:tc>
              <w:tc>
                <w:tcPr>
                  <w:tcW w:w="3735" w:type="dxa"/>
                  <w:vMerge w:val="restart"/>
                  <w:tcBorders>
                    <w:tl2br w:val="nil"/>
                    <w:tr2bl w:val="nil"/>
                  </w:tcBorders>
                  <w:vAlign w:val="center"/>
                </w:tcPr>
                <w:p w14:paraId="5486AD62">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《污水综合排放标准》（GB8978-1996）中表4三级标准</w:t>
                  </w:r>
                </w:p>
              </w:tc>
              <w:tc>
                <w:tcPr>
                  <w:tcW w:w="1937" w:type="dxa"/>
                  <w:tcBorders>
                    <w:tl2br w:val="nil"/>
                    <w:tr2bl w:val="nil"/>
                  </w:tcBorders>
                  <w:vAlign w:val="center"/>
                </w:tcPr>
                <w:p w14:paraId="48EB9772">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500</w:t>
                  </w:r>
                </w:p>
              </w:tc>
            </w:tr>
            <w:tr w14:paraId="2232B609">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424" w:hRule="atLeast"/>
                <w:jc w:val="center"/>
              </w:trPr>
              <w:tc>
                <w:tcPr>
                  <w:tcW w:w="701" w:type="dxa"/>
                  <w:vMerge w:val="continue"/>
                  <w:tcBorders>
                    <w:tl2br w:val="nil"/>
                    <w:tr2bl w:val="nil"/>
                  </w:tcBorders>
                  <w:vAlign w:val="center"/>
                </w:tcPr>
                <w:p w14:paraId="73FE7781">
                  <w:pPr>
                    <w:widowControl/>
                    <w:jc w:val="left"/>
                    <w:rPr>
                      <w:rFonts w:ascii="Times New Roman" w:hAnsi="Times New Roman" w:cs="Times New Roman"/>
                      <w:color w:val="000000" w:themeColor="text1"/>
                      <w14:textFill>
                        <w14:solidFill>
                          <w14:schemeClr w14:val="tx1"/>
                        </w14:solidFill>
                      </w14:textFill>
                    </w:rPr>
                  </w:pPr>
                </w:p>
              </w:tc>
              <w:tc>
                <w:tcPr>
                  <w:tcW w:w="802" w:type="dxa"/>
                  <w:vMerge w:val="continue"/>
                  <w:tcBorders>
                    <w:tl2br w:val="nil"/>
                    <w:tr2bl w:val="nil"/>
                  </w:tcBorders>
                  <w:vAlign w:val="center"/>
                </w:tcPr>
                <w:p w14:paraId="14C90894">
                  <w:pPr>
                    <w:widowControl/>
                    <w:jc w:val="left"/>
                    <w:rPr>
                      <w:rFonts w:ascii="Times New Roman" w:hAnsi="Times New Roman" w:cs="Times New Roman"/>
                      <w:color w:val="000000" w:themeColor="text1"/>
                      <w14:textFill>
                        <w14:solidFill>
                          <w14:schemeClr w14:val="tx1"/>
                        </w14:solidFill>
                      </w14:textFill>
                    </w:rPr>
                  </w:pPr>
                </w:p>
              </w:tc>
              <w:tc>
                <w:tcPr>
                  <w:tcW w:w="1096" w:type="dxa"/>
                  <w:tcBorders>
                    <w:tl2br w:val="nil"/>
                    <w:tr2bl w:val="nil"/>
                  </w:tcBorders>
                  <w:vAlign w:val="center"/>
                </w:tcPr>
                <w:p w14:paraId="6BF118B8">
                  <w:pPr>
                    <w:widowControl/>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SS</w:t>
                  </w:r>
                </w:p>
              </w:tc>
              <w:tc>
                <w:tcPr>
                  <w:tcW w:w="3735" w:type="dxa"/>
                  <w:vMerge w:val="continue"/>
                  <w:tcBorders>
                    <w:tl2br w:val="nil"/>
                    <w:tr2bl w:val="nil"/>
                  </w:tcBorders>
                  <w:vAlign w:val="center"/>
                </w:tcPr>
                <w:p w14:paraId="21252CD3">
                  <w:pPr>
                    <w:widowControl/>
                    <w:jc w:val="left"/>
                    <w:rPr>
                      <w:rFonts w:ascii="Times New Roman" w:hAnsi="Times New Roman" w:cs="Times New Roman"/>
                      <w:color w:val="000000" w:themeColor="text1"/>
                      <w14:textFill>
                        <w14:solidFill>
                          <w14:schemeClr w14:val="tx1"/>
                        </w14:solidFill>
                      </w14:textFill>
                    </w:rPr>
                  </w:pPr>
                </w:p>
              </w:tc>
              <w:tc>
                <w:tcPr>
                  <w:tcW w:w="1937" w:type="dxa"/>
                  <w:tcBorders>
                    <w:tl2br w:val="nil"/>
                    <w:tr2bl w:val="nil"/>
                  </w:tcBorders>
                  <w:vAlign w:val="center"/>
                </w:tcPr>
                <w:p w14:paraId="3C792AC4">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400</w:t>
                  </w:r>
                </w:p>
              </w:tc>
            </w:tr>
          </w:tbl>
          <w:p w14:paraId="39845755">
            <w:pPr>
              <w:pStyle w:val="16"/>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20" w:firstLineChars="20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企业应按照《排污单位自行监测技术指南总则》（HJ819-2017）、《固定污染物排污许可分类管理名录》、《排污许可证申请与核发技术规范 锅炉》（HJ 953-2018）相关</w:t>
            </w:r>
          </w:p>
          <w:p w14:paraId="1432885C">
            <w:pPr>
              <w:pStyle w:val="16"/>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要求，开展</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废水</w:t>
            </w:r>
            <w:r>
              <w:rPr>
                <w:rFonts w:hint="default" w:ascii="Times New Roman" w:hAnsi="Times New Roman" w:eastAsia="宋体" w:cs="Times New Roman"/>
                <w:b w:val="0"/>
                <w:bCs w:val="0"/>
                <w:color w:val="000000" w:themeColor="text1"/>
                <w:sz w:val="21"/>
                <w:szCs w:val="21"/>
                <w14:textFill>
                  <w14:solidFill>
                    <w14:schemeClr w14:val="tx1"/>
                  </w14:solidFill>
                </w14:textFill>
              </w:rPr>
              <w:t>污染物监测，</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废水污染源监测计划见表4-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 </w:t>
            </w:r>
          </w:p>
          <w:p w14:paraId="17F8CB2B">
            <w:pPr>
              <w:pStyle w:val="16"/>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38" w:firstLineChars="200"/>
              <w:jc w:val="center"/>
              <w:textAlignment w:val="auto"/>
              <w:rPr>
                <w:rStyle w:val="124"/>
                <w:rFonts w:hint="default" w:ascii="Times New Roman" w:hAnsi="Times New Roman" w:cs="Times New Roman"/>
                <w:color w:val="000000" w:themeColor="text1"/>
                <w:szCs w:val="21"/>
                <w14:textFill>
                  <w14:solidFill>
                    <w14:schemeClr w14:val="tx1"/>
                  </w14:solidFill>
                </w14:textFill>
              </w:rPr>
            </w:pPr>
            <w:r>
              <w:rPr>
                <w:rStyle w:val="124"/>
                <w:rFonts w:hint="default" w:ascii="Times New Roman" w:hAnsi="Times New Roman" w:cs="Times New Roman"/>
                <w:color w:val="000000" w:themeColor="text1"/>
                <w:szCs w:val="21"/>
                <w14:textFill>
                  <w14:solidFill>
                    <w14:schemeClr w14:val="tx1"/>
                  </w14:solidFill>
                </w14:textFill>
              </w:rPr>
              <w:t>表4-</w:t>
            </w:r>
            <w:r>
              <w:rPr>
                <w:rStyle w:val="124"/>
                <w:rFonts w:hint="default" w:ascii="Times New Roman" w:hAnsi="Times New Roman" w:cs="Times New Roman"/>
                <w:color w:val="000000" w:themeColor="text1"/>
                <w:szCs w:val="21"/>
                <w:lang w:val="en-US"/>
                <w14:textFill>
                  <w14:solidFill>
                    <w14:schemeClr w14:val="tx1"/>
                  </w14:solidFill>
                </w14:textFill>
              </w:rPr>
              <w:t>15</w:t>
            </w:r>
            <w:r>
              <w:rPr>
                <w:rStyle w:val="124"/>
                <w:rFonts w:hint="default" w:ascii="Times New Roman" w:hAnsi="Times New Roman" w:cs="Times New Roman"/>
                <w:color w:val="000000" w:themeColor="text1"/>
                <w:szCs w:val="21"/>
                <w14:textFill>
                  <w14:solidFill>
                    <w14:schemeClr w14:val="tx1"/>
                  </w14:solidFill>
                </w14:textFill>
              </w:rPr>
              <w:t xml:space="preserve">  本项目废水环保监测计划</w:t>
            </w:r>
          </w:p>
          <w:tbl>
            <w:tblPr>
              <w:tblStyle w:val="42"/>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5"/>
              <w:gridCol w:w="1410"/>
              <w:gridCol w:w="4425"/>
              <w:gridCol w:w="1170"/>
              <w:gridCol w:w="705"/>
            </w:tblGrid>
            <w:tr w14:paraId="47B71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05" w:type="dxa"/>
                  <w:gridSpan w:val="2"/>
                  <w:vAlign w:val="center"/>
                </w:tcPr>
                <w:p w14:paraId="17CE177F">
                  <w:pPr>
                    <w:tabs>
                      <w:tab w:val="left" w:pos="0"/>
                    </w:tabs>
                    <w:adjustRightInd w:val="0"/>
                    <w:snapToGrid w:val="0"/>
                    <w:spacing w:line="360" w:lineRule="auto"/>
                    <w:jc w:val="center"/>
                    <w:rPr>
                      <w:rFonts w:hint="default" w:ascii="Times New Roman" w:hAnsi="Times New Roman" w:cs="Times New Roman"/>
                      <w:b/>
                      <w:bCs/>
                      <w:color w:val="000000" w:themeColor="text1"/>
                      <w:spacing w:val="4"/>
                      <w:kern w:val="18"/>
                      <w:szCs w:val="21"/>
                      <w14:textFill>
                        <w14:solidFill>
                          <w14:schemeClr w14:val="tx1"/>
                        </w14:solidFill>
                      </w14:textFill>
                    </w:rPr>
                  </w:pPr>
                  <w:r>
                    <w:rPr>
                      <w:rFonts w:hint="default" w:ascii="Times New Roman" w:hAnsi="Times New Roman" w:cs="Times New Roman"/>
                      <w:b/>
                      <w:bCs/>
                      <w:color w:val="000000" w:themeColor="text1"/>
                      <w:spacing w:val="4"/>
                      <w:kern w:val="18"/>
                      <w:szCs w:val="21"/>
                      <w14:textFill>
                        <w14:solidFill>
                          <w14:schemeClr w14:val="tx1"/>
                        </w14:solidFill>
                      </w14:textFill>
                    </w:rPr>
                    <w:t>监测点位</w:t>
                  </w:r>
                </w:p>
              </w:tc>
              <w:tc>
                <w:tcPr>
                  <w:tcW w:w="4425" w:type="dxa"/>
                  <w:vAlign w:val="center"/>
                </w:tcPr>
                <w:p w14:paraId="11A0F201">
                  <w:pPr>
                    <w:tabs>
                      <w:tab w:val="left" w:pos="0"/>
                    </w:tabs>
                    <w:adjustRightInd w:val="0"/>
                    <w:snapToGrid w:val="0"/>
                    <w:spacing w:line="360" w:lineRule="auto"/>
                    <w:jc w:val="center"/>
                    <w:rPr>
                      <w:rFonts w:hint="default" w:ascii="Times New Roman" w:hAnsi="Times New Roman" w:cs="Times New Roman"/>
                      <w:b/>
                      <w:bCs/>
                      <w:color w:val="000000" w:themeColor="text1"/>
                      <w:spacing w:val="4"/>
                      <w:kern w:val="18"/>
                      <w:szCs w:val="21"/>
                      <w14:textFill>
                        <w14:solidFill>
                          <w14:schemeClr w14:val="tx1"/>
                        </w14:solidFill>
                      </w14:textFill>
                    </w:rPr>
                  </w:pPr>
                  <w:r>
                    <w:rPr>
                      <w:rFonts w:hint="default" w:ascii="Times New Roman" w:hAnsi="Times New Roman" w:cs="Times New Roman"/>
                      <w:b/>
                      <w:bCs/>
                      <w:color w:val="000000" w:themeColor="text1"/>
                      <w:spacing w:val="4"/>
                      <w:kern w:val="18"/>
                      <w:szCs w:val="21"/>
                      <w14:textFill>
                        <w14:solidFill>
                          <w14:schemeClr w14:val="tx1"/>
                        </w14:solidFill>
                      </w14:textFill>
                    </w:rPr>
                    <w:t>监测项目</w:t>
                  </w:r>
                </w:p>
              </w:tc>
              <w:tc>
                <w:tcPr>
                  <w:tcW w:w="1170" w:type="dxa"/>
                  <w:vAlign w:val="center"/>
                </w:tcPr>
                <w:p w14:paraId="42BF5B1A">
                  <w:pPr>
                    <w:tabs>
                      <w:tab w:val="left" w:pos="0"/>
                    </w:tabs>
                    <w:adjustRightInd w:val="0"/>
                    <w:snapToGrid w:val="0"/>
                    <w:spacing w:line="360" w:lineRule="auto"/>
                    <w:jc w:val="center"/>
                    <w:rPr>
                      <w:rFonts w:hint="default" w:ascii="Times New Roman" w:hAnsi="Times New Roman" w:cs="Times New Roman"/>
                      <w:b/>
                      <w:bCs/>
                      <w:color w:val="000000" w:themeColor="text1"/>
                      <w:spacing w:val="4"/>
                      <w:kern w:val="18"/>
                      <w:szCs w:val="21"/>
                      <w14:textFill>
                        <w14:solidFill>
                          <w14:schemeClr w14:val="tx1"/>
                        </w14:solidFill>
                      </w14:textFill>
                    </w:rPr>
                  </w:pPr>
                  <w:r>
                    <w:rPr>
                      <w:rFonts w:hint="default" w:ascii="Times New Roman" w:hAnsi="Times New Roman" w:cs="Times New Roman"/>
                      <w:b/>
                      <w:bCs/>
                      <w:color w:val="000000" w:themeColor="text1"/>
                      <w:spacing w:val="4"/>
                      <w:kern w:val="18"/>
                      <w:szCs w:val="21"/>
                      <w14:textFill>
                        <w14:solidFill>
                          <w14:schemeClr w14:val="tx1"/>
                        </w14:solidFill>
                      </w14:textFill>
                    </w:rPr>
                    <w:t>监测频次</w:t>
                  </w:r>
                </w:p>
              </w:tc>
              <w:tc>
                <w:tcPr>
                  <w:tcW w:w="705" w:type="dxa"/>
                  <w:vAlign w:val="center"/>
                </w:tcPr>
                <w:p w14:paraId="049B0A25">
                  <w:pPr>
                    <w:tabs>
                      <w:tab w:val="left" w:pos="0"/>
                    </w:tabs>
                    <w:adjustRightInd w:val="0"/>
                    <w:snapToGrid w:val="0"/>
                    <w:spacing w:line="360" w:lineRule="auto"/>
                    <w:jc w:val="center"/>
                    <w:rPr>
                      <w:rFonts w:hint="default" w:ascii="Times New Roman" w:hAnsi="Times New Roman" w:cs="Times New Roman"/>
                      <w:b/>
                      <w:bCs/>
                      <w:color w:val="000000" w:themeColor="text1"/>
                      <w:spacing w:val="4"/>
                      <w:kern w:val="18"/>
                      <w:szCs w:val="21"/>
                      <w14:textFill>
                        <w14:solidFill>
                          <w14:schemeClr w14:val="tx1"/>
                        </w14:solidFill>
                      </w14:textFill>
                    </w:rPr>
                  </w:pPr>
                  <w:r>
                    <w:rPr>
                      <w:rFonts w:hint="default" w:ascii="Times New Roman" w:hAnsi="Times New Roman" w:cs="Times New Roman"/>
                      <w:b/>
                      <w:bCs/>
                      <w:color w:val="000000" w:themeColor="text1"/>
                      <w:spacing w:val="4"/>
                      <w:kern w:val="18"/>
                      <w:szCs w:val="21"/>
                      <w14:textFill>
                        <w14:solidFill>
                          <w14:schemeClr w14:val="tx1"/>
                        </w14:solidFill>
                      </w14:textFill>
                    </w:rPr>
                    <w:t>备注</w:t>
                  </w:r>
                </w:p>
              </w:tc>
            </w:tr>
            <w:tr w14:paraId="2F69C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95" w:type="dxa"/>
                  <w:vMerge w:val="restart"/>
                  <w:vAlign w:val="center"/>
                </w:tcPr>
                <w:p w14:paraId="62E19FB9">
                  <w:pPr>
                    <w:tabs>
                      <w:tab w:val="left" w:pos="0"/>
                    </w:tabs>
                    <w:adjustRightInd w:val="0"/>
                    <w:snapToGrid w:val="0"/>
                    <w:spacing w:line="360" w:lineRule="auto"/>
                    <w:jc w:val="center"/>
                    <w:rPr>
                      <w:rFonts w:hint="default" w:ascii="Times New Roman" w:hAnsi="Times New Roman" w:cs="Times New Roman"/>
                      <w:color w:val="000000" w:themeColor="text1"/>
                      <w:spacing w:val="4"/>
                      <w:kern w:val="18"/>
                      <w:szCs w:val="21"/>
                      <w14:textFill>
                        <w14:solidFill>
                          <w14:schemeClr w14:val="tx1"/>
                        </w14:solidFill>
                      </w14:textFill>
                    </w:rPr>
                  </w:pPr>
                  <w:r>
                    <w:rPr>
                      <w:rFonts w:hint="default" w:ascii="Times New Roman" w:hAnsi="Times New Roman" w:cs="Times New Roman"/>
                      <w:color w:val="000000" w:themeColor="text1"/>
                      <w:spacing w:val="4"/>
                      <w:kern w:val="18"/>
                      <w:szCs w:val="21"/>
                      <w14:textFill>
                        <w14:solidFill>
                          <w14:schemeClr w14:val="tx1"/>
                        </w14:solidFill>
                      </w14:textFill>
                    </w:rPr>
                    <w:t>废水</w:t>
                  </w:r>
                </w:p>
              </w:tc>
              <w:tc>
                <w:tcPr>
                  <w:tcW w:w="1410" w:type="dxa"/>
                  <w:vAlign w:val="center"/>
                </w:tcPr>
                <w:p w14:paraId="004717AA">
                  <w:pPr>
                    <w:tabs>
                      <w:tab w:val="left" w:pos="0"/>
                    </w:tabs>
                    <w:adjustRightInd w:val="0"/>
                    <w:snapToGrid w:val="0"/>
                    <w:spacing w:line="360" w:lineRule="auto"/>
                    <w:jc w:val="center"/>
                    <w:rPr>
                      <w:rFonts w:hint="default" w:ascii="Times New Roman" w:hAnsi="Times New Roman" w:cs="Times New Roman"/>
                      <w:color w:val="000000" w:themeColor="text1"/>
                      <w:spacing w:val="4"/>
                      <w:kern w:val="18"/>
                      <w:szCs w:val="21"/>
                      <w14:textFill>
                        <w14:solidFill>
                          <w14:schemeClr w14:val="tx1"/>
                        </w14:solidFill>
                      </w14:textFill>
                    </w:rPr>
                  </w:pPr>
                  <w:r>
                    <w:rPr>
                      <w:rFonts w:hint="default" w:ascii="Times New Roman" w:hAnsi="Times New Roman" w:cs="Times New Roman"/>
                      <w:color w:val="000000" w:themeColor="text1"/>
                      <w:spacing w:val="4"/>
                      <w:kern w:val="18"/>
                      <w:szCs w:val="21"/>
                      <w14:textFill>
                        <w14:solidFill>
                          <w14:schemeClr w14:val="tx1"/>
                        </w14:solidFill>
                      </w14:textFill>
                    </w:rPr>
                    <w:t>污水排口</w:t>
                  </w:r>
                </w:p>
              </w:tc>
              <w:tc>
                <w:tcPr>
                  <w:tcW w:w="4425" w:type="dxa"/>
                  <w:vAlign w:val="center"/>
                </w:tcPr>
                <w:p w14:paraId="3A0CE5B8">
                  <w:pPr>
                    <w:tabs>
                      <w:tab w:val="left" w:pos="0"/>
                    </w:tabs>
                    <w:adjustRightInd w:val="0"/>
                    <w:snapToGrid w:val="0"/>
                    <w:spacing w:line="360" w:lineRule="auto"/>
                    <w:jc w:val="center"/>
                    <w:rPr>
                      <w:rFonts w:hint="default" w:ascii="Times New Roman" w:hAnsi="Times New Roman" w:eastAsia="宋体" w:cs="Times New Roman"/>
                      <w:color w:val="000000" w:themeColor="text1"/>
                      <w:spacing w:val="4"/>
                      <w:kern w:val="18"/>
                      <w:szCs w:val="21"/>
                      <w:lang w:val="en-US" w:eastAsia="zh-CN"/>
                      <w14:textFill>
                        <w14:solidFill>
                          <w14:schemeClr w14:val="tx1"/>
                        </w14:solidFill>
                      </w14:textFill>
                    </w:rPr>
                  </w:pPr>
                  <w:r>
                    <w:rPr>
                      <w:rFonts w:hint="default" w:ascii="Times New Roman" w:hAnsi="Times New Roman" w:cs="Times New Roman"/>
                      <w:color w:val="000000" w:themeColor="text1"/>
                      <w:spacing w:val="4"/>
                      <w:kern w:val="18"/>
                      <w:szCs w:val="21"/>
                      <w14:textFill>
                        <w14:solidFill>
                          <w14:schemeClr w14:val="tx1"/>
                        </w14:solidFill>
                      </w14:textFill>
                    </w:rPr>
                    <w:t>pH值、COD、SS</w:t>
                  </w:r>
                </w:p>
              </w:tc>
              <w:tc>
                <w:tcPr>
                  <w:tcW w:w="1170" w:type="dxa"/>
                  <w:vAlign w:val="center"/>
                </w:tcPr>
                <w:p w14:paraId="0D115FF3">
                  <w:pPr>
                    <w:tabs>
                      <w:tab w:val="left" w:pos="0"/>
                    </w:tabs>
                    <w:adjustRightInd w:val="0"/>
                    <w:snapToGrid w:val="0"/>
                    <w:spacing w:line="360" w:lineRule="auto"/>
                    <w:jc w:val="center"/>
                    <w:rPr>
                      <w:rFonts w:hint="default" w:ascii="Times New Roman" w:hAnsi="Times New Roman" w:eastAsia="宋体" w:cs="Times New Roman"/>
                      <w:color w:val="000000" w:themeColor="text1"/>
                      <w:spacing w:val="4"/>
                      <w:kern w:val="18"/>
                      <w:szCs w:val="21"/>
                      <w:lang w:val="en-US" w:eastAsia="zh-CN"/>
                      <w14:textFill>
                        <w14:solidFill>
                          <w14:schemeClr w14:val="tx1"/>
                        </w14:solidFill>
                      </w14:textFill>
                    </w:rPr>
                  </w:pPr>
                  <w:r>
                    <w:rPr>
                      <w:rFonts w:hint="default" w:ascii="Times New Roman" w:hAnsi="Times New Roman" w:cs="Times New Roman"/>
                      <w:color w:val="000000" w:themeColor="text1"/>
                      <w:spacing w:val="4"/>
                      <w:kern w:val="18"/>
                      <w:szCs w:val="21"/>
                      <w:lang w:val="en-US" w:eastAsia="zh-CN"/>
                      <w14:textFill>
                        <w14:solidFill>
                          <w14:schemeClr w14:val="tx1"/>
                        </w14:solidFill>
                      </w14:textFill>
                    </w:rPr>
                    <w:t>1次/年</w:t>
                  </w:r>
                </w:p>
              </w:tc>
              <w:tc>
                <w:tcPr>
                  <w:tcW w:w="705" w:type="dxa"/>
                  <w:vAlign w:val="center"/>
                </w:tcPr>
                <w:p w14:paraId="60DE82C6">
                  <w:pPr>
                    <w:tabs>
                      <w:tab w:val="left" w:pos="0"/>
                    </w:tabs>
                    <w:adjustRightInd w:val="0"/>
                    <w:snapToGrid w:val="0"/>
                    <w:spacing w:line="360" w:lineRule="auto"/>
                    <w:jc w:val="center"/>
                    <w:rPr>
                      <w:rFonts w:hint="default" w:ascii="Times New Roman" w:hAnsi="Times New Roman" w:eastAsia="宋体" w:cs="Times New Roman"/>
                      <w:color w:val="000000" w:themeColor="text1"/>
                      <w:spacing w:val="4"/>
                      <w:kern w:val="18"/>
                      <w:szCs w:val="21"/>
                      <w:lang w:eastAsia="zh-CN"/>
                      <w14:textFill>
                        <w14:solidFill>
                          <w14:schemeClr w14:val="tx1"/>
                        </w14:solidFill>
                      </w14:textFill>
                    </w:rPr>
                  </w:pPr>
                  <w:r>
                    <w:rPr>
                      <w:rFonts w:hint="default" w:ascii="Times New Roman" w:hAnsi="Times New Roman" w:cs="Times New Roman"/>
                      <w:color w:val="000000" w:themeColor="text1"/>
                      <w:spacing w:val="4"/>
                      <w:kern w:val="18"/>
                      <w:szCs w:val="21"/>
                      <w:lang w:eastAsia="zh-CN"/>
                      <w14:textFill>
                        <w14:solidFill>
                          <w14:schemeClr w14:val="tx1"/>
                        </w14:solidFill>
                      </w14:textFill>
                    </w:rPr>
                    <w:t>—</w:t>
                  </w:r>
                </w:p>
              </w:tc>
            </w:tr>
            <w:tr w14:paraId="4ABF6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95" w:type="dxa"/>
                  <w:vMerge w:val="continue"/>
                  <w:vAlign w:val="center"/>
                </w:tcPr>
                <w:p w14:paraId="6913D6CC">
                  <w:pPr>
                    <w:tabs>
                      <w:tab w:val="left" w:pos="0"/>
                    </w:tabs>
                    <w:adjustRightInd w:val="0"/>
                    <w:snapToGrid w:val="0"/>
                    <w:spacing w:line="360" w:lineRule="auto"/>
                    <w:jc w:val="center"/>
                    <w:rPr>
                      <w:rFonts w:hint="default" w:ascii="Times New Roman" w:hAnsi="Times New Roman" w:cs="Times New Roman"/>
                      <w:color w:val="000000" w:themeColor="text1"/>
                      <w:spacing w:val="4"/>
                      <w:kern w:val="18"/>
                      <w:szCs w:val="21"/>
                      <w14:textFill>
                        <w14:solidFill>
                          <w14:schemeClr w14:val="tx1"/>
                        </w14:solidFill>
                      </w14:textFill>
                    </w:rPr>
                  </w:pPr>
                </w:p>
              </w:tc>
              <w:tc>
                <w:tcPr>
                  <w:tcW w:w="1410" w:type="dxa"/>
                  <w:vAlign w:val="center"/>
                </w:tcPr>
                <w:p w14:paraId="6BC67806">
                  <w:pPr>
                    <w:tabs>
                      <w:tab w:val="left" w:pos="0"/>
                    </w:tabs>
                    <w:adjustRightInd w:val="0"/>
                    <w:snapToGrid w:val="0"/>
                    <w:spacing w:line="360" w:lineRule="auto"/>
                    <w:jc w:val="center"/>
                    <w:rPr>
                      <w:rFonts w:hint="default" w:ascii="Times New Roman" w:hAnsi="Times New Roman" w:eastAsia="宋体" w:cs="Times New Roman"/>
                      <w:color w:val="000000" w:themeColor="text1"/>
                      <w:spacing w:val="4"/>
                      <w:kern w:val="18"/>
                      <w:szCs w:val="21"/>
                      <w:lang w:val="en-US" w:eastAsia="zh-CN"/>
                      <w14:textFill>
                        <w14:solidFill>
                          <w14:schemeClr w14:val="tx1"/>
                        </w14:solidFill>
                      </w14:textFill>
                    </w:rPr>
                  </w:pPr>
                  <w:r>
                    <w:rPr>
                      <w:rFonts w:hint="default" w:ascii="Times New Roman" w:hAnsi="Times New Roman" w:cs="Times New Roman"/>
                      <w:color w:val="000000" w:themeColor="text1"/>
                      <w:spacing w:val="4"/>
                      <w:kern w:val="18"/>
                      <w:szCs w:val="21"/>
                      <w:lang w:val="en-US" w:eastAsia="zh-CN"/>
                      <w14:textFill>
                        <w14:solidFill>
                          <w14:schemeClr w14:val="tx1"/>
                        </w14:solidFill>
                      </w14:textFill>
                    </w:rPr>
                    <w:t>雨水排口</w:t>
                  </w:r>
                </w:p>
              </w:tc>
              <w:tc>
                <w:tcPr>
                  <w:tcW w:w="4425" w:type="dxa"/>
                  <w:vAlign w:val="center"/>
                </w:tcPr>
                <w:p w14:paraId="3A9F2A9F">
                  <w:pPr>
                    <w:tabs>
                      <w:tab w:val="left" w:pos="0"/>
                    </w:tabs>
                    <w:adjustRightInd w:val="0"/>
                    <w:snapToGrid w:val="0"/>
                    <w:spacing w:line="360" w:lineRule="auto"/>
                    <w:jc w:val="center"/>
                    <w:rPr>
                      <w:rFonts w:hint="default" w:ascii="Times New Roman" w:hAnsi="Times New Roman" w:eastAsia="宋体" w:cs="Times New Roman"/>
                      <w:color w:val="000000" w:themeColor="text1"/>
                      <w:spacing w:val="4"/>
                      <w:kern w:val="18"/>
                      <w:szCs w:val="21"/>
                      <w:lang w:val="en-US" w:eastAsia="zh-CN"/>
                      <w14:textFill>
                        <w14:solidFill>
                          <w14:schemeClr w14:val="tx1"/>
                        </w14:solidFill>
                      </w14:textFill>
                    </w:rPr>
                  </w:pPr>
                  <w:r>
                    <w:rPr>
                      <w:rFonts w:hint="default" w:ascii="Times New Roman" w:hAnsi="Times New Roman" w:cs="Times New Roman"/>
                      <w:color w:val="000000" w:themeColor="text1"/>
                      <w:spacing w:val="4"/>
                      <w:kern w:val="18"/>
                      <w:szCs w:val="21"/>
                      <w:lang w:val="en-US" w:eastAsia="zh-CN"/>
                      <w14:textFill>
                        <w14:solidFill>
                          <w14:schemeClr w14:val="tx1"/>
                        </w14:solidFill>
                      </w14:textFill>
                    </w:rPr>
                    <w:t>COD、SS</w:t>
                  </w:r>
                </w:p>
              </w:tc>
              <w:tc>
                <w:tcPr>
                  <w:tcW w:w="1170" w:type="dxa"/>
                  <w:vAlign w:val="center"/>
                </w:tcPr>
                <w:p w14:paraId="5F1A6D6A">
                  <w:pPr>
                    <w:tabs>
                      <w:tab w:val="left" w:pos="0"/>
                    </w:tabs>
                    <w:adjustRightInd w:val="0"/>
                    <w:snapToGrid w:val="0"/>
                    <w:spacing w:line="360" w:lineRule="auto"/>
                    <w:jc w:val="center"/>
                    <w:rPr>
                      <w:rFonts w:hint="default" w:ascii="Times New Roman" w:hAnsi="Times New Roman" w:eastAsia="宋体" w:cs="Times New Roman"/>
                      <w:color w:val="000000" w:themeColor="text1"/>
                      <w:spacing w:val="4"/>
                      <w:kern w:val="18"/>
                      <w:szCs w:val="21"/>
                      <w:lang w:val="en-US" w:eastAsia="zh-CN"/>
                      <w14:textFill>
                        <w14:solidFill>
                          <w14:schemeClr w14:val="tx1"/>
                        </w14:solidFill>
                      </w14:textFill>
                    </w:rPr>
                  </w:pPr>
                  <w:r>
                    <w:rPr>
                      <w:rFonts w:hint="default" w:ascii="Times New Roman" w:hAnsi="Times New Roman" w:cs="Times New Roman"/>
                      <w:color w:val="000000" w:themeColor="text1"/>
                      <w:spacing w:val="4"/>
                      <w:kern w:val="18"/>
                      <w:szCs w:val="21"/>
                      <w:lang w:val="en-US" w:eastAsia="zh-CN"/>
                      <w14:textFill>
                        <w14:solidFill>
                          <w14:schemeClr w14:val="tx1"/>
                        </w14:solidFill>
                      </w14:textFill>
                    </w:rPr>
                    <w:t>1次/日</w:t>
                  </w:r>
                </w:p>
              </w:tc>
              <w:tc>
                <w:tcPr>
                  <w:tcW w:w="705" w:type="dxa"/>
                  <w:vAlign w:val="center"/>
                </w:tcPr>
                <w:p w14:paraId="278BDE06">
                  <w:pPr>
                    <w:tabs>
                      <w:tab w:val="left" w:pos="0"/>
                    </w:tabs>
                    <w:adjustRightInd w:val="0"/>
                    <w:snapToGrid w:val="0"/>
                    <w:spacing w:line="360" w:lineRule="auto"/>
                    <w:jc w:val="center"/>
                    <w:rPr>
                      <w:rFonts w:hint="default" w:ascii="Times New Roman" w:hAnsi="Times New Roman" w:eastAsia="宋体" w:cs="Times New Roman"/>
                      <w:color w:val="000000" w:themeColor="text1"/>
                      <w:spacing w:val="4"/>
                      <w:kern w:val="18"/>
                      <w:szCs w:val="21"/>
                      <w:lang w:eastAsia="zh-CN"/>
                      <w14:textFill>
                        <w14:solidFill>
                          <w14:schemeClr w14:val="tx1"/>
                        </w14:solidFill>
                      </w14:textFill>
                    </w:rPr>
                  </w:pPr>
                  <w:r>
                    <w:rPr>
                      <w:rFonts w:hint="default" w:ascii="Times New Roman" w:hAnsi="Times New Roman" w:cs="Times New Roman"/>
                      <w:color w:val="000000" w:themeColor="text1"/>
                      <w:spacing w:val="4"/>
                      <w:kern w:val="18"/>
                      <w:szCs w:val="21"/>
                      <w:lang w:eastAsia="zh-CN"/>
                      <w14:textFill>
                        <w14:solidFill>
                          <w14:schemeClr w14:val="tx1"/>
                        </w14:solidFill>
                      </w14:textFill>
                    </w:rPr>
                    <w:t>—</w:t>
                  </w:r>
                </w:p>
              </w:tc>
            </w:tr>
          </w:tbl>
          <w:p w14:paraId="08F7B518">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w:t>
            </w:r>
            <w:r>
              <w:rPr>
                <w:rFonts w:hint="default" w:ascii="Times New Roman" w:hAnsi="Times New Roman" w:eastAsia="宋体" w:cs="Times New Roman"/>
                <w:bCs/>
                <w:color w:val="000000" w:themeColor="text1"/>
                <w:sz w:val="21"/>
                <w:szCs w:val="21"/>
                <w:lang w:eastAsia="zh-CN"/>
                <w14:textFill>
                  <w14:solidFill>
                    <w14:schemeClr w14:val="tx1"/>
                  </w14:solidFill>
                </w14:textFill>
              </w:rPr>
              <w:t>三同时验收监测计划</w:t>
            </w:r>
          </w:p>
          <w:p w14:paraId="3D338D9B">
            <w:pPr>
              <w:adjustRightInd w:val="0"/>
              <w:snapToGrid w:val="0"/>
              <w:jc w:val="center"/>
              <w:rPr>
                <w:rStyle w:val="124"/>
                <w:rFonts w:hint="default" w:ascii="Times New Roman" w:hAnsi="Times New Roman" w:cs="Times New Roman"/>
                <w:color w:val="000000" w:themeColor="text1"/>
                <w:sz w:val="21"/>
                <w:szCs w:val="21"/>
                <w14:textFill>
                  <w14:solidFill>
                    <w14:schemeClr w14:val="tx1"/>
                  </w14:solidFill>
                </w14:textFill>
              </w:rPr>
            </w:pPr>
            <w:r>
              <w:rPr>
                <w:rStyle w:val="124"/>
                <w:rFonts w:hint="default" w:ascii="Times New Roman" w:hAnsi="Times New Roman" w:cs="Times New Roman"/>
                <w:color w:val="000000" w:themeColor="text1"/>
                <w:sz w:val="21"/>
                <w:szCs w:val="21"/>
                <w14:textFill>
                  <w14:solidFill>
                    <w14:schemeClr w14:val="tx1"/>
                  </w14:solidFill>
                </w14:textFill>
              </w:rPr>
              <w:t>表</w:t>
            </w:r>
            <w:r>
              <w:rPr>
                <w:rStyle w:val="124"/>
                <w:rFonts w:hint="default" w:ascii="Times New Roman" w:hAnsi="Times New Roman" w:cs="Times New Roman"/>
                <w:color w:val="000000" w:themeColor="text1"/>
                <w:sz w:val="21"/>
                <w:szCs w:val="21"/>
                <w:lang w:val="en-US"/>
                <w14:textFill>
                  <w14:solidFill>
                    <w14:schemeClr w14:val="tx1"/>
                  </w14:solidFill>
                </w14:textFill>
              </w:rPr>
              <w:t>4-1</w:t>
            </w:r>
            <w:r>
              <w:rPr>
                <w:rStyle w:val="124"/>
                <w:rFonts w:hint="eastAsia" w:ascii="Times New Roman" w:hAnsi="Times New Roman" w:cs="Times New Roman"/>
                <w:color w:val="000000" w:themeColor="text1"/>
                <w:sz w:val="21"/>
                <w:szCs w:val="21"/>
                <w:lang w:val="en-US"/>
                <w14:textFill>
                  <w14:solidFill>
                    <w14:schemeClr w14:val="tx1"/>
                  </w14:solidFill>
                </w14:textFill>
              </w:rPr>
              <w:t>6</w:t>
            </w:r>
            <w:r>
              <w:rPr>
                <w:rStyle w:val="124"/>
                <w:rFonts w:hint="default" w:ascii="Times New Roman" w:hAnsi="Times New Roman" w:cs="Times New Roman"/>
                <w:color w:val="000000" w:themeColor="text1"/>
                <w:sz w:val="21"/>
                <w:szCs w:val="21"/>
                <w:lang w:val="en-US"/>
                <w14:textFill>
                  <w14:solidFill>
                    <w14:schemeClr w14:val="tx1"/>
                  </w14:solidFill>
                </w14:textFill>
              </w:rPr>
              <w:t xml:space="preserve"> </w:t>
            </w:r>
            <w:r>
              <w:rPr>
                <w:rStyle w:val="124"/>
                <w:rFonts w:hint="default" w:ascii="Times New Roman" w:hAnsi="Times New Roman" w:cs="Times New Roman"/>
                <w:color w:val="000000" w:themeColor="text1"/>
                <w:sz w:val="21"/>
                <w:szCs w:val="21"/>
                <w14:textFill>
                  <w14:solidFill>
                    <w14:schemeClr w14:val="tx1"/>
                  </w14:solidFill>
                </w14:textFill>
              </w:rPr>
              <w:t xml:space="preserve"> 本项目废水验收监测计划</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68"/>
              <w:gridCol w:w="1372"/>
              <w:gridCol w:w="3920"/>
              <w:gridCol w:w="1516"/>
              <w:gridCol w:w="695"/>
            </w:tblGrid>
            <w:tr w14:paraId="4898E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1294" w:type="pct"/>
                  <w:gridSpan w:val="2"/>
                  <w:noWrap w:val="0"/>
                  <w:vAlign w:val="center"/>
                </w:tcPr>
                <w:p w14:paraId="2FCB3C29">
                  <w:pPr>
                    <w:tabs>
                      <w:tab w:val="left" w:pos="0"/>
                    </w:tabs>
                    <w:adjustRightInd w:val="0"/>
                    <w:snapToGrid w:val="0"/>
                    <w:jc w:val="center"/>
                    <w:rPr>
                      <w:rFonts w:hint="default" w:ascii="Times New Roman" w:hAnsi="Times New Roman" w:eastAsia="Times New Roman" w:cs="Times New Roman"/>
                      <w:b/>
                      <w:bCs/>
                      <w:color w:val="000000" w:themeColor="text1"/>
                      <w:spacing w:val="4"/>
                      <w:kern w:val="18"/>
                      <w:sz w:val="21"/>
                      <w:szCs w:val="21"/>
                      <w14:textFill>
                        <w14:solidFill>
                          <w14:schemeClr w14:val="tx1"/>
                        </w14:solidFill>
                      </w14:textFill>
                    </w:rPr>
                  </w:pPr>
                  <w:r>
                    <w:rPr>
                      <w:rFonts w:hint="default" w:ascii="Times New Roman" w:hAnsi="Times New Roman" w:cs="Times New Roman"/>
                      <w:b/>
                      <w:bCs/>
                      <w:color w:val="000000" w:themeColor="text1"/>
                      <w:spacing w:val="4"/>
                      <w:kern w:val="18"/>
                      <w:sz w:val="21"/>
                      <w:szCs w:val="21"/>
                      <w14:textFill>
                        <w14:solidFill>
                          <w14:schemeClr w14:val="tx1"/>
                        </w14:solidFill>
                      </w14:textFill>
                    </w:rPr>
                    <w:t>监测点位</w:t>
                  </w:r>
                </w:p>
              </w:tc>
              <w:tc>
                <w:tcPr>
                  <w:tcW w:w="2369" w:type="pct"/>
                  <w:noWrap w:val="0"/>
                  <w:vAlign w:val="center"/>
                </w:tcPr>
                <w:p w14:paraId="03295E54">
                  <w:pPr>
                    <w:tabs>
                      <w:tab w:val="left" w:pos="0"/>
                    </w:tabs>
                    <w:adjustRightInd w:val="0"/>
                    <w:snapToGrid w:val="0"/>
                    <w:jc w:val="center"/>
                    <w:rPr>
                      <w:rFonts w:hint="default" w:ascii="Times New Roman" w:hAnsi="Times New Roman" w:eastAsia="Times New Roman" w:cs="Times New Roman"/>
                      <w:b/>
                      <w:bCs/>
                      <w:color w:val="000000" w:themeColor="text1"/>
                      <w:spacing w:val="4"/>
                      <w:kern w:val="18"/>
                      <w:sz w:val="21"/>
                      <w:szCs w:val="21"/>
                      <w14:textFill>
                        <w14:solidFill>
                          <w14:schemeClr w14:val="tx1"/>
                        </w14:solidFill>
                      </w14:textFill>
                    </w:rPr>
                  </w:pPr>
                  <w:r>
                    <w:rPr>
                      <w:rFonts w:hint="default" w:ascii="Times New Roman" w:hAnsi="Times New Roman" w:cs="Times New Roman"/>
                      <w:b/>
                      <w:bCs/>
                      <w:color w:val="000000" w:themeColor="text1"/>
                      <w:spacing w:val="4"/>
                      <w:kern w:val="18"/>
                      <w:sz w:val="21"/>
                      <w:szCs w:val="21"/>
                      <w14:textFill>
                        <w14:solidFill>
                          <w14:schemeClr w14:val="tx1"/>
                        </w14:solidFill>
                      </w14:textFill>
                    </w:rPr>
                    <w:t>监测项目</w:t>
                  </w:r>
                </w:p>
              </w:tc>
              <w:tc>
                <w:tcPr>
                  <w:tcW w:w="916" w:type="pct"/>
                  <w:noWrap w:val="0"/>
                  <w:vAlign w:val="center"/>
                </w:tcPr>
                <w:p w14:paraId="286D5E5E">
                  <w:pPr>
                    <w:tabs>
                      <w:tab w:val="left" w:pos="0"/>
                    </w:tabs>
                    <w:adjustRightInd w:val="0"/>
                    <w:snapToGrid w:val="0"/>
                    <w:jc w:val="center"/>
                    <w:rPr>
                      <w:rFonts w:hint="default" w:ascii="Times New Roman" w:hAnsi="Times New Roman" w:eastAsia="Times New Roman" w:cs="Times New Roman"/>
                      <w:b/>
                      <w:bCs/>
                      <w:color w:val="000000" w:themeColor="text1"/>
                      <w:spacing w:val="4"/>
                      <w:kern w:val="18"/>
                      <w:sz w:val="21"/>
                      <w:szCs w:val="21"/>
                      <w14:textFill>
                        <w14:solidFill>
                          <w14:schemeClr w14:val="tx1"/>
                        </w14:solidFill>
                      </w14:textFill>
                    </w:rPr>
                  </w:pPr>
                  <w:r>
                    <w:rPr>
                      <w:rFonts w:hint="default" w:ascii="Times New Roman" w:hAnsi="Times New Roman" w:cs="Times New Roman"/>
                      <w:b/>
                      <w:bCs/>
                      <w:color w:val="000000" w:themeColor="text1"/>
                      <w:spacing w:val="4"/>
                      <w:kern w:val="18"/>
                      <w:sz w:val="21"/>
                      <w:szCs w:val="21"/>
                      <w14:textFill>
                        <w14:solidFill>
                          <w14:schemeClr w14:val="tx1"/>
                        </w14:solidFill>
                      </w14:textFill>
                    </w:rPr>
                    <w:t>监测频次</w:t>
                  </w:r>
                </w:p>
              </w:tc>
              <w:tc>
                <w:tcPr>
                  <w:tcW w:w="420" w:type="pct"/>
                  <w:noWrap w:val="0"/>
                  <w:vAlign w:val="center"/>
                </w:tcPr>
                <w:p w14:paraId="312D9F0D">
                  <w:pPr>
                    <w:tabs>
                      <w:tab w:val="left" w:pos="0"/>
                    </w:tabs>
                    <w:adjustRightInd w:val="0"/>
                    <w:snapToGrid w:val="0"/>
                    <w:jc w:val="center"/>
                    <w:rPr>
                      <w:rFonts w:hint="default" w:ascii="Times New Roman" w:hAnsi="Times New Roman" w:eastAsia="Times New Roman" w:cs="Times New Roman"/>
                      <w:b/>
                      <w:bCs/>
                      <w:color w:val="000000" w:themeColor="text1"/>
                      <w:spacing w:val="4"/>
                      <w:kern w:val="18"/>
                      <w:sz w:val="21"/>
                      <w:szCs w:val="21"/>
                      <w14:textFill>
                        <w14:solidFill>
                          <w14:schemeClr w14:val="tx1"/>
                        </w14:solidFill>
                      </w14:textFill>
                    </w:rPr>
                  </w:pPr>
                  <w:r>
                    <w:rPr>
                      <w:rFonts w:hint="default" w:ascii="Times New Roman" w:hAnsi="Times New Roman" w:cs="Times New Roman"/>
                      <w:b/>
                      <w:bCs/>
                      <w:color w:val="000000" w:themeColor="text1"/>
                      <w:spacing w:val="4"/>
                      <w:kern w:val="18"/>
                      <w:sz w:val="21"/>
                      <w:szCs w:val="21"/>
                      <w14:textFill>
                        <w14:solidFill>
                          <w14:schemeClr w14:val="tx1"/>
                        </w14:solidFill>
                      </w14:textFill>
                    </w:rPr>
                    <w:t>备注</w:t>
                  </w:r>
                </w:p>
              </w:tc>
            </w:tr>
            <w:tr w14:paraId="33003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65" w:type="pct"/>
                  <w:noWrap w:val="0"/>
                  <w:vAlign w:val="center"/>
                </w:tcPr>
                <w:p w14:paraId="101DF52B">
                  <w:pPr>
                    <w:tabs>
                      <w:tab w:val="left" w:pos="0"/>
                    </w:tabs>
                    <w:adjustRightInd w:val="0"/>
                    <w:snapToGrid w:val="0"/>
                    <w:jc w:val="center"/>
                    <w:rPr>
                      <w:rFonts w:hint="default" w:ascii="Times New Roman" w:hAnsi="Times New Roman" w:eastAsia="宋体" w:cs="Times New Roman"/>
                      <w:color w:val="000000" w:themeColor="text1"/>
                      <w:spacing w:val="4"/>
                      <w:kern w:val="18"/>
                      <w:sz w:val="21"/>
                      <w:szCs w:val="21"/>
                      <w:lang w:eastAsia="zh-CN"/>
                      <w14:textFill>
                        <w14:solidFill>
                          <w14:schemeClr w14:val="tx1"/>
                        </w14:solidFill>
                      </w14:textFill>
                    </w:rPr>
                  </w:pPr>
                  <w:r>
                    <w:rPr>
                      <w:rFonts w:hint="default" w:ascii="Times New Roman" w:hAnsi="Times New Roman" w:cs="Times New Roman"/>
                      <w:color w:val="000000" w:themeColor="text1"/>
                      <w:spacing w:val="4"/>
                      <w:kern w:val="18"/>
                      <w:sz w:val="21"/>
                      <w:szCs w:val="21"/>
                      <w:lang w:eastAsia="zh-CN"/>
                      <w14:textFill>
                        <w14:solidFill>
                          <w14:schemeClr w14:val="tx1"/>
                        </w14:solidFill>
                      </w14:textFill>
                    </w:rPr>
                    <w:t>废水</w:t>
                  </w:r>
                </w:p>
              </w:tc>
              <w:tc>
                <w:tcPr>
                  <w:tcW w:w="828" w:type="pct"/>
                  <w:noWrap w:val="0"/>
                  <w:vAlign w:val="center"/>
                </w:tcPr>
                <w:p w14:paraId="39C63403">
                  <w:pPr>
                    <w:tabs>
                      <w:tab w:val="left" w:pos="0"/>
                    </w:tabs>
                    <w:adjustRightInd w:val="0"/>
                    <w:snapToGrid w:val="0"/>
                    <w:jc w:val="center"/>
                    <w:rPr>
                      <w:rFonts w:hint="default" w:ascii="Times New Roman" w:hAnsi="Times New Roman" w:cs="Times New Roman"/>
                      <w:color w:val="000000" w:themeColor="text1"/>
                      <w:spacing w:val="4"/>
                      <w:kern w:val="18"/>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污水接管口</w:t>
                  </w:r>
                </w:p>
              </w:tc>
              <w:tc>
                <w:tcPr>
                  <w:tcW w:w="2369" w:type="pct"/>
                  <w:noWrap w:val="0"/>
                  <w:vAlign w:val="center"/>
                </w:tcPr>
                <w:p w14:paraId="4A7C8507">
                  <w:pPr>
                    <w:tabs>
                      <w:tab w:val="left" w:pos="0"/>
                    </w:tabs>
                    <w:adjustRightInd w:val="0"/>
                    <w:snapToGrid w:val="0"/>
                    <w:jc w:val="center"/>
                    <w:rPr>
                      <w:rFonts w:hint="default" w:ascii="Times New Roman" w:hAnsi="Times New Roman" w:eastAsia="宋体" w:cs="Times New Roman"/>
                      <w:color w:val="000000" w:themeColor="text1"/>
                      <w:spacing w:val="4"/>
                      <w:kern w:val="18"/>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pH、COD</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SS、</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TP</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TN</w:t>
                  </w:r>
                </w:p>
              </w:tc>
              <w:tc>
                <w:tcPr>
                  <w:tcW w:w="916" w:type="pct"/>
                  <w:noWrap w:val="0"/>
                  <w:vAlign w:val="center"/>
                </w:tcPr>
                <w:p w14:paraId="299594FC">
                  <w:pPr>
                    <w:tabs>
                      <w:tab w:val="left" w:pos="0"/>
                    </w:tabs>
                    <w:adjustRightInd w:val="0"/>
                    <w:snapToGrid w:val="0"/>
                    <w:jc w:val="center"/>
                    <w:rPr>
                      <w:rFonts w:hint="default" w:ascii="Times New Roman" w:hAnsi="Times New Roman" w:eastAsia="Times New Roman" w:cs="Times New Roman"/>
                      <w:color w:val="000000" w:themeColor="text1"/>
                      <w:spacing w:val="4"/>
                      <w:kern w:val="18"/>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2天（</w:t>
                  </w:r>
                  <w:r>
                    <w:rPr>
                      <w:rFonts w:hint="default" w:ascii="Times New Roman" w:hAnsi="Times New Roman" w:cs="Times New Roman"/>
                      <w:color w:val="000000" w:themeColor="text1"/>
                      <w:kern w:val="0"/>
                      <w:sz w:val="21"/>
                      <w:szCs w:val="21"/>
                      <w:lang w:val="en-US" w:eastAsia="zh-CN"/>
                      <w14:textFill>
                        <w14:solidFill>
                          <w14:schemeClr w14:val="tx1"/>
                        </w14:solidFill>
                      </w14:textFill>
                    </w:rPr>
                    <w:t>4</w:t>
                  </w:r>
                  <w:r>
                    <w:rPr>
                      <w:rFonts w:hint="default" w:ascii="Times New Roman" w:hAnsi="Times New Roman" w:cs="Times New Roman"/>
                      <w:color w:val="000000" w:themeColor="text1"/>
                      <w:kern w:val="0"/>
                      <w:sz w:val="21"/>
                      <w:szCs w:val="21"/>
                      <w14:textFill>
                        <w14:solidFill>
                          <w14:schemeClr w14:val="tx1"/>
                        </w14:solidFill>
                      </w14:textFill>
                    </w:rPr>
                    <w:t>次/天）</w:t>
                  </w:r>
                </w:p>
              </w:tc>
              <w:tc>
                <w:tcPr>
                  <w:tcW w:w="420" w:type="pct"/>
                  <w:noWrap w:val="0"/>
                  <w:vAlign w:val="center"/>
                </w:tcPr>
                <w:p w14:paraId="13EBDBF1">
                  <w:pPr>
                    <w:tabs>
                      <w:tab w:val="left" w:pos="0"/>
                    </w:tabs>
                    <w:adjustRightInd w:val="0"/>
                    <w:snapToGrid w:val="0"/>
                    <w:jc w:val="center"/>
                    <w:rPr>
                      <w:rFonts w:hint="default" w:ascii="Times New Roman" w:hAnsi="Times New Roman" w:eastAsia="宋体" w:cs="Times New Roman"/>
                      <w:color w:val="000000" w:themeColor="text1"/>
                      <w:spacing w:val="4"/>
                      <w:kern w:val="18"/>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4"/>
                      <w:kern w:val="18"/>
                      <w:sz w:val="21"/>
                      <w:szCs w:val="21"/>
                      <w:lang w:val="en-US" w:eastAsia="zh-CN"/>
                      <w14:textFill>
                        <w14:solidFill>
                          <w14:schemeClr w14:val="tx1"/>
                        </w14:solidFill>
                      </w14:textFill>
                    </w:rPr>
                    <w:t>/</w:t>
                  </w:r>
                </w:p>
              </w:tc>
            </w:tr>
          </w:tbl>
          <w:p w14:paraId="06C8494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接管</w:t>
            </w:r>
            <w:r>
              <w:rPr>
                <w:rFonts w:ascii="Times New Roman" w:hAnsi="Times New Roman" w:cs="Times New Roman"/>
                <w:color w:val="000000" w:themeColor="text1"/>
                <w14:textFill>
                  <w14:solidFill>
                    <w14:schemeClr w14:val="tx1"/>
                  </w14:solidFill>
                </w14:textFill>
              </w:rPr>
              <w:t>南通市海门东洲水处理有限公司</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处理生活污水可行性分析</w:t>
            </w:r>
          </w:p>
          <w:p w14:paraId="6FD0087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水量可行性分析</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废水产生</w:t>
            </w:r>
            <w:r>
              <w:rPr>
                <w:rFonts w:hint="default" w:ascii="Times New Roman" w:hAnsi="Times New Roman" w:eastAsia="宋体" w:cs="Times New Roman"/>
                <w:color w:val="000000" w:themeColor="text1"/>
                <w:sz w:val="21"/>
                <w:szCs w:val="21"/>
                <w:lang w:eastAsia="zh-CN"/>
                <w14:textFill>
                  <w14:solidFill>
                    <w14:schemeClr w14:val="tx1"/>
                  </w14:solidFill>
                </w14:textFill>
              </w:rPr>
              <w:t>总</w:t>
            </w:r>
            <w:r>
              <w:rPr>
                <w:rFonts w:hint="default" w:ascii="Times New Roman" w:hAnsi="Times New Roman" w:eastAsia="宋体" w:cs="Times New Roman"/>
                <w:color w:val="000000" w:themeColor="text1"/>
                <w:sz w:val="21"/>
                <w:szCs w:val="21"/>
                <w14:textFill>
                  <w14:solidFill>
                    <w14:schemeClr w14:val="tx1"/>
                  </w14:solidFill>
                </w14:textFill>
              </w:rPr>
              <w:t>量为</w:t>
            </w:r>
            <w:r>
              <w:rPr>
                <w:rFonts w:hint="eastAsia" w:ascii="Times New Roman" w:hAnsi="Times New Roman" w:cs="Times New Roman"/>
                <w:color w:val="000000" w:themeColor="text1"/>
                <w:sz w:val="21"/>
                <w:szCs w:val="21"/>
                <w:lang w:val="en-US" w:eastAsia="zh-CN"/>
                <w14:textFill>
                  <w14:solidFill>
                    <w14:schemeClr w14:val="tx1"/>
                  </w14:solidFill>
                </w14:textFill>
              </w:rPr>
              <w:t>770</w:t>
            </w:r>
            <w:r>
              <w:rPr>
                <w:rFonts w:hint="default" w:ascii="Times New Roman" w:hAnsi="Times New Roman" w:cs="Times New Roman"/>
                <w:color w:val="000000" w:themeColor="text1"/>
                <w:sz w:val="21"/>
                <w:szCs w:val="21"/>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default" w:ascii="Times New Roman" w:hAnsi="Times New Roman" w:eastAsia="宋体" w:cs="Times New Roman"/>
                <w:bCs/>
                <w:color w:val="000000" w:themeColor="text1"/>
                <w:sz w:val="21"/>
                <w:szCs w:val="21"/>
                <w14:textFill>
                  <w14:solidFill>
                    <w14:schemeClr w14:val="tx1"/>
                  </w14:solidFill>
                </w14:textFill>
              </w:rPr>
              <w:t>约</w:t>
            </w:r>
            <w:r>
              <w:rPr>
                <w:rFonts w:hint="eastAsia" w:ascii="Times New Roman" w:hAnsi="Times New Roman" w:cs="Times New Roman"/>
                <w:bCs/>
                <w:color w:val="000000" w:themeColor="text1"/>
                <w:sz w:val="21"/>
                <w:szCs w:val="21"/>
                <w:lang w:val="en-US" w:eastAsia="zh-CN"/>
                <w14:textFill>
                  <w14:solidFill>
                    <w14:schemeClr w14:val="tx1"/>
                  </w14:solidFill>
                </w14:textFill>
              </w:rPr>
              <w:t>2.57</w:t>
            </w:r>
            <w:r>
              <w:rPr>
                <w:rFonts w:hint="default" w:ascii="Times New Roman" w:hAnsi="Times New Roman" w:eastAsia="宋体" w:cs="Times New Roman"/>
                <w:bCs/>
                <w:color w:val="000000" w:themeColor="text1"/>
                <w:sz w:val="21"/>
                <w:szCs w:val="21"/>
                <w14:textFill>
                  <w14:solidFill>
                    <w14:schemeClr w14:val="tx1"/>
                  </w14:solidFill>
                </w14:textFill>
              </w:rPr>
              <w:t>t/d，</w:t>
            </w:r>
            <w:r>
              <w:rPr>
                <w:rFonts w:ascii="Times New Roman" w:hAnsi="Times New Roman" w:cs="Times New Roman"/>
                <w:color w:val="000000" w:themeColor="text1"/>
                <w14:textFill>
                  <w14:solidFill>
                    <w14:schemeClr w14:val="tx1"/>
                  </w14:solidFill>
                </w14:textFill>
              </w:rPr>
              <w:t>南通市海门东洲水处理有限公司</w:t>
            </w:r>
            <w:r>
              <w:rPr>
                <w:rFonts w:hint="default" w:ascii="Times New Roman" w:hAnsi="Times New Roman" w:cs="Times New Roman" w:eastAsiaTheme="minorEastAsia"/>
                <w:color w:val="000000" w:themeColor="text1"/>
                <w:sz w:val="21"/>
                <w:szCs w:val="21"/>
                <w14:textFill>
                  <w14:solidFill>
                    <w14:schemeClr w14:val="tx1"/>
                  </w14:solidFill>
                </w14:textFill>
              </w:rPr>
              <w:t>设计总规模</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为</w:t>
            </w: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14:textFill>
                  <w14:solidFill>
                    <w14:schemeClr w14:val="tx1"/>
                  </w14:solidFill>
                </w14:textFill>
              </w:rPr>
              <w:t>万m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/d，本项目废水总量占总容量的0.0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016</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因此，废水排入</w:t>
            </w:r>
            <w:r>
              <w:rPr>
                <w:rFonts w:ascii="Times New Roman" w:hAnsi="Times New Roman" w:cs="Times New Roman"/>
                <w:color w:val="000000" w:themeColor="text1"/>
                <w14:textFill>
                  <w14:solidFill>
                    <w14:schemeClr w14:val="tx1"/>
                  </w14:solidFill>
                </w14:textFill>
              </w:rPr>
              <w:t>南通市海门东洲水处理有限公司</w:t>
            </w:r>
            <w:r>
              <w:rPr>
                <w:rFonts w:hint="default" w:ascii="Times New Roman" w:hAnsi="Times New Roman" w:eastAsia="宋体" w:cs="Times New Roman"/>
                <w:color w:val="000000" w:themeColor="text1"/>
                <w:sz w:val="21"/>
                <w:szCs w:val="21"/>
                <w14:textFill>
                  <w14:solidFill>
                    <w14:schemeClr w14:val="tx1"/>
                  </w14:solidFill>
                </w14:textFill>
              </w:rPr>
              <w:t>内处理是可行的。</w:t>
            </w:r>
          </w:p>
          <w:p w14:paraId="20C98E17">
            <w:pPr>
              <w:spacing w:line="360" w:lineRule="auto"/>
              <w:ind w:firstLine="420" w:firstLineChars="200"/>
              <w:rPr>
                <w:rFonts w:ascii="Times New Roman" w:hAnsi="Times New Roman"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水质可行性分析</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bCs/>
                <w:color w:val="000000" w:themeColor="text1"/>
                <w:highlight w:val="none"/>
                <w14:textFill>
                  <w14:solidFill>
                    <w14:schemeClr w14:val="tx1"/>
                  </w14:solidFill>
                </w14:textFill>
              </w:rPr>
              <w:t>本项目仅产生</w:t>
            </w:r>
            <w:r>
              <w:rPr>
                <w:rFonts w:hint="eastAsia" w:ascii="Times New Roman" w:hAnsi="Times New Roman" w:cs="Times New Roman"/>
                <w:bCs/>
                <w:color w:val="000000" w:themeColor="text1"/>
                <w:highlight w:val="none"/>
                <w:lang w:val="en-US" w:eastAsia="zh-CN"/>
                <w14:textFill>
                  <w14:solidFill>
                    <w14:schemeClr w14:val="tx1"/>
                  </w14:solidFill>
                </w14:textFill>
              </w:rPr>
              <w:t>锅炉废水</w:t>
            </w:r>
            <w:r>
              <w:rPr>
                <w:rFonts w:hint="eastAsia" w:ascii="Times New Roman" w:hAnsi="Times New Roman" w:cs="Times New Roman"/>
                <w:bCs/>
                <w:color w:val="000000" w:themeColor="text1"/>
                <w:highlight w:val="none"/>
                <w14:textFill>
                  <w14:solidFill>
                    <w14:schemeClr w14:val="tx1"/>
                  </w14:solidFill>
                </w14:textFill>
              </w:rPr>
              <w:t>，水质简单，满</w:t>
            </w:r>
            <w:r>
              <w:rPr>
                <w:rFonts w:hint="eastAsia" w:ascii="Times New Roman" w:hAnsi="Times New Roman" w:cs="Times New Roman"/>
                <w:bCs/>
                <w:color w:val="000000" w:themeColor="text1"/>
                <w14:textFill>
                  <w14:solidFill>
                    <w14:schemeClr w14:val="tx1"/>
                  </w14:solidFill>
                </w14:textFill>
              </w:rPr>
              <w:t>足南通市海门东洲水处理有限公司接管标准，污水中不含有对污水处理工艺造成不良影响的污染物，不会对污水处理厂的处理工艺造成冲击，因此项目废水排入南通市海门东洲水处理有限公司集中处理从水质上可行。南通市海门东洲水处理有限公司处理工艺见图 4-2。</w:t>
            </w:r>
          </w:p>
          <w:p w14:paraId="0E5EAACA">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90440" cy="2331085"/>
                  <wp:effectExtent l="0" t="0" r="10160" b="12065"/>
                  <wp:docPr id="125" name="IM 20"/>
                  <wp:cNvGraphicFramePr/>
                  <a:graphic xmlns:a="http://schemas.openxmlformats.org/drawingml/2006/main">
                    <a:graphicData uri="http://schemas.openxmlformats.org/drawingml/2006/picture">
                      <pic:pic xmlns:pic="http://schemas.openxmlformats.org/drawingml/2006/picture">
                        <pic:nvPicPr>
                          <pic:cNvPr id="125" name="IM 20"/>
                          <pic:cNvPicPr/>
                        </pic:nvPicPr>
                        <pic:blipFill>
                          <a:blip r:embed="rId7"/>
                          <a:stretch>
                            <a:fillRect/>
                          </a:stretch>
                        </pic:blipFill>
                        <pic:spPr>
                          <a:xfrm>
                            <a:off x="0" y="0"/>
                            <a:ext cx="4790694" cy="2331719"/>
                          </a:xfrm>
                          <a:prstGeom prst="rect">
                            <a:avLst/>
                          </a:prstGeom>
                        </pic:spPr>
                      </pic:pic>
                    </a:graphicData>
                  </a:graphic>
                </wp:inline>
              </w:drawing>
            </w:r>
          </w:p>
          <w:p w14:paraId="4E2BB0B2">
            <w:pPr>
              <w:spacing w:line="360" w:lineRule="auto"/>
              <w:ind w:firstLine="420" w:firstLineChars="20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图 4-2 东洲水处理有限公司处理工艺图</w:t>
            </w:r>
          </w:p>
          <w:p w14:paraId="040D27C6">
            <w:pPr>
              <w:spacing w:line="360" w:lineRule="auto"/>
              <w:ind w:firstLine="420" w:firstLineChars="200"/>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管网配套可行性分析</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color w:val="000000" w:themeColor="text1"/>
                <w14:textFill>
                  <w14:solidFill>
                    <w14:schemeClr w14:val="tx1"/>
                  </w14:solidFill>
                </w14:textFill>
              </w:rPr>
              <w:t>本项目在南通市海门东洲水处理有限公司配套服务范围之内，目前污水管网已铺设到 位，生活污水通过市政污水管网排入南通市海门东洲水处理有限公司处理，最终排入长江。</w:t>
            </w:r>
          </w:p>
          <w:p w14:paraId="292BA208">
            <w:pPr>
              <w:pStyle w:val="17"/>
              <w:spacing w:after="0" w:line="360" w:lineRule="auto"/>
              <w:ind w:left="0" w:leftChars="0" w:firstLine="420" w:firstLineChars="20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从以上的分析可知，建设项目位于南通市海门东洲水处理有限公司的服务范围内，且项目废水经预处理后可达到南通市海门东洲水处理有限公司接管要求，废水排放量在南通市海门东洲水处理有限公司现有处理规模的能力范围内，其排放量在南通市海门东洲水处理有限公司全部处理量中所占份额较小，且污水管网已铺设至项目所在地。因此，建设项目废水接入南通海川水务有限公司集中处理可行。</w:t>
            </w:r>
          </w:p>
          <w:p w14:paraId="3E2671CC">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3、噪声</w:t>
            </w:r>
          </w:p>
          <w:p w14:paraId="37D54D75">
            <w:pPr>
              <w:pStyle w:val="17"/>
              <w:spacing w:after="0" w:line="360" w:lineRule="auto"/>
              <w:ind w:left="0" w:leftChars="0"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（1）源强</w:t>
            </w:r>
          </w:p>
          <w:p w14:paraId="3337D43F">
            <w:pPr>
              <w:pStyle w:val="17"/>
              <w:spacing w:after="0" w:line="360" w:lineRule="auto"/>
              <w:ind w:left="0" w:leftChars="0"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本项目噪声主要来自各生产设备和配套设备运行产生的噪声</w:t>
            </w:r>
            <w:r>
              <w:rPr>
                <w:rFonts w:hint="default" w:ascii="Times New Roman" w:hAnsi="Times New Roman" w:cs="Times New Roman"/>
                <w:color w:val="000000" w:themeColor="text1"/>
                <w:sz w:val="21"/>
                <w:szCs w:val="21"/>
                <w:lang w:val="en-US" w:eastAsia="zh-CN"/>
                <w14:textFill>
                  <w14:solidFill>
                    <w14:schemeClr w14:val="tx1"/>
                  </w14:solidFill>
                </w14:textFill>
              </w:rPr>
              <w:t>，主要采取安装消声装置、减振措施设施，并通过合理布局以及采用建筑物进行隔声。</w:t>
            </w:r>
          </w:p>
          <w:p w14:paraId="601A82C2">
            <w:pPr>
              <w:spacing w:line="360" w:lineRule="auto"/>
              <w:ind w:left="34" w:firstLine="371" w:firstLineChars="177"/>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本项目主要设备噪声源强见表4-1</w:t>
            </w:r>
            <w:r>
              <w:rPr>
                <w:rFonts w:hint="eastAsia" w:ascii="Times New Roman" w:hAnsi="Times New Roman" w:cs="Times New Roman"/>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w:t>
            </w:r>
          </w:p>
          <w:p w14:paraId="712DA425">
            <w:pPr>
              <w:pStyle w:val="154"/>
              <w:adjustRightInd w:val="0"/>
              <w:snapToGrid w:val="0"/>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表4-1</w:t>
            </w:r>
            <w:r>
              <w:rPr>
                <w:rFonts w:hint="eastAsia" w:ascii="Times New Roman" w:hAnsi="Times New Roman"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14:textFill>
                  <w14:solidFill>
                    <w14:schemeClr w14:val="tx1"/>
                  </w14:solidFill>
                </w14:textFill>
              </w:rPr>
              <w:t xml:space="preserve">  主要设备噪声源强参数表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8"/>
              <w:gridCol w:w="397"/>
              <w:gridCol w:w="818"/>
              <w:gridCol w:w="687"/>
              <w:gridCol w:w="609"/>
              <w:gridCol w:w="626"/>
              <w:gridCol w:w="626"/>
              <w:gridCol w:w="462"/>
              <w:gridCol w:w="431"/>
              <w:gridCol w:w="757"/>
              <w:gridCol w:w="409"/>
              <w:gridCol w:w="757"/>
              <w:gridCol w:w="758"/>
              <w:gridCol w:w="436"/>
            </w:tblGrid>
            <w:tr w14:paraId="04E2C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301" w:type="pct"/>
                  <w:vMerge w:val="restart"/>
                  <w:tcBorders>
                    <w:tl2br w:val="nil"/>
                    <w:tr2bl w:val="nil"/>
                  </w:tcBorders>
                  <w:noWrap w:val="0"/>
                  <w:vAlign w:val="center"/>
                </w:tcPr>
                <w:p w14:paraId="37288943">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序号</w:t>
                  </w:r>
                </w:p>
              </w:tc>
              <w:tc>
                <w:tcPr>
                  <w:tcW w:w="239" w:type="pct"/>
                  <w:vMerge w:val="restart"/>
                  <w:tcBorders>
                    <w:tl2br w:val="nil"/>
                    <w:tr2bl w:val="nil"/>
                  </w:tcBorders>
                  <w:noWrap w:val="0"/>
                  <w:vAlign w:val="center"/>
                </w:tcPr>
                <w:p w14:paraId="7C491DFB">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建筑物名称</w:t>
                  </w:r>
                </w:p>
              </w:tc>
              <w:tc>
                <w:tcPr>
                  <w:tcW w:w="494" w:type="pct"/>
                  <w:vMerge w:val="restart"/>
                  <w:tcBorders>
                    <w:tl2br w:val="nil"/>
                    <w:tr2bl w:val="nil"/>
                  </w:tcBorders>
                  <w:noWrap w:val="0"/>
                  <w:vAlign w:val="center"/>
                </w:tcPr>
                <w:p w14:paraId="65DE4E7D">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声源名称</w:t>
                  </w:r>
                </w:p>
              </w:tc>
              <w:tc>
                <w:tcPr>
                  <w:tcW w:w="415" w:type="pct"/>
                  <w:vMerge w:val="restart"/>
                  <w:tcBorders>
                    <w:tl2br w:val="nil"/>
                    <w:tr2bl w:val="nil"/>
                  </w:tcBorders>
                  <w:noWrap w:val="0"/>
                  <w:vAlign w:val="center"/>
                </w:tcPr>
                <w:p w14:paraId="5B026E99">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单台声功率级/dB（A）</w:t>
                  </w:r>
                </w:p>
              </w:tc>
              <w:tc>
                <w:tcPr>
                  <w:tcW w:w="368" w:type="pct"/>
                  <w:vMerge w:val="restart"/>
                  <w:tcBorders>
                    <w:tl2br w:val="nil"/>
                    <w:tr2bl w:val="nil"/>
                  </w:tcBorders>
                  <w:noWrap w:val="0"/>
                  <w:vAlign w:val="center"/>
                </w:tcPr>
                <w:p w14:paraId="1CBDD691">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声源控制措施</w:t>
                  </w:r>
                </w:p>
              </w:tc>
              <w:tc>
                <w:tcPr>
                  <w:tcW w:w="1036" w:type="pct"/>
                  <w:gridSpan w:val="3"/>
                  <w:tcBorders>
                    <w:tl2br w:val="nil"/>
                    <w:tr2bl w:val="nil"/>
                  </w:tcBorders>
                  <w:noWrap w:val="0"/>
                  <w:vAlign w:val="center"/>
                </w:tcPr>
                <w:p w14:paraId="60271346">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空间相对位置/m</w:t>
                  </w:r>
                </w:p>
              </w:tc>
              <w:tc>
                <w:tcPr>
                  <w:tcW w:w="260" w:type="pct"/>
                  <w:vMerge w:val="restart"/>
                  <w:tcBorders>
                    <w:tl2br w:val="nil"/>
                    <w:tr2bl w:val="nil"/>
                  </w:tcBorders>
                  <w:noWrap w:val="0"/>
                  <w:vAlign w:val="center"/>
                </w:tcPr>
                <w:p w14:paraId="44E8C32D">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距室内边界距离/m</w:t>
                  </w:r>
                </w:p>
              </w:tc>
              <w:tc>
                <w:tcPr>
                  <w:tcW w:w="457" w:type="pct"/>
                  <w:vMerge w:val="restart"/>
                  <w:tcBorders>
                    <w:tl2br w:val="nil"/>
                    <w:tr2bl w:val="nil"/>
                  </w:tcBorders>
                  <w:noWrap w:val="0"/>
                  <w:vAlign w:val="center"/>
                </w:tcPr>
                <w:p w14:paraId="0CF417D6">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室内边界声级/dB（A）</w:t>
                  </w:r>
                </w:p>
              </w:tc>
              <w:tc>
                <w:tcPr>
                  <w:tcW w:w="247" w:type="pct"/>
                  <w:vMerge w:val="restart"/>
                  <w:tcBorders>
                    <w:tl2br w:val="nil"/>
                    <w:tr2bl w:val="nil"/>
                  </w:tcBorders>
                  <w:noWrap w:val="0"/>
                  <w:vAlign w:val="center"/>
                </w:tcPr>
                <w:p w14:paraId="5825E66E">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运行时段</w:t>
                  </w:r>
                </w:p>
              </w:tc>
              <w:tc>
                <w:tcPr>
                  <w:tcW w:w="457" w:type="pct"/>
                  <w:vMerge w:val="restart"/>
                  <w:tcBorders>
                    <w:tl2br w:val="nil"/>
                    <w:tr2bl w:val="nil"/>
                  </w:tcBorders>
                  <w:noWrap w:val="0"/>
                  <w:vAlign w:val="center"/>
                </w:tcPr>
                <w:p w14:paraId="1CFE13B4">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建筑物插入损失/dB（A）</w:t>
                  </w:r>
                </w:p>
              </w:tc>
              <w:tc>
                <w:tcPr>
                  <w:tcW w:w="721" w:type="pct"/>
                  <w:gridSpan w:val="2"/>
                  <w:tcBorders>
                    <w:tl2br w:val="nil"/>
                    <w:tr2bl w:val="nil"/>
                  </w:tcBorders>
                  <w:noWrap w:val="0"/>
                  <w:vAlign w:val="center"/>
                </w:tcPr>
                <w:p w14:paraId="763A7701">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建筑物外噪声</w:t>
                  </w:r>
                </w:p>
              </w:tc>
            </w:tr>
            <w:tr w14:paraId="52170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301" w:type="pct"/>
                  <w:vMerge w:val="continue"/>
                  <w:tcBorders>
                    <w:tl2br w:val="nil"/>
                    <w:tr2bl w:val="nil"/>
                  </w:tcBorders>
                  <w:noWrap w:val="0"/>
                  <w:vAlign w:val="center"/>
                </w:tcPr>
                <w:p w14:paraId="060CE5DF">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39" w:type="pct"/>
                  <w:vMerge w:val="continue"/>
                  <w:tcBorders>
                    <w:tl2br w:val="nil"/>
                    <w:tr2bl w:val="nil"/>
                  </w:tcBorders>
                  <w:noWrap w:val="0"/>
                  <w:vAlign w:val="center"/>
                </w:tcPr>
                <w:p w14:paraId="1EC79ABC">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494" w:type="pct"/>
                  <w:vMerge w:val="continue"/>
                  <w:tcBorders>
                    <w:tl2br w:val="nil"/>
                    <w:tr2bl w:val="nil"/>
                  </w:tcBorders>
                  <w:noWrap w:val="0"/>
                  <w:vAlign w:val="center"/>
                </w:tcPr>
                <w:p w14:paraId="08B7D72F">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415" w:type="pct"/>
                  <w:vMerge w:val="continue"/>
                  <w:tcBorders>
                    <w:tl2br w:val="nil"/>
                    <w:tr2bl w:val="nil"/>
                  </w:tcBorders>
                  <w:noWrap w:val="0"/>
                  <w:vAlign w:val="center"/>
                </w:tcPr>
                <w:p w14:paraId="63D04E58">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368" w:type="pct"/>
                  <w:vMerge w:val="continue"/>
                  <w:tcBorders>
                    <w:tl2br w:val="nil"/>
                    <w:tr2bl w:val="nil"/>
                  </w:tcBorders>
                  <w:noWrap w:val="0"/>
                  <w:vAlign w:val="center"/>
                </w:tcPr>
                <w:p w14:paraId="74B62E92">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378" w:type="pct"/>
                  <w:tcBorders>
                    <w:tl2br w:val="nil"/>
                    <w:tr2bl w:val="nil"/>
                  </w:tcBorders>
                  <w:noWrap w:val="0"/>
                  <w:vAlign w:val="center"/>
                </w:tcPr>
                <w:p w14:paraId="5A3A6426">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X</w:t>
                  </w:r>
                </w:p>
              </w:tc>
              <w:tc>
                <w:tcPr>
                  <w:tcW w:w="378" w:type="pct"/>
                  <w:tcBorders>
                    <w:tl2br w:val="nil"/>
                    <w:tr2bl w:val="nil"/>
                  </w:tcBorders>
                  <w:noWrap w:val="0"/>
                  <w:vAlign w:val="center"/>
                </w:tcPr>
                <w:p w14:paraId="7590517C">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Y</w:t>
                  </w:r>
                </w:p>
              </w:tc>
              <w:tc>
                <w:tcPr>
                  <w:tcW w:w="279" w:type="pct"/>
                  <w:tcBorders>
                    <w:tl2br w:val="nil"/>
                    <w:tr2bl w:val="nil"/>
                  </w:tcBorders>
                  <w:noWrap w:val="0"/>
                  <w:vAlign w:val="center"/>
                </w:tcPr>
                <w:p w14:paraId="0E3C25DE">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Z</w:t>
                  </w:r>
                </w:p>
              </w:tc>
              <w:tc>
                <w:tcPr>
                  <w:tcW w:w="260" w:type="pct"/>
                  <w:vMerge w:val="continue"/>
                  <w:tcBorders>
                    <w:tl2br w:val="nil"/>
                    <w:tr2bl w:val="nil"/>
                  </w:tcBorders>
                  <w:noWrap w:val="0"/>
                  <w:vAlign w:val="center"/>
                </w:tcPr>
                <w:p w14:paraId="2DAA93BB">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457" w:type="pct"/>
                  <w:vMerge w:val="continue"/>
                  <w:tcBorders>
                    <w:tl2br w:val="nil"/>
                    <w:tr2bl w:val="nil"/>
                  </w:tcBorders>
                  <w:noWrap w:val="0"/>
                  <w:vAlign w:val="center"/>
                </w:tcPr>
                <w:p w14:paraId="720A4F08">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47" w:type="pct"/>
                  <w:vMerge w:val="continue"/>
                  <w:tcBorders>
                    <w:tl2br w:val="nil"/>
                    <w:tr2bl w:val="nil"/>
                  </w:tcBorders>
                  <w:noWrap w:val="0"/>
                  <w:vAlign w:val="center"/>
                </w:tcPr>
                <w:p w14:paraId="7B59588B">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457" w:type="pct"/>
                  <w:vMerge w:val="continue"/>
                  <w:tcBorders>
                    <w:tl2br w:val="nil"/>
                    <w:tr2bl w:val="nil"/>
                  </w:tcBorders>
                  <w:noWrap w:val="0"/>
                  <w:vAlign w:val="center"/>
                </w:tcPr>
                <w:p w14:paraId="0A3836AC">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458" w:type="pct"/>
                  <w:tcBorders>
                    <w:tl2br w:val="nil"/>
                    <w:tr2bl w:val="nil"/>
                  </w:tcBorders>
                  <w:noWrap w:val="0"/>
                  <w:vAlign w:val="center"/>
                </w:tcPr>
                <w:p w14:paraId="21D797D5">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声压级/dB（A）</w:t>
                  </w:r>
                </w:p>
              </w:tc>
              <w:tc>
                <w:tcPr>
                  <w:tcW w:w="263" w:type="pct"/>
                  <w:tcBorders>
                    <w:tl2br w:val="nil"/>
                    <w:tr2bl w:val="nil"/>
                  </w:tcBorders>
                  <w:noWrap w:val="0"/>
                  <w:vAlign w:val="center"/>
                </w:tcPr>
                <w:p w14:paraId="405740F4">
                  <w:pPr>
                    <w:adjustRightInd w:val="0"/>
                    <w:snapToGrid w:val="0"/>
                    <w:spacing w:line="240" w:lineRule="auto"/>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建筑物外距离/m</w:t>
                  </w:r>
                </w:p>
              </w:tc>
            </w:tr>
            <w:tr w14:paraId="05ED8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0" w:type="auto"/>
                  <w:vAlign w:val="center"/>
                </w:tcPr>
                <w:p w14:paraId="2F1A07DD">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ascii="Times New Roman" w:hAnsi="Times New Roman" w:cs="Times New Roman"/>
                      <w:color w:val="000000" w:themeColor="text1"/>
                      <w:kern w:val="0"/>
                      <w:sz w:val="18"/>
                      <w:szCs w:val="18"/>
                      <w:lang w:val="en-US" w:eastAsia="zh-CN"/>
                      <w14:textFill>
                        <w14:solidFill>
                          <w14:schemeClr w14:val="tx1"/>
                        </w14:solidFill>
                      </w14:textFill>
                    </w:rPr>
                    <w:t>1</w:t>
                  </w:r>
                </w:p>
              </w:tc>
              <w:tc>
                <w:tcPr>
                  <w:tcW w:w="0" w:type="auto"/>
                  <w:vAlign w:val="center"/>
                </w:tcPr>
                <w:p w14:paraId="1D4FB469">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锅炉房</w:t>
                  </w:r>
                </w:p>
              </w:tc>
              <w:tc>
                <w:tcPr>
                  <w:tcW w:w="0" w:type="auto"/>
                  <w:vAlign w:val="center"/>
                </w:tcPr>
                <w:p w14:paraId="4680A8A8">
                  <w:pPr>
                    <w:pStyle w:val="260"/>
                    <w:spacing w:line="240" w:lineRule="auto"/>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天然气锅炉</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lang w:val="en-US" w:eastAsia="zh-CN"/>
                      <w14:textFill>
                        <w14:solidFill>
                          <w14:schemeClr w14:val="tx1"/>
                        </w14:solidFill>
                      </w14:textFill>
                    </w:rPr>
                    <w:t>3台</w:t>
                  </w:r>
                  <w:r>
                    <w:rPr>
                      <w:rFonts w:hint="eastAsia" w:ascii="Times New Roman" w:hAnsi="Times New Roman" w:cs="Times New Roman"/>
                      <w:color w:val="000000" w:themeColor="text1"/>
                      <w:sz w:val="18"/>
                      <w:szCs w:val="18"/>
                      <w:lang w:eastAsia="zh-CN"/>
                      <w14:textFill>
                        <w14:solidFill>
                          <w14:schemeClr w14:val="tx1"/>
                        </w14:solidFill>
                      </w14:textFill>
                    </w:rPr>
                    <w:t>）</w:t>
                  </w:r>
                </w:p>
              </w:tc>
              <w:tc>
                <w:tcPr>
                  <w:tcW w:w="415" w:type="pct"/>
                  <w:vAlign w:val="center"/>
                </w:tcPr>
                <w:p w14:paraId="7D775E47">
                  <w:pPr>
                    <w:widowControl/>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85</w:t>
                  </w:r>
                </w:p>
              </w:tc>
              <w:tc>
                <w:tcPr>
                  <w:tcW w:w="368" w:type="pct"/>
                  <w:vMerge w:val="continue"/>
                  <w:vAlign w:val="center"/>
                </w:tcPr>
                <w:p w14:paraId="00D1C009">
                  <w:pPr>
                    <w:adjustRightInd w:val="0"/>
                    <w:snapToGrid w:val="0"/>
                    <w:spacing w:line="240" w:lineRule="auto"/>
                    <w:jc w:val="center"/>
                    <w:rPr>
                      <w:rFonts w:hint="default" w:ascii="Times New Roman" w:hAnsi="Times New Roman" w:eastAsia="宋体" w:cs="Times New Roman"/>
                      <w:color w:val="000000" w:themeColor="text1"/>
                      <w:kern w:val="0"/>
                      <w:sz w:val="18"/>
                      <w:szCs w:val="18"/>
                      <w14:textFill>
                        <w14:solidFill>
                          <w14:schemeClr w14:val="tx1"/>
                        </w14:solidFill>
                      </w14:textFill>
                    </w:rPr>
                  </w:pPr>
                </w:p>
              </w:tc>
              <w:tc>
                <w:tcPr>
                  <w:tcW w:w="0" w:type="auto"/>
                  <w:vAlign w:val="center"/>
                </w:tcPr>
                <w:p w14:paraId="487EA630">
                  <w:pPr>
                    <w:snapToGrid w:val="0"/>
                    <w:spacing w:line="240" w:lineRule="auto"/>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14:textFill>
                        <w14:solidFill>
                          <w14:schemeClr w14:val="tx1"/>
                        </w14:solidFill>
                      </w14:textFill>
                    </w:rPr>
                    <w:t>5</w:t>
                  </w:r>
                </w:p>
              </w:tc>
              <w:tc>
                <w:tcPr>
                  <w:tcW w:w="0" w:type="auto"/>
                  <w:vAlign w:val="center"/>
                </w:tcPr>
                <w:p w14:paraId="52C8E858">
                  <w:pPr>
                    <w:snapToGrid w:val="0"/>
                    <w:spacing w:line="240" w:lineRule="auto"/>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14:textFill>
                        <w14:solidFill>
                          <w14:schemeClr w14:val="tx1"/>
                        </w14:solidFill>
                      </w14:textFill>
                    </w:rPr>
                    <w:t>10</w:t>
                  </w:r>
                </w:p>
              </w:tc>
              <w:tc>
                <w:tcPr>
                  <w:tcW w:w="0" w:type="auto"/>
                  <w:vAlign w:val="center"/>
                </w:tcPr>
                <w:p w14:paraId="24528E3F">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1</w:t>
                  </w:r>
                </w:p>
              </w:tc>
              <w:tc>
                <w:tcPr>
                  <w:tcW w:w="0" w:type="auto"/>
                  <w:vAlign w:val="center"/>
                </w:tcPr>
                <w:p w14:paraId="3545D449">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5</w:t>
                  </w:r>
                </w:p>
              </w:tc>
              <w:tc>
                <w:tcPr>
                  <w:tcW w:w="0" w:type="auto"/>
                  <w:vAlign w:val="center"/>
                </w:tcPr>
                <w:p w14:paraId="7F5AEA91">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55</w:t>
                  </w:r>
                </w:p>
              </w:tc>
              <w:tc>
                <w:tcPr>
                  <w:tcW w:w="247" w:type="pct"/>
                  <w:vMerge w:val="continue"/>
                  <w:vAlign w:val="center"/>
                </w:tcPr>
                <w:p w14:paraId="5884F4C8">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0" w:type="auto"/>
                  <w:vAlign w:val="center"/>
                </w:tcPr>
                <w:p w14:paraId="75BEE186">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t>20</w:t>
                  </w:r>
                </w:p>
              </w:tc>
              <w:tc>
                <w:tcPr>
                  <w:tcW w:w="0" w:type="auto"/>
                  <w:vAlign w:val="center"/>
                </w:tcPr>
                <w:p w14:paraId="357F7ACB">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t>37</w:t>
                  </w:r>
                </w:p>
              </w:tc>
              <w:tc>
                <w:tcPr>
                  <w:tcW w:w="0" w:type="auto"/>
                  <w:vAlign w:val="center"/>
                </w:tcPr>
                <w:p w14:paraId="7DE3FAAB">
                  <w:pPr>
                    <w:adjustRightInd w:val="0"/>
                    <w:snapToGrid w:val="0"/>
                    <w:spacing w:line="240" w:lineRule="auto"/>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14:textFill>
                        <w14:solidFill>
                          <w14:schemeClr w14:val="tx1"/>
                        </w14:solidFill>
                      </w14:textFill>
                    </w:rPr>
                    <w:t>1</w:t>
                  </w:r>
                </w:p>
              </w:tc>
            </w:tr>
          </w:tbl>
          <w:p w14:paraId="19DC610F">
            <w:pPr>
              <w:spacing w:before="120" w:beforeLines="50" w:line="240" w:lineRule="auto"/>
              <w:jc w:val="center"/>
              <w:outlineLvl w:val="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表4-1</w:t>
            </w:r>
            <w:r>
              <w:rPr>
                <w:rFonts w:hint="eastAsia" w:ascii="Times New Roman" w:hAnsi="Times New Roman"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工业企业噪声源强调查清单（室外）</w:t>
            </w:r>
          </w:p>
          <w:tbl>
            <w:tblPr>
              <w:tblStyle w:val="42"/>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052"/>
              <w:gridCol w:w="829"/>
              <w:gridCol w:w="721"/>
              <w:gridCol w:w="844"/>
              <w:gridCol w:w="1261"/>
              <w:gridCol w:w="993"/>
              <w:gridCol w:w="996"/>
              <w:gridCol w:w="1082"/>
            </w:tblGrid>
            <w:tr w14:paraId="28D4C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vMerge w:val="restart"/>
                  <w:tcBorders>
                    <w:tl2br w:val="nil"/>
                    <w:tr2bl w:val="nil"/>
                  </w:tcBorders>
                  <w:noWrap w:val="0"/>
                  <w:vAlign w:val="center"/>
                </w:tcPr>
                <w:p w14:paraId="67184788">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序号</w:t>
                  </w:r>
                </w:p>
              </w:tc>
              <w:tc>
                <w:tcPr>
                  <w:tcW w:w="636" w:type="pct"/>
                  <w:vMerge w:val="restart"/>
                  <w:tcBorders>
                    <w:tl2br w:val="nil"/>
                    <w:tr2bl w:val="nil"/>
                  </w:tcBorders>
                  <w:noWrap w:val="0"/>
                  <w:vAlign w:val="center"/>
                </w:tcPr>
                <w:p w14:paraId="3F2EBD55">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声源名称</w:t>
                  </w:r>
                </w:p>
              </w:tc>
              <w:tc>
                <w:tcPr>
                  <w:tcW w:w="1447" w:type="pct"/>
                  <w:gridSpan w:val="3"/>
                  <w:tcBorders>
                    <w:tl2br w:val="nil"/>
                    <w:tr2bl w:val="nil"/>
                  </w:tcBorders>
                  <w:noWrap w:val="0"/>
                  <w:vAlign w:val="center"/>
                </w:tcPr>
                <w:p w14:paraId="77B60A83">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空间相对位置m</w:t>
                  </w:r>
                </w:p>
              </w:tc>
              <w:tc>
                <w:tcPr>
                  <w:tcW w:w="762" w:type="pct"/>
                  <w:tcBorders>
                    <w:tl2br w:val="nil"/>
                    <w:tr2bl w:val="nil"/>
                  </w:tcBorders>
                  <w:noWrap w:val="0"/>
                  <w:vAlign w:val="center"/>
                </w:tcPr>
                <w:p w14:paraId="19A3E103">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声源源强</w:t>
                  </w:r>
                </w:p>
              </w:tc>
              <w:tc>
                <w:tcPr>
                  <w:tcW w:w="600" w:type="pct"/>
                  <w:vMerge w:val="restart"/>
                  <w:tcBorders>
                    <w:tl2br w:val="nil"/>
                    <w:tr2bl w:val="nil"/>
                  </w:tcBorders>
                  <w:noWrap w:val="0"/>
                  <w:vAlign w:val="center"/>
                </w:tcPr>
                <w:p w14:paraId="6A755F0E">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声源控制措施</w:t>
                  </w:r>
                </w:p>
              </w:tc>
              <w:tc>
                <w:tcPr>
                  <w:tcW w:w="602" w:type="pct"/>
                  <w:vMerge w:val="restart"/>
                  <w:tcBorders>
                    <w:tl2br w:val="nil"/>
                    <w:tr2bl w:val="nil"/>
                  </w:tcBorders>
                  <w:noWrap w:val="0"/>
                  <w:vAlign w:val="center"/>
                </w:tcPr>
                <w:p w14:paraId="1022CED6">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采取控制措施后声功率级/dB(A)</w:t>
                  </w:r>
                </w:p>
              </w:tc>
              <w:tc>
                <w:tcPr>
                  <w:tcW w:w="654" w:type="pct"/>
                  <w:vMerge w:val="restart"/>
                  <w:tcBorders>
                    <w:tl2br w:val="nil"/>
                    <w:tr2bl w:val="nil"/>
                  </w:tcBorders>
                  <w:noWrap w:val="0"/>
                  <w:vAlign w:val="center"/>
                </w:tcPr>
                <w:p w14:paraId="514B778D">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运行时段</w:t>
                  </w:r>
                </w:p>
              </w:tc>
            </w:tr>
            <w:tr w14:paraId="0BEA8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vMerge w:val="continue"/>
                  <w:tcBorders>
                    <w:tl2br w:val="nil"/>
                    <w:tr2bl w:val="nil"/>
                  </w:tcBorders>
                  <w:noWrap w:val="0"/>
                  <w:vAlign w:val="center"/>
                </w:tcPr>
                <w:p w14:paraId="2626F1C9">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p>
              </w:tc>
              <w:tc>
                <w:tcPr>
                  <w:tcW w:w="636" w:type="pct"/>
                  <w:vMerge w:val="continue"/>
                  <w:tcBorders>
                    <w:tl2br w:val="nil"/>
                    <w:tr2bl w:val="nil"/>
                  </w:tcBorders>
                  <w:noWrap w:val="0"/>
                  <w:vAlign w:val="center"/>
                </w:tcPr>
                <w:p w14:paraId="42ACE1F1">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p>
              </w:tc>
              <w:tc>
                <w:tcPr>
                  <w:tcW w:w="501" w:type="pct"/>
                  <w:tcBorders>
                    <w:tl2br w:val="nil"/>
                    <w:tr2bl w:val="nil"/>
                  </w:tcBorders>
                  <w:noWrap w:val="0"/>
                  <w:vAlign w:val="center"/>
                </w:tcPr>
                <w:p w14:paraId="2A282E47">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X</w:t>
                  </w:r>
                </w:p>
              </w:tc>
              <w:tc>
                <w:tcPr>
                  <w:tcW w:w="436" w:type="pct"/>
                  <w:tcBorders>
                    <w:tl2br w:val="nil"/>
                    <w:tr2bl w:val="nil"/>
                  </w:tcBorders>
                  <w:noWrap w:val="0"/>
                  <w:vAlign w:val="center"/>
                </w:tcPr>
                <w:p w14:paraId="14120549">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Y</w:t>
                  </w:r>
                </w:p>
              </w:tc>
              <w:tc>
                <w:tcPr>
                  <w:tcW w:w="510" w:type="pct"/>
                  <w:tcBorders>
                    <w:tl2br w:val="nil"/>
                    <w:tr2bl w:val="nil"/>
                  </w:tcBorders>
                  <w:noWrap w:val="0"/>
                  <w:vAlign w:val="center"/>
                </w:tcPr>
                <w:p w14:paraId="17AFF09F">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Z</w:t>
                  </w:r>
                </w:p>
              </w:tc>
              <w:tc>
                <w:tcPr>
                  <w:tcW w:w="762" w:type="pct"/>
                  <w:tcBorders>
                    <w:tl2br w:val="nil"/>
                    <w:tr2bl w:val="nil"/>
                  </w:tcBorders>
                  <w:noWrap w:val="0"/>
                  <w:vAlign w:val="center"/>
                </w:tcPr>
                <w:p w14:paraId="7007709F">
                  <w:pPr>
                    <w:jc w:val="center"/>
                    <w:outlineLvl w:val="0"/>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声功率级/dB(A)</w:t>
                  </w:r>
                </w:p>
              </w:tc>
              <w:tc>
                <w:tcPr>
                  <w:tcW w:w="600" w:type="pct"/>
                  <w:vMerge w:val="continue"/>
                  <w:tcBorders>
                    <w:tl2br w:val="nil"/>
                    <w:tr2bl w:val="nil"/>
                  </w:tcBorders>
                  <w:noWrap w:val="0"/>
                  <w:vAlign w:val="center"/>
                </w:tcPr>
                <w:p w14:paraId="18921A6D">
                  <w:pPr>
                    <w:jc w:val="center"/>
                    <w:outlineLvl w:val="0"/>
                    <w:rPr>
                      <w:rFonts w:hint="default" w:ascii="Times New Roman" w:hAnsi="Times New Roman" w:cs="Times New Roman"/>
                      <w:color w:val="000000" w:themeColor="text1"/>
                      <w:kern w:val="0"/>
                      <w:szCs w:val="21"/>
                      <w14:textFill>
                        <w14:solidFill>
                          <w14:schemeClr w14:val="tx1"/>
                        </w14:solidFill>
                      </w14:textFill>
                    </w:rPr>
                  </w:pPr>
                </w:p>
              </w:tc>
              <w:tc>
                <w:tcPr>
                  <w:tcW w:w="602" w:type="pct"/>
                  <w:vMerge w:val="continue"/>
                  <w:tcBorders>
                    <w:tl2br w:val="nil"/>
                    <w:tr2bl w:val="nil"/>
                  </w:tcBorders>
                  <w:noWrap w:val="0"/>
                  <w:vAlign w:val="center"/>
                </w:tcPr>
                <w:p w14:paraId="12C9F4F9">
                  <w:pPr>
                    <w:jc w:val="center"/>
                    <w:outlineLvl w:val="0"/>
                    <w:rPr>
                      <w:rFonts w:hint="default" w:ascii="Times New Roman" w:hAnsi="Times New Roman" w:cs="Times New Roman"/>
                      <w:color w:val="000000" w:themeColor="text1"/>
                      <w:kern w:val="0"/>
                      <w:szCs w:val="21"/>
                      <w14:textFill>
                        <w14:solidFill>
                          <w14:schemeClr w14:val="tx1"/>
                        </w14:solidFill>
                      </w14:textFill>
                    </w:rPr>
                  </w:pPr>
                </w:p>
              </w:tc>
              <w:tc>
                <w:tcPr>
                  <w:tcW w:w="654" w:type="pct"/>
                  <w:vMerge w:val="continue"/>
                  <w:tcBorders>
                    <w:tl2br w:val="nil"/>
                    <w:tr2bl w:val="nil"/>
                  </w:tcBorders>
                  <w:noWrap w:val="0"/>
                  <w:vAlign w:val="center"/>
                </w:tcPr>
                <w:p w14:paraId="1FEB9D5A">
                  <w:pPr>
                    <w:jc w:val="center"/>
                    <w:outlineLvl w:val="0"/>
                    <w:rPr>
                      <w:rFonts w:hint="default" w:ascii="Times New Roman" w:hAnsi="Times New Roman" w:cs="Times New Roman"/>
                      <w:color w:val="000000" w:themeColor="text1"/>
                      <w:kern w:val="0"/>
                      <w:szCs w:val="21"/>
                      <w14:textFill>
                        <w14:solidFill>
                          <w14:schemeClr w14:val="tx1"/>
                        </w14:solidFill>
                      </w14:textFill>
                    </w:rPr>
                  </w:pPr>
                </w:p>
              </w:tc>
            </w:tr>
            <w:tr w14:paraId="3F61D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noWrap w:val="0"/>
                  <w:vAlign w:val="center"/>
                </w:tcPr>
                <w:p w14:paraId="7020B482">
                  <w:pPr>
                    <w:jc w:val="center"/>
                    <w:outlineLvl w:val="0"/>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636" w:type="pct"/>
                  <w:tcBorders>
                    <w:tl2br w:val="nil"/>
                    <w:tr2bl w:val="nil"/>
                  </w:tcBorders>
                  <w:noWrap w:val="0"/>
                  <w:vAlign w:val="center"/>
                </w:tcPr>
                <w:p w14:paraId="171C6EA4">
                  <w:pPr>
                    <w:adjustRightInd w:val="0"/>
                    <w:snapToGrid w:val="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排气筒</w:t>
                  </w:r>
                  <w:r>
                    <w:rPr>
                      <w:rFonts w:hint="default" w:ascii="Times New Roman" w:hAnsi="Times New Roman" w:cs="Times New Roman"/>
                      <w:color w:val="000000" w:themeColor="text1"/>
                      <w:kern w:val="0"/>
                      <w:sz w:val="21"/>
                      <w:szCs w:val="21"/>
                      <w14:textFill>
                        <w14:solidFill>
                          <w14:schemeClr w14:val="tx1"/>
                        </w14:solidFill>
                      </w14:textFill>
                    </w:rPr>
                    <w:t>风机</w:t>
                  </w:r>
                </w:p>
              </w:tc>
              <w:tc>
                <w:tcPr>
                  <w:tcW w:w="501" w:type="pct"/>
                  <w:tcBorders>
                    <w:tl2br w:val="nil"/>
                    <w:tr2bl w:val="nil"/>
                  </w:tcBorders>
                  <w:noWrap w:val="0"/>
                  <w:vAlign w:val="center"/>
                </w:tcPr>
                <w:p w14:paraId="6805E087">
                  <w:pPr>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5</w:t>
                  </w:r>
                </w:p>
              </w:tc>
              <w:tc>
                <w:tcPr>
                  <w:tcW w:w="436" w:type="pct"/>
                  <w:tcBorders>
                    <w:tl2br w:val="nil"/>
                    <w:tr2bl w:val="nil"/>
                  </w:tcBorders>
                  <w:noWrap w:val="0"/>
                  <w:vAlign w:val="center"/>
                </w:tcPr>
                <w:p w14:paraId="775D2A5B">
                  <w:pPr>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10</w:t>
                  </w:r>
                </w:p>
              </w:tc>
              <w:tc>
                <w:tcPr>
                  <w:tcW w:w="510" w:type="pct"/>
                  <w:tcBorders>
                    <w:tl2br w:val="nil"/>
                    <w:tr2bl w:val="nil"/>
                  </w:tcBorders>
                  <w:noWrap w:val="0"/>
                  <w:vAlign w:val="center"/>
                </w:tcPr>
                <w:p w14:paraId="2068E699">
                  <w:pPr>
                    <w:adjustRightInd w:val="0"/>
                    <w:snapToGrid w:val="0"/>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762" w:type="pct"/>
                  <w:tcBorders>
                    <w:tl2br w:val="nil"/>
                    <w:tr2bl w:val="nil"/>
                  </w:tcBorders>
                  <w:noWrap w:val="0"/>
                  <w:vAlign w:val="center"/>
                </w:tcPr>
                <w:p w14:paraId="2A46D475">
                  <w:pPr>
                    <w:pStyle w:val="16"/>
                    <w:spacing w:before="0" w:after="0" w:line="240" w:lineRule="auto"/>
                    <w:ind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85</w:t>
                  </w:r>
                </w:p>
              </w:tc>
              <w:tc>
                <w:tcPr>
                  <w:tcW w:w="600" w:type="pct"/>
                  <w:tcBorders>
                    <w:tl2br w:val="nil"/>
                    <w:tr2bl w:val="nil"/>
                  </w:tcBorders>
                  <w:noWrap w:val="0"/>
                  <w:vAlign w:val="center"/>
                </w:tcPr>
                <w:p w14:paraId="1A533BE9">
                  <w:pPr>
                    <w:jc w:val="center"/>
                    <w:outlineLvl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减振、隔声等</w:t>
                  </w:r>
                </w:p>
              </w:tc>
              <w:tc>
                <w:tcPr>
                  <w:tcW w:w="602" w:type="pct"/>
                  <w:tcBorders>
                    <w:tl2br w:val="nil"/>
                    <w:tr2bl w:val="nil"/>
                  </w:tcBorders>
                  <w:noWrap w:val="0"/>
                  <w:vAlign w:val="center"/>
                </w:tcPr>
                <w:p w14:paraId="21ED898E">
                  <w:pPr>
                    <w:jc w:val="center"/>
                    <w:outlineLvl w:val="0"/>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55</w:t>
                  </w:r>
                </w:p>
              </w:tc>
              <w:tc>
                <w:tcPr>
                  <w:tcW w:w="654" w:type="pct"/>
                  <w:tcBorders>
                    <w:tl2br w:val="nil"/>
                    <w:tr2bl w:val="nil"/>
                  </w:tcBorders>
                  <w:noWrap w:val="0"/>
                  <w:vAlign w:val="center"/>
                </w:tcPr>
                <w:p w14:paraId="43F1099E">
                  <w:pPr>
                    <w:jc w:val="center"/>
                    <w:outlineLvl w:val="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生产时</w:t>
                  </w:r>
                </w:p>
              </w:tc>
            </w:tr>
          </w:tbl>
          <w:p w14:paraId="79BEC9DB">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（2）达标情况分析</w:t>
            </w:r>
          </w:p>
          <w:p w14:paraId="1EF1C3A4">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4"/>
                <w:sz w:val="21"/>
                <w:szCs w:val="21"/>
                <w14:textFill>
                  <w14:solidFill>
                    <w14:schemeClr w14:val="tx1"/>
                  </w14:solidFill>
                </w14:textFill>
              </w:rPr>
              <w:t>根据</w:t>
            </w:r>
            <w:r>
              <w:rPr>
                <w:rFonts w:hint="default" w:ascii="Times New Roman" w:hAnsi="Times New Roman" w:eastAsia="宋体" w:cs="Times New Roman"/>
                <w:color w:val="000000" w:themeColor="text1"/>
                <w:spacing w:val="13"/>
                <w:sz w:val="21"/>
                <w:szCs w:val="21"/>
                <w14:textFill>
                  <w14:solidFill>
                    <w14:schemeClr w14:val="tx1"/>
                  </w14:solidFill>
                </w14:textFill>
              </w:rPr>
              <w:t>声</w:t>
            </w:r>
            <w:r>
              <w:rPr>
                <w:rFonts w:hint="default" w:ascii="Times New Roman" w:hAnsi="Times New Roman" w:eastAsia="宋体" w:cs="Times New Roman"/>
                <w:color w:val="000000" w:themeColor="text1"/>
                <w:spacing w:val="7"/>
                <w:sz w:val="21"/>
                <w:szCs w:val="21"/>
                <w14:textFill>
                  <w14:solidFill>
                    <w14:schemeClr w14:val="tx1"/>
                  </w14:solidFill>
                </w14:textFill>
              </w:rPr>
              <w:t>环境评价导则的规定，选用预测模式，应用过程中将根据具体情况作</w:t>
            </w:r>
            <w:r>
              <w:rPr>
                <w:rFonts w:hint="default" w:ascii="Times New Roman" w:hAnsi="Times New Roman" w:eastAsia="宋体" w:cs="Times New Roman"/>
                <w:color w:val="000000" w:themeColor="text1"/>
                <w:spacing w:val="6"/>
                <w:sz w:val="21"/>
                <w:szCs w:val="21"/>
                <w14:textFill>
                  <w14:solidFill>
                    <w14:schemeClr w14:val="tx1"/>
                  </w14:solidFill>
                </w14:textFill>
              </w:rPr>
              <w:t>必</w:t>
            </w:r>
            <w:r>
              <w:rPr>
                <w:rFonts w:hint="default" w:ascii="Times New Roman" w:hAnsi="Times New Roman" w:eastAsia="宋体" w:cs="Times New Roman"/>
                <w:color w:val="000000" w:themeColor="text1"/>
                <w:spacing w:val="5"/>
                <w:sz w:val="21"/>
                <w:szCs w:val="21"/>
                <w14:textFill>
                  <w14:solidFill>
                    <w14:schemeClr w14:val="tx1"/>
                  </w14:solidFill>
                </w14:textFill>
              </w:rPr>
              <w:t>要简化。</w:t>
            </w:r>
          </w:p>
          <w:p w14:paraId="52486B69">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7"/>
                <w:sz w:val="21"/>
                <w:szCs w:val="21"/>
                <w14:textFill>
                  <w14:solidFill>
                    <w14:schemeClr w14:val="tx1"/>
                  </w14:solidFill>
                </w14:textFill>
              </w:rPr>
              <w:t>①</w:t>
            </w:r>
            <w:r>
              <w:rPr>
                <w:rFonts w:hint="default" w:ascii="Times New Roman" w:hAnsi="Times New Roman" w:eastAsia="宋体" w:cs="Times New Roman"/>
                <w:color w:val="000000" w:themeColor="text1"/>
                <w:spacing w:val="9"/>
                <w:sz w:val="21"/>
                <w:szCs w:val="21"/>
                <w14:textFill>
                  <w14:solidFill>
                    <w14:schemeClr w14:val="tx1"/>
                  </w14:solidFill>
                </w14:textFill>
              </w:rPr>
              <w:t>室外点声源在预测点的倍频带声压级</w:t>
            </w:r>
          </w:p>
          <w:p w14:paraId="262FEB1E">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a</w:t>
            </w:r>
            <w:r>
              <w:rPr>
                <w:rFonts w:hint="default" w:ascii="Times New Roman" w:hAnsi="Times New Roman" w:eastAsia="Times New Roman" w:cs="Times New Roman"/>
                <w:color w:val="000000" w:themeColor="text1"/>
                <w:spacing w:val="12"/>
                <w:sz w:val="21"/>
                <w:szCs w:val="21"/>
                <w14:textFill>
                  <w14:solidFill>
                    <w14:schemeClr w14:val="tx1"/>
                  </w14:solidFill>
                </w14:textFill>
              </w:rPr>
              <w:t>.</w:t>
            </w:r>
            <w:r>
              <w:rPr>
                <w:rFonts w:hint="default" w:ascii="Times New Roman" w:hAnsi="Times New Roman" w:eastAsia="宋体" w:cs="Times New Roman"/>
                <w:color w:val="000000" w:themeColor="text1"/>
                <w:spacing w:val="9"/>
                <w:sz w:val="21"/>
                <w:szCs w:val="21"/>
                <w14:textFill>
                  <w14:solidFill>
                    <w14:schemeClr w14:val="tx1"/>
                  </w14:solidFill>
                </w14:textFill>
              </w:rPr>
              <w:t>某个点源在预测点的倍频带声压级</w:t>
            </w:r>
          </w:p>
          <w:p w14:paraId="3E764BDA">
            <w:pPr>
              <w:keepNext w:val="0"/>
              <w:keepLines w:val="0"/>
              <w:pageBreakBefore w:val="0"/>
              <w:widowControl w:val="0"/>
              <w:kinsoku/>
              <w:wordWrap/>
              <w:overflowPunct/>
              <w:topLinePunct w:val="0"/>
              <w:autoSpaceDE/>
              <w:autoSpaceDN/>
              <w:bidi w:val="0"/>
              <w:adjustRightInd/>
              <w:snapToGrid/>
              <w:spacing w:line="360" w:lineRule="auto"/>
              <w:ind w:right="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i/>
                <w:iCs/>
                <w:color w:val="000000" w:themeColor="text1"/>
                <w:position w:val="16"/>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11"/>
                <w:sz w:val="21"/>
                <w:szCs w:val="21"/>
                <w14:textFill>
                  <w14:solidFill>
                    <w14:schemeClr w14:val="tx1"/>
                  </w14:solidFill>
                </w14:textFill>
              </w:rPr>
              <w:t>oct</w:t>
            </w:r>
            <w:r>
              <w:rPr>
                <w:rFonts w:hint="default" w:ascii="Times New Roman" w:hAnsi="Times New Roman" w:eastAsia="Times New Roman" w:cs="Times New Roman"/>
                <w:color w:val="000000" w:themeColor="text1"/>
                <w:spacing w:val="4"/>
                <w:position w:val="11"/>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4"/>
                <w:position w:val="16"/>
                <w:sz w:val="21"/>
                <w:szCs w:val="21"/>
                <w14:textFill>
                  <w14:solidFill>
                    <w14:schemeClr w14:val="tx1"/>
                  </w14:solidFill>
                </w14:textFill>
              </w:rPr>
              <w:t>(</w:t>
            </w:r>
            <w:r>
              <w:rPr>
                <w:rFonts w:hint="default" w:ascii="Times New Roman" w:hAnsi="Times New Roman" w:eastAsia="Times New Roman" w:cs="Times New Roman"/>
                <w:i/>
                <w:iCs/>
                <w:color w:val="000000" w:themeColor="text1"/>
                <w:position w:val="16"/>
                <w:sz w:val="21"/>
                <w:szCs w:val="21"/>
                <w14:textFill>
                  <w14:solidFill>
                    <w14:schemeClr w14:val="tx1"/>
                  </w14:solidFill>
                </w14:textFill>
              </w:rPr>
              <w:t>r</w:t>
            </w:r>
            <w:r>
              <w:rPr>
                <w:rFonts w:hint="default" w:ascii="Times New Roman" w:hAnsi="Times New Roman" w:eastAsia="Times New Roman" w:cs="Times New Roman"/>
                <w:color w:val="000000" w:themeColor="text1"/>
                <w:spacing w:val="4"/>
                <w:position w:val="16"/>
                <w:sz w:val="21"/>
                <w:szCs w:val="21"/>
                <w14:textFill>
                  <w14:solidFill>
                    <w14:schemeClr w14:val="tx1"/>
                  </w14:solidFill>
                </w14:textFill>
              </w:rPr>
              <w:t xml:space="preserve">) </w:t>
            </w:r>
            <w:r>
              <w:rPr>
                <w:rFonts w:hint="default" w:ascii="Times New Roman" w:hAnsi="Times New Roman" w:eastAsia="Symbol" w:cs="Times New Roman"/>
                <w:color w:val="000000" w:themeColor="text1"/>
                <w:spacing w:val="4"/>
                <w:position w:val="16"/>
                <w:sz w:val="21"/>
                <w:szCs w:val="21"/>
                <w14:textFill>
                  <w14:solidFill>
                    <w14:schemeClr w14:val="tx1"/>
                  </w14:solidFill>
                </w14:textFill>
              </w:rPr>
              <w:t xml:space="preserve">= </w:t>
            </w:r>
            <w:r>
              <w:rPr>
                <w:rFonts w:hint="default" w:ascii="Times New Roman" w:hAnsi="Times New Roman" w:eastAsia="Times New Roman" w:cs="Times New Roman"/>
                <w:i/>
                <w:iCs/>
                <w:color w:val="000000" w:themeColor="text1"/>
                <w:position w:val="16"/>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11"/>
                <w:sz w:val="21"/>
                <w:szCs w:val="21"/>
                <w14:textFill>
                  <w14:solidFill>
                    <w14:schemeClr w14:val="tx1"/>
                  </w14:solidFill>
                </w14:textFill>
              </w:rPr>
              <w:t>oct</w:t>
            </w:r>
            <w:r>
              <w:rPr>
                <w:rFonts w:hint="default" w:ascii="Times New Roman" w:hAnsi="Times New Roman" w:eastAsia="Times New Roman" w:cs="Times New Roman"/>
                <w:color w:val="000000" w:themeColor="text1"/>
                <w:spacing w:val="4"/>
                <w:position w:val="11"/>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4"/>
                <w:position w:val="16"/>
                <w:sz w:val="21"/>
                <w:szCs w:val="21"/>
                <w14:textFill>
                  <w14:solidFill>
                    <w14:schemeClr w14:val="tx1"/>
                  </w14:solidFill>
                </w14:textFill>
              </w:rPr>
              <w:t>(</w:t>
            </w:r>
            <w:r>
              <w:rPr>
                <w:rFonts w:hint="default" w:ascii="Times New Roman" w:hAnsi="Times New Roman" w:eastAsia="Times New Roman" w:cs="Times New Roman"/>
                <w:i/>
                <w:iCs/>
                <w:color w:val="000000" w:themeColor="text1"/>
                <w:position w:val="16"/>
                <w:sz w:val="21"/>
                <w:szCs w:val="21"/>
                <w14:textFill>
                  <w14:solidFill>
                    <w14:schemeClr w14:val="tx1"/>
                  </w14:solidFill>
                </w14:textFill>
              </w:rPr>
              <w:t>r</w:t>
            </w:r>
            <w:r>
              <w:rPr>
                <w:rFonts w:hint="default" w:ascii="Times New Roman" w:hAnsi="Times New Roman" w:eastAsia="Times New Roman" w:cs="Times New Roman"/>
                <w:color w:val="000000" w:themeColor="text1"/>
                <w:spacing w:val="3"/>
                <w:position w:val="11"/>
                <w:sz w:val="21"/>
                <w:szCs w:val="21"/>
                <w14:textFill>
                  <w14:solidFill>
                    <w14:schemeClr w14:val="tx1"/>
                  </w14:solidFill>
                </w14:textFill>
              </w:rPr>
              <w:t>0</w:t>
            </w:r>
            <w:r>
              <w:rPr>
                <w:rFonts w:hint="default" w:ascii="Times New Roman" w:hAnsi="Times New Roman" w:eastAsia="Times New Roman" w:cs="Times New Roman"/>
                <w:color w:val="000000" w:themeColor="text1"/>
                <w:spacing w:val="2"/>
                <w:position w:val="11"/>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2"/>
                <w:position w:val="16"/>
                <w:sz w:val="21"/>
                <w:szCs w:val="21"/>
                <w14:textFill>
                  <w14:solidFill>
                    <w14:schemeClr w14:val="tx1"/>
                  </w14:solidFill>
                </w14:textFill>
              </w:rPr>
              <w:t xml:space="preserve">) </w:t>
            </w:r>
            <w:r>
              <w:rPr>
                <w:rFonts w:hint="default" w:ascii="Times New Roman" w:hAnsi="Times New Roman" w:eastAsia="Symbol" w:cs="Times New Roman"/>
                <w:color w:val="000000" w:themeColor="text1"/>
                <w:spacing w:val="2"/>
                <w:position w:val="16"/>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2"/>
                <w:position w:val="16"/>
                <w:sz w:val="21"/>
                <w:szCs w:val="21"/>
                <w14:textFill>
                  <w14:solidFill>
                    <w14:schemeClr w14:val="tx1"/>
                  </w14:solidFill>
                </w14:textFill>
              </w:rPr>
              <w:t>20</w:t>
            </w:r>
            <w:r>
              <w:rPr>
                <w:rFonts w:hint="default" w:ascii="Times New Roman" w:hAnsi="Times New Roman" w:eastAsia="Times New Roman" w:cs="Times New Roman"/>
                <w:color w:val="000000" w:themeColor="text1"/>
                <w:position w:val="16"/>
                <w:sz w:val="21"/>
                <w:szCs w:val="21"/>
                <w14:textFill>
                  <w14:solidFill>
                    <w14:schemeClr w14:val="tx1"/>
                  </w14:solidFill>
                </w14:textFill>
              </w:rPr>
              <w:t>lg</w:t>
            </w:r>
            <w:r>
              <w:rPr>
                <w:rFonts w:hint="default" w:ascii="Times New Roman" w:hAnsi="Times New Roman" w:eastAsia="Symbol" w:cs="Times New Roman"/>
                <w:color w:val="000000" w:themeColor="text1"/>
                <w:spacing w:val="2"/>
                <w:position w:val="16"/>
                <w:sz w:val="21"/>
                <w:szCs w:val="21"/>
                <w14:textFill>
                  <w14:solidFill>
                    <w14:schemeClr w14:val="tx1"/>
                  </w14:solidFill>
                </w14:textFill>
              </w:rPr>
              <w:t>(</w:t>
            </w:r>
            <w:r>
              <w:rPr>
                <w:rFonts w:hint="default" w:ascii="Times New Roman" w:hAnsi="Times New Roman" w:eastAsia="Times New Roman" w:cs="Times New Roman"/>
                <w:i/>
                <w:iCs/>
                <w:color w:val="000000" w:themeColor="text1"/>
                <w:position w:val="16"/>
                <w:sz w:val="21"/>
                <w:szCs w:val="21"/>
                <w14:textFill>
                  <w14:solidFill>
                    <w14:schemeClr w14:val="tx1"/>
                  </w14:solidFill>
                </w14:textFill>
              </w:rPr>
              <w:t>r</w:t>
            </w:r>
            <w:r>
              <w:rPr>
                <w:rFonts w:hint="default" w:ascii="Times New Roman" w:hAnsi="Times New Roman" w:cs="Times New Roman"/>
                <w:color w:val="000000" w:themeColor="text1"/>
                <w:position w:val="11"/>
                <w:sz w:val="21"/>
                <w:szCs w:val="21"/>
                <w14:textFill>
                  <w14:solidFill>
                    <w14:schemeClr w14:val="tx1"/>
                  </w14:solidFill>
                </w14:textFill>
              </w:rPr>
              <w:drawing>
                <wp:inline distT="0" distB="0" distL="0" distR="0">
                  <wp:extent cx="54610" cy="161925"/>
                  <wp:effectExtent l="0" t="0" r="2540" b="9525"/>
                  <wp:docPr id="331" name="IM 7"/>
                  <wp:cNvGraphicFramePr/>
                  <a:graphic xmlns:a="http://schemas.openxmlformats.org/drawingml/2006/main">
                    <a:graphicData uri="http://schemas.openxmlformats.org/drawingml/2006/picture">
                      <pic:pic xmlns:pic="http://schemas.openxmlformats.org/drawingml/2006/picture">
                        <pic:nvPicPr>
                          <pic:cNvPr id="331" name="IM 7"/>
                          <pic:cNvPicPr/>
                        </pic:nvPicPr>
                        <pic:blipFill>
                          <a:blip r:embed="rId8"/>
                          <a:stretch>
                            <a:fillRect/>
                          </a:stretch>
                        </pic:blipFill>
                        <pic:spPr>
                          <a:xfrm>
                            <a:off x="0" y="0"/>
                            <a:ext cx="55022" cy="162293"/>
                          </a:xfrm>
                          <a:prstGeom prst="rect">
                            <a:avLst/>
                          </a:prstGeom>
                        </pic:spPr>
                      </pic:pic>
                    </a:graphicData>
                  </a:graphic>
                </wp:inline>
              </w:drawing>
            </w:r>
            <w:r>
              <w:rPr>
                <w:rFonts w:hint="default" w:ascii="Times New Roman" w:hAnsi="Times New Roman" w:eastAsia="Times New Roman" w:cs="Times New Roman"/>
                <w:i/>
                <w:iCs/>
                <w:color w:val="000000" w:themeColor="text1"/>
                <w:position w:val="16"/>
                <w:sz w:val="21"/>
                <w:szCs w:val="21"/>
                <w14:textFill>
                  <w14:solidFill>
                    <w14:schemeClr w14:val="tx1"/>
                  </w14:solidFill>
                </w14:textFill>
              </w:rPr>
              <w:t>r</w:t>
            </w:r>
            <w:r>
              <w:rPr>
                <w:rFonts w:hint="default" w:ascii="Times New Roman" w:hAnsi="Times New Roman" w:eastAsia="Times New Roman" w:cs="Times New Roman"/>
                <w:color w:val="000000" w:themeColor="text1"/>
                <w:spacing w:val="2"/>
                <w:position w:val="11"/>
                <w:sz w:val="21"/>
                <w:szCs w:val="21"/>
                <w14:textFill>
                  <w14:solidFill>
                    <w14:schemeClr w14:val="tx1"/>
                  </w14:solidFill>
                </w14:textFill>
              </w:rPr>
              <w:t xml:space="preserve">0 </w:t>
            </w:r>
            <w:r>
              <w:rPr>
                <w:rFonts w:hint="default" w:ascii="Times New Roman" w:hAnsi="Times New Roman" w:eastAsia="Symbol" w:cs="Times New Roman"/>
                <w:color w:val="000000" w:themeColor="text1"/>
                <w:spacing w:val="2"/>
                <w:position w:val="16"/>
                <w:sz w:val="21"/>
                <w:szCs w:val="21"/>
                <w14:textFill>
                  <w14:solidFill>
                    <w14:schemeClr w14:val="tx1"/>
                  </w14:solidFill>
                </w14:textFill>
              </w:rPr>
              <w:t xml:space="preserve">) - </w:t>
            </w:r>
            <w:r>
              <w:rPr>
                <w:rFonts w:hint="default" w:ascii="Times New Roman" w:hAnsi="Times New Roman" w:cs="Times New Roman"/>
                <w:color w:val="000000" w:themeColor="text1"/>
                <w:position w:val="12"/>
                <w:sz w:val="21"/>
                <w:szCs w:val="21"/>
                <w14:textFill>
                  <w14:solidFill>
                    <w14:schemeClr w14:val="tx1"/>
                  </w14:solidFill>
                </w14:textFill>
              </w:rPr>
              <w:drawing>
                <wp:inline distT="0" distB="0" distL="0" distR="0">
                  <wp:extent cx="87630" cy="184785"/>
                  <wp:effectExtent l="0" t="0" r="7620" b="4445"/>
                  <wp:docPr id="332" name="IM 8"/>
                  <wp:cNvGraphicFramePr/>
                  <a:graphic xmlns:a="http://schemas.openxmlformats.org/drawingml/2006/main">
                    <a:graphicData uri="http://schemas.openxmlformats.org/drawingml/2006/picture">
                      <pic:pic xmlns:pic="http://schemas.openxmlformats.org/drawingml/2006/picture">
                        <pic:nvPicPr>
                          <pic:cNvPr id="332" name="IM 8"/>
                          <pic:cNvPicPr/>
                        </pic:nvPicPr>
                        <pic:blipFill>
                          <a:blip r:embed="rId9"/>
                          <a:stretch>
                            <a:fillRect/>
                          </a:stretch>
                        </pic:blipFill>
                        <pic:spPr>
                          <a:xfrm>
                            <a:off x="0" y="0"/>
                            <a:ext cx="88235" cy="185045"/>
                          </a:xfrm>
                          <a:prstGeom prst="rect">
                            <a:avLst/>
                          </a:prstGeom>
                        </pic:spPr>
                      </pic:pic>
                    </a:graphicData>
                  </a:graphic>
                </wp:inline>
              </w:drawing>
            </w:r>
            <w:r>
              <w:rPr>
                <w:rFonts w:hint="default" w:ascii="Times New Roman" w:hAnsi="Times New Roman" w:eastAsia="Times New Roman" w:cs="Times New Roman"/>
                <w:i/>
                <w:iCs/>
                <w:color w:val="000000" w:themeColor="text1"/>
                <w:position w:val="16"/>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11"/>
                <w:sz w:val="21"/>
                <w:szCs w:val="21"/>
                <w14:textFill>
                  <w14:solidFill>
                    <w14:schemeClr w14:val="tx1"/>
                  </w14:solidFill>
                </w14:textFill>
              </w:rPr>
              <w:t>oct</w:t>
            </w:r>
          </w:p>
          <w:p w14:paraId="00611416">
            <w:pPr>
              <w:keepNext w:val="0"/>
              <w:keepLines w:val="0"/>
              <w:pageBreakBefore w:val="0"/>
              <w:widowControl w:val="0"/>
              <w:kinsoku/>
              <w:wordWrap/>
              <w:overflowPunct/>
              <w:topLinePunct w:val="0"/>
              <w:autoSpaceDE/>
              <w:autoSpaceDN/>
              <w:bidi w:val="0"/>
              <w:adjustRightInd/>
              <w:snapToGrid/>
              <w:spacing w:line="360" w:lineRule="auto"/>
              <w:ind w:left="0" w:right="0" w:firstLine="436"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position w:val="1"/>
                <w:sz w:val="21"/>
                <w:szCs w:val="21"/>
                <w14:textFill>
                  <w14:solidFill>
                    <w14:schemeClr w14:val="tx1"/>
                  </w14:solidFill>
                </w14:textFill>
              </w:rPr>
              <w:t>式中：</w:t>
            </w:r>
            <w:r>
              <w:rPr>
                <w:rFonts w:hint="default" w:ascii="Times New Roman" w:hAnsi="Times New Roman" w:eastAsia="Times New Roman" w:cs="Times New Roman"/>
                <w:color w:val="000000" w:themeColor="text1"/>
                <w:position w:val="1"/>
                <w:sz w:val="21"/>
                <w:szCs w:val="21"/>
                <w14:textFill>
                  <w14:solidFill>
                    <w14:schemeClr w14:val="tx1"/>
                  </w14:solidFill>
                </w14:textFill>
              </w:rPr>
              <w:t>L</w:t>
            </w:r>
            <w:r>
              <w:rPr>
                <w:rFonts w:hint="default" w:ascii="Times New Roman" w:hAnsi="Times New Roman" w:eastAsia="Times New Roman" w:cs="Times New Roman"/>
                <w:color w:val="000000" w:themeColor="text1"/>
                <w:sz w:val="21"/>
                <w:szCs w:val="21"/>
                <w14:textFill>
                  <w14:solidFill>
                    <w14:schemeClr w14:val="tx1"/>
                  </w14:solidFill>
                </w14:textFill>
              </w:rPr>
              <w:t>oct</w:t>
            </w:r>
            <w:r>
              <w:rPr>
                <w:rFonts w:hint="default" w:ascii="Times New Roman" w:hAnsi="Times New Roman" w:eastAsia="Times New Roman" w:cs="Times New Roman"/>
                <w:color w:val="000000" w:themeColor="text1"/>
                <w:spacing w:val="4"/>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4"/>
                <w:position w:val="1"/>
                <w:sz w:val="21"/>
                <w:szCs w:val="21"/>
                <w14:textFill>
                  <w14:solidFill>
                    <w14:schemeClr w14:val="tx1"/>
                  </w14:solidFill>
                </w14:textFill>
              </w:rPr>
              <w:t>(</w:t>
            </w:r>
            <w:r>
              <w:rPr>
                <w:rFonts w:hint="default" w:ascii="Times New Roman" w:hAnsi="Times New Roman" w:eastAsia="Times New Roman" w:cs="Times New Roman"/>
                <w:color w:val="000000" w:themeColor="text1"/>
                <w:position w:val="1"/>
                <w:sz w:val="21"/>
                <w:szCs w:val="21"/>
                <w14:textFill>
                  <w14:solidFill>
                    <w14:schemeClr w14:val="tx1"/>
                  </w14:solidFill>
                </w14:textFill>
              </w:rPr>
              <w:t>r</w:t>
            </w:r>
            <w:r>
              <w:rPr>
                <w:rFonts w:hint="default" w:ascii="Times New Roman" w:hAnsi="Times New Roman" w:eastAsia="Times New Roman" w:cs="Times New Roman"/>
                <w:color w:val="000000" w:themeColor="text1"/>
                <w:spacing w:val="4"/>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4"/>
                <w:position w:val="1"/>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4"/>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4"/>
                <w:position w:val="1"/>
                <w:sz w:val="21"/>
                <w:szCs w:val="21"/>
                <w14:textFill>
                  <w14:solidFill>
                    <w14:schemeClr w14:val="tx1"/>
                  </w14:solidFill>
                </w14:textFill>
              </w:rPr>
              <w:t>点声源在预测点产生的倍频带声压级</w:t>
            </w:r>
            <w:r>
              <w:rPr>
                <w:rFonts w:hint="default" w:ascii="Times New Roman" w:hAnsi="Times New Roman" w:eastAsia="宋体" w:cs="Times New Roman"/>
                <w:color w:val="000000" w:themeColor="text1"/>
                <w:spacing w:val="2"/>
                <w:position w:val="1"/>
                <w:sz w:val="21"/>
                <w:szCs w:val="21"/>
                <w14:textFill>
                  <w14:solidFill>
                    <w14:schemeClr w14:val="tx1"/>
                  </w14:solidFill>
                </w14:textFill>
              </w:rPr>
              <w:t>；</w:t>
            </w:r>
          </w:p>
          <w:p w14:paraId="2083C287">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outlineLv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1"/>
                <w:sz w:val="21"/>
                <w:szCs w:val="21"/>
                <w14:textFill>
                  <w14:solidFill>
                    <w14:schemeClr w14:val="tx1"/>
                  </w14:solidFill>
                </w14:textFill>
              </w:rPr>
              <w:t>L</w:t>
            </w:r>
            <w:r>
              <w:rPr>
                <w:rFonts w:hint="default" w:ascii="Times New Roman" w:hAnsi="Times New Roman" w:eastAsia="Times New Roman" w:cs="Times New Roman"/>
                <w:color w:val="000000" w:themeColor="text1"/>
                <w:sz w:val="21"/>
                <w:szCs w:val="21"/>
                <w14:textFill>
                  <w14:solidFill>
                    <w14:schemeClr w14:val="tx1"/>
                  </w14:solidFill>
                </w14:textFill>
              </w:rPr>
              <w:t>oct</w:t>
            </w:r>
            <w:r>
              <w:rPr>
                <w:rFonts w:hint="default" w:ascii="Times New Roman" w:hAnsi="Times New Roman" w:eastAsia="Times New Roman" w:cs="Times New Roman"/>
                <w:color w:val="000000" w:themeColor="text1"/>
                <w:spacing w:val="6"/>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5"/>
                <w:position w:val="1"/>
                <w:sz w:val="21"/>
                <w:szCs w:val="21"/>
                <w14:textFill>
                  <w14:solidFill>
                    <w14:schemeClr w14:val="tx1"/>
                  </w14:solidFill>
                </w14:textFill>
              </w:rPr>
              <w:t>(</w:t>
            </w:r>
            <w:r>
              <w:rPr>
                <w:rFonts w:hint="default" w:ascii="Times New Roman" w:hAnsi="Times New Roman" w:eastAsia="Times New Roman" w:cs="Times New Roman"/>
                <w:color w:val="000000" w:themeColor="text1"/>
                <w:position w:val="1"/>
                <w:sz w:val="21"/>
                <w:szCs w:val="21"/>
                <w14:textFill>
                  <w14:solidFill>
                    <w14:schemeClr w14:val="tx1"/>
                  </w14:solidFill>
                </w14:textFill>
              </w:rPr>
              <w:t>r</w:t>
            </w:r>
            <w:r>
              <w:rPr>
                <w:rFonts w:hint="default" w:ascii="Times New Roman" w:hAnsi="Times New Roman" w:eastAsia="Times New Roman" w:cs="Times New Roman"/>
                <w:color w:val="000000" w:themeColor="text1"/>
                <w:spacing w:val="3"/>
                <w:sz w:val="21"/>
                <w:szCs w:val="21"/>
                <w14:textFill>
                  <w14:solidFill>
                    <w14:schemeClr w14:val="tx1"/>
                  </w14:solidFill>
                </w14:textFill>
              </w:rPr>
              <w:t xml:space="preserve">0 </w:t>
            </w:r>
            <w:r>
              <w:rPr>
                <w:rFonts w:hint="default" w:ascii="Times New Roman" w:hAnsi="Times New Roman" w:eastAsia="宋体" w:cs="Times New Roman"/>
                <w:color w:val="000000" w:themeColor="text1"/>
                <w:spacing w:val="3"/>
                <w:position w:val="1"/>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3"/>
                <w:position w:val="1"/>
                <w:sz w:val="21"/>
                <w:szCs w:val="21"/>
                <w14:textFill>
                  <w14:solidFill>
                    <w14:schemeClr w14:val="tx1"/>
                  </w14:solidFill>
                </w14:textFill>
              </w:rPr>
              <w:t>——</w:t>
            </w:r>
            <w:r>
              <w:rPr>
                <w:rFonts w:hint="default" w:ascii="Times New Roman" w:hAnsi="Times New Roman" w:eastAsia="宋体" w:cs="Times New Roman"/>
                <w:color w:val="000000" w:themeColor="text1"/>
                <w:spacing w:val="3"/>
                <w:position w:val="1"/>
                <w:sz w:val="21"/>
                <w:szCs w:val="21"/>
                <w14:textFill>
                  <w14:solidFill>
                    <w14:schemeClr w14:val="tx1"/>
                  </w14:solidFill>
                </w14:textFill>
              </w:rPr>
              <w:t xml:space="preserve">参考位置 </w:t>
            </w:r>
            <w:r>
              <w:rPr>
                <w:rFonts w:hint="default" w:ascii="Times New Roman" w:hAnsi="Times New Roman" w:eastAsia="Times New Roman" w:cs="Times New Roman"/>
                <w:color w:val="000000" w:themeColor="text1"/>
                <w:position w:val="1"/>
                <w:sz w:val="21"/>
                <w:szCs w:val="21"/>
                <w14:textFill>
                  <w14:solidFill>
                    <w14:schemeClr w14:val="tx1"/>
                  </w14:solidFill>
                </w14:textFill>
              </w:rPr>
              <w:t>r</w:t>
            </w:r>
            <w:r>
              <w:rPr>
                <w:rFonts w:hint="default" w:ascii="Times New Roman" w:hAnsi="Times New Roman" w:eastAsia="Times New Roman" w:cs="Times New Roman"/>
                <w:color w:val="000000" w:themeColor="text1"/>
                <w:spacing w:val="3"/>
                <w:sz w:val="21"/>
                <w:szCs w:val="21"/>
                <w14:textFill>
                  <w14:solidFill>
                    <w14:schemeClr w14:val="tx1"/>
                  </w14:solidFill>
                </w14:textFill>
              </w:rPr>
              <w:t xml:space="preserve">0 </w:t>
            </w:r>
            <w:r>
              <w:rPr>
                <w:rFonts w:hint="default" w:ascii="Times New Roman" w:hAnsi="Times New Roman" w:eastAsia="宋体" w:cs="Times New Roman"/>
                <w:color w:val="000000" w:themeColor="text1"/>
                <w:spacing w:val="3"/>
                <w:position w:val="1"/>
                <w:sz w:val="21"/>
                <w:szCs w:val="21"/>
                <w14:textFill>
                  <w14:solidFill>
                    <w14:schemeClr w14:val="tx1"/>
                  </w14:solidFill>
                </w14:textFill>
              </w:rPr>
              <w:t>处的倍频带声压级；</w:t>
            </w:r>
          </w:p>
          <w:p w14:paraId="2E97CE2A">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17"/>
                <w:sz w:val="21"/>
                <w:szCs w:val="21"/>
                <w14:textFill>
                  <w14:solidFill>
                    <w14:schemeClr w14:val="tx1"/>
                  </w14:solidFill>
                </w14:textFill>
              </w:rPr>
              <w:t>r</w:t>
            </w:r>
            <w:r>
              <w:rPr>
                <w:rFonts w:hint="default" w:ascii="Times New Roman" w:hAnsi="Times New Roman" w:eastAsia="Times New Roman" w:cs="Times New Roman"/>
                <w:color w:val="000000" w:themeColor="text1"/>
                <w:spacing w:val="10"/>
                <w:position w:val="17"/>
                <w:sz w:val="21"/>
                <w:szCs w:val="21"/>
                <w14:textFill>
                  <w14:solidFill>
                    <w14:schemeClr w14:val="tx1"/>
                  </w14:solidFill>
                </w14:textFill>
              </w:rPr>
              <w:t>——</w:t>
            </w:r>
            <w:r>
              <w:rPr>
                <w:rFonts w:hint="default" w:ascii="Times New Roman" w:hAnsi="Times New Roman" w:eastAsia="宋体" w:cs="Times New Roman"/>
                <w:color w:val="000000" w:themeColor="text1"/>
                <w:spacing w:val="10"/>
                <w:position w:val="17"/>
                <w:sz w:val="21"/>
                <w:szCs w:val="21"/>
                <w14:textFill>
                  <w14:solidFill>
                    <w14:schemeClr w14:val="tx1"/>
                  </w14:solidFill>
                </w14:textFill>
              </w:rPr>
              <w:t>预测点距声源的距离，</w:t>
            </w:r>
            <w:r>
              <w:rPr>
                <w:rFonts w:hint="default" w:ascii="Times New Roman" w:hAnsi="Times New Roman" w:eastAsia="Times New Roman" w:cs="Times New Roman"/>
                <w:color w:val="000000" w:themeColor="text1"/>
                <w:position w:val="17"/>
                <w:sz w:val="21"/>
                <w:szCs w:val="21"/>
                <w14:textFill>
                  <w14:solidFill>
                    <w14:schemeClr w14:val="tx1"/>
                  </w14:solidFill>
                </w14:textFill>
              </w:rPr>
              <w:t>m</w:t>
            </w:r>
            <w:r>
              <w:rPr>
                <w:rFonts w:hint="default" w:ascii="Times New Roman" w:hAnsi="Times New Roman" w:eastAsia="宋体" w:cs="Times New Roman"/>
                <w:color w:val="000000" w:themeColor="text1"/>
                <w:spacing w:val="8"/>
                <w:position w:val="17"/>
                <w:sz w:val="21"/>
                <w:szCs w:val="21"/>
                <w14:textFill>
                  <w14:solidFill>
                    <w14:schemeClr w14:val="tx1"/>
                  </w14:solidFill>
                </w14:textFill>
              </w:rPr>
              <w:t>；</w:t>
            </w:r>
          </w:p>
          <w:p w14:paraId="3E354753">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r</w:t>
            </w:r>
            <w:r>
              <w:rPr>
                <w:rFonts w:hint="default" w:ascii="Times New Roman" w:hAnsi="Times New Roman" w:eastAsia="Times New Roman" w:cs="Times New Roman"/>
                <w:color w:val="000000" w:themeColor="text1"/>
                <w:spacing w:val="14"/>
                <w:position w:val="-1"/>
                <w:sz w:val="21"/>
                <w:szCs w:val="21"/>
                <w14:textFill>
                  <w14:solidFill>
                    <w14:schemeClr w14:val="tx1"/>
                  </w14:solidFill>
                </w14:textFill>
              </w:rPr>
              <w:t>0</w:t>
            </w:r>
            <w:r>
              <w:rPr>
                <w:rFonts w:hint="default" w:ascii="Times New Roman" w:hAnsi="Times New Roman" w:eastAsia="Times New Roman" w:cs="Times New Roman"/>
                <w:color w:val="000000" w:themeColor="text1"/>
                <w:spacing w:val="9"/>
                <w:sz w:val="21"/>
                <w:szCs w:val="21"/>
                <w14:textFill>
                  <w14:solidFill>
                    <w14:schemeClr w14:val="tx1"/>
                  </w14:solidFill>
                </w14:textFill>
              </w:rPr>
              <w:t>——</w:t>
            </w:r>
            <w:r>
              <w:rPr>
                <w:rFonts w:hint="default" w:ascii="Times New Roman" w:hAnsi="Times New Roman" w:eastAsia="宋体" w:cs="Times New Roman"/>
                <w:color w:val="000000" w:themeColor="text1"/>
                <w:spacing w:val="9"/>
                <w:sz w:val="21"/>
                <w:szCs w:val="21"/>
                <w14:textFill>
                  <w14:solidFill>
                    <w14:schemeClr w14:val="tx1"/>
                  </w14:solidFill>
                </w14:textFill>
              </w:rPr>
              <w:t>参考位置距声源的距离，</w:t>
            </w:r>
            <w:r>
              <w:rPr>
                <w:rFonts w:hint="default" w:ascii="Times New Roman" w:hAnsi="Times New Roman" w:eastAsia="Times New Roman"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pacing w:val="9"/>
                <w:sz w:val="21"/>
                <w:szCs w:val="21"/>
                <w14:textFill>
                  <w14:solidFill>
                    <w14:schemeClr w14:val="tx1"/>
                  </w14:solidFill>
                </w14:textFill>
              </w:rPr>
              <w:t>；</w:t>
            </w:r>
          </w:p>
          <w:p w14:paraId="47AA471E">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rPr>
                <w:rFonts w:hint="default" w:ascii="Times New Roman" w:hAnsi="Times New Roman" w:eastAsia="宋体" w:cs="Times New Roman"/>
                <w:color w:val="000000" w:themeColor="text1"/>
                <w:spacing w:val="10"/>
                <w:position w:val="15"/>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spacing w:val="14"/>
                <w:position w:val="15"/>
                <w:sz w:val="21"/>
                <w:szCs w:val="21"/>
                <w14:textFill>
                  <w14:solidFill>
                    <w14:schemeClr w14:val="tx1"/>
                  </w14:solidFill>
                </w14:textFill>
              </w:rPr>
              <w:t>Δ</w:t>
            </w:r>
            <w:r>
              <w:rPr>
                <w:rFonts w:hint="default" w:ascii="Times New Roman" w:hAnsi="Times New Roman" w:eastAsia="Times New Roman" w:cs="Times New Roman"/>
                <w:color w:val="000000" w:themeColor="text1"/>
                <w:position w:val="15"/>
                <w:sz w:val="21"/>
                <w:szCs w:val="21"/>
                <w14:textFill>
                  <w14:solidFill>
                    <w14:schemeClr w14:val="tx1"/>
                  </w14:solidFill>
                </w14:textFill>
              </w:rPr>
              <w:t>L</w:t>
            </w:r>
            <w:r>
              <w:rPr>
                <w:rFonts w:hint="default" w:ascii="Times New Roman" w:hAnsi="Times New Roman" w:eastAsia="Times New Roman" w:cs="Times New Roman"/>
                <w:color w:val="000000" w:themeColor="text1"/>
                <w:position w:val="14"/>
                <w:sz w:val="21"/>
                <w:szCs w:val="21"/>
                <w14:textFill>
                  <w14:solidFill>
                    <w14:schemeClr w14:val="tx1"/>
                  </w14:solidFill>
                </w14:textFill>
              </w:rPr>
              <w:t>oct</w:t>
            </w:r>
            <w:r>
              <w:rPr>
                <w:rFonts w:hint="default" w:ascii="Times New Roman" w:hAnsi="Times New Roman" w:eastAsia="Times New Roman" w:cs="Times New Roman"/>
                <w:color w:val="000000" w:themeColor="text1"/>
                <w:spacing w:val="10"/>
                <w:position w:val="15"/>
                <w:sz w:val="21"/>
                <w:szCs w:val="21"/>
                <w14:textFill>
                  <w14:solidFill>
                    <w14:schemeClr w14:val="tx1"/>
                  </w14:solidFill>
                </w14:textFill>
              </w:rPr>
              <w:t>——</w:t>
            </w:r>
            <w:r>
              <w:rPr>
                <w:rFonts w:hint="default" w:ascii="Times New Roman" w:hAnsi="Times New Roman" w:eastAsia="宋体" w:cs="Times New Roman"/>
                <w:color w:val="000000" w:themeColor="text1"/>
                <w:spacing w:val="10"/>
                <w:position w:val="15"/>
                <w:sz w:val="21"/>
                <w:szCs w:val="21"/>
                <w14:textFill>
                  <w14:solidFill>
                    <w14:schemeClr w14:val="tx1"/>
                  </w14:solidFill>
                </w14:textFill>
              </w:rPr>
              <w:t>各种因素引起的衰减量，包括声屏障、空气吸收和</w:t>
            </w:r>
            <w:r>
              <w:rPr>
                <w:rFonts w:hint="default" w:ascii="Times New Roman" w:hAnsi="Times New Roman" w:eastAsia="宋体" w:cs="Times New Roman"/>
                <w:color w:val="000000" w:themeColor="text1"/>
                <w:spacing w:val="10"/>
                <w:position w:val="15"/>
                <w:sz w:val="21"/>
                <w:szCs w:val="21"/>
                <w:lang w:val="en-US" w:eastAsia="zh-CN"/>
                <w14:textFill>
                  <w14:solidFill>
                    <w14:schemeClr w14:val="tx1"/>
                  </w14:solidFill>
                </w14:textFill>
              </w:rPr>
              <w:t>地面效应引起的衰减，其计算方式分别为：</w:t>
            </w:r>
          </w:p>
          <w:p w14:paraId="460018BC">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0" distR="0">
                  <wp:extent cx="2532380" cy="403225"/>
                  <wp:effectExtent l="0" t="0" r="1270" b="15875"/>
                  <wp:docPr id="333" name="IM 9"/>
                  <wp:cNvGraphicFramePr/>
                  <a:graphic xmlns:a="http://schemas.openxmlformats.org/drawingml/2006/main">
                    <a:graphicData uri="http://schemas.openxmlformats.org/drawingml/2006/picture">
                      <pic:pic xmlns:pic="http://schemas.openxmlformats.org/drawingml/2006/picture">
                        <pic:nvPicPr>
                          <pic:cNvPr id="333" name="IM 9"/>
                          <pic:cNvPicPr/>
                        </pic:nvPicPr>
                        <pic:blipFill>
                          <a:blip r:embed="rId10"/>
                          <a:stretch>
                            <a:fillRect/>
                          </a:stretch>
                        </pic:blipFill>
                        <pic:spPr>
                          <a:xfrm>
                            <a:off x="0" y="0"/>
                            <a:ext cx="2532887" cy="403859"/>
                          </a:xfrm>
                          <a:prstGeom prst="rect">
                            <a:avLst/>
                          </a:prstGeom>
                        </pic:spPr>
                      </pic:pic>
                    </a:graphicData>
                  </a:graphic>
                </wp:inline>
              </w:drawing>
            </w:r>
          </w:p>
          <w:p w14:paraId="70983A79">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15"/>
                <w:sz w:val="21"/>
                <w:szCs w:val="21"/>
                <w14:textFill>
                  <w14:solidFill>
                    <w14:schemeClr w14:val="tx1"/>
                  </w14:solidFill>
                </w14:textFill>
              </w:rPr>
              <w:t>A</w:t>
            </w:r>
            <w:r>
              <w:rPr>
                <w:rFonts w:hint="default" w:ascii="Times New Roman" w:hAnsi="Times New Roman" w:eastAsia="Times New Roman" w:cs="Times New Roman"/>
                <w:color w:val="000000" w:themeColor="text1"/>
                <w:position w:val="14"/>
                <w:sz w:val="21"/>
                <w:szCs w:val="21"/>
                <w14:textFill>
                  <w14:solidFill>
                    <w14:schemeClr w14:val="tx1"/>
                  </w14:solidFill>
                </w14:textFill>
              </w:rPr>
              <w:t>oct</w:t>
            </w:r>
            <w:r>
              <w:rPr>
                <w:rFonts w:hint="default" w:ascii="Times New Roman" w:hAnsi="Times New Roman" w:eastAsia="Times New Roman" w:cs="Times New Roman"/>
                <w:color w:val="000000" w:themeColor="text1"/>
                <w:spacing w:val="7"/>
                <w:position w:val="14"/>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position w:val="14"/>
                <w:sz w:val="21"/>
                <w:szCs w:val="21"/>
                <w14:textFill>
                  <w14:solidFill>
                    <w14:schemeClr w14:val="tx1"/>
                  </w14:solidFill>
                </w14:textFill>
              </w:rPr>
              <w:t>atm</w:t>
            </w:r>
            <w:r>
              <w:rPr>
                <w:rFonts w:hint="default" w:ascii="Times New Roman" w:hAnsi="Times New Roman" w:eastAsia="Times New Roman" w:cs="Times New Roman"/>
                <w:color w:val="000000" w:themeColor="text1"/>
                <w:spacing w:val="5"/>
                <w:position w:val="15"/>
                <w:sz w:val="21"/>
                <w:szCs w:val="21"/>
                <w14:textFill>
                  <w14:solidFill>
                    <w14:schemeClr w14:val="tx1"/>
                  </w14:solidFill>
                </w14:textFill>
              </w:rPr>
              <w:t>=α(</w:t>
            </w:r>
            <w:r>
              <w:rPr>
                <w:rFonts w:hint="default" w:ascii="Times New Roman" w:hAnsi="Times New Roman" w:eastAsia="Times New Roman" w:cs="Times New Roman"/>
                <w:color w:val="000000" w:themeColor="text1"/>
                <w:position w:val="15"/>
                <w:sz w:val="21"/>
                <w:szCs w:val="21"/>
                <w14:textFill>
                  <w14:solidFill>
                    <w14:schemeClr w14:val="tx1"/>
                  </w14:solidFill>
                </w14:textFill>
              </w:rPr>
              <w:t>r</w:t>
            </w:r>
            <w:r>
              <w:rPr>
                <w:rFonts w:hint="default" w:ascii="Times New Roman" w:hAnsi="Times New Roman" w:eastAsia="Times New Roman" w:cs="Times New Roman"/>
                <w:color w:val="000000" w:themeColor="text1"/>
                <w:spacing w:val="5"/>
                <w:position w:val="15"/>
                <w:sz w:val="21"/>
                <w:szCs w:val="21"/>
                <w14:textFill>
                  <w14:solidFill>
                    <w14:schemeClr w14:val="tx1"/>
                  </w14:solidFill>
                </w14:textFill>
              </w:rPr>
              <w:t>-</w:t>
            </w:r>
            <w:r>
              <w:rPr>
                <w:rFonts w:hint="default" w:ascii="Times New Roman" w:hAnsi="Times New Roman" w:eastAsia="Times New Roman" w:cs="Times New Roman"/>
                <w:color w:val="000000" w:themeColor="text1"/>
                <w:position w:val="15"/>
                <w:sz w:val="21"/>
                <w:szCs w:val="21"/>
                <w14:textFill>
                  <w14:solidFill>
                    <w14:schemeClr w14:val="tx1"/>
                  </w14:solidFill>
                </w14:textFill>
              </w:rPr>
              <w:t>r</w:t>
            </w:r>
            <w:r>
              <w:rPr>
                <w:rFonts w:hint="default" w:ascii="Times New Roman" w:hAnsi="Times New Roman" w:eastAsia="Times New Roman" w:cs="Times New Roman"/>
                <w:color w:val="000000" w:themeColor="text1"/>
                <w:spacing w:val="5"/>
                <w:position w:val="14"/>
                <w:sz w:val="21"/>
                <w:szCs w:val="21"/>
                <w14:textFill>
                  <w14:solidFill>
                    <w14:schemeClr w14:val="tx1"/>
                  </w14:solidFill>
                </w14:textFill>
              </w:rPr>
              <w:t>0</w:t>
            </w:r>
            <w:r>
              <w:rPr>
                <w:rFonts w:hint="default" w:ascii="Times New Roman" w:hAnsi="Times New Roman" w:eastAsia="Times New Roman" w:cs="Times New Roman"/>
                <w:color w:val="000000" w:themeColor="text1"/>
                <w:spacing w:val="5"/>
                <w:position w:val="15"/>
                <w:sz w:val="21"/>
                <w:szCs w:val="21"/>
                <w14:textFill>
                  <w14:solidFill>
                    <w14:schemeClr w14:val="tx1"/>
                  </w14:solidFill>
                </w14:textFill>
              </w:rPr>
              <w:t>)/100</w:t>
            </w:r>
            <w:r>
              <w:rPr>
                <w:rFonts w:hint="default" w:ascii="Times New Roman" w:hAnsi="Times New Roman" w:eastAsia="宋体" w:cs="Times New Roman"/>
                <w:color w:val="000000" w:themeColor="text1"/>
                <w:spacing w:val="5"/>
                <w:position w:val="15"/>
                <w:sz w:val="21"/>
                <w:szCs w:val="21"/>
                <w14:textFill>
                  <w14:solidFill>
                    <w14:schemeClr w14:val="tx1"/>
                  </w14:solidFill>
                </w14:textFill>
              </w:rPr>
              <w:t>；</w:t>
            </w:r>
          </w:p>
          <w:p w14:paraId="2A7162FA">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4"/>
                <w:sz w:val="21"/>
                <w:szCs w:val="21"/>
                <w14:textFill>
                  <w14:solidFill>
                    <w14:schemeClr w14:val="tx1"/>
                  </w14:solidFill>
                </w14:textFill>
              </w:rPr>
              <w:t>A</w:t>
            </w:r>
            <w:r>
              <w:rPr>
                <w:rFonts w:hint="default" w:ascii="Times New Roman" w:hAnsi="Times New Roman" w:eastAsia="Times New Roman" w:cs="Times New Roman"/>
                <w:color w:val="000000" w:themeColor="text1"/>
                <w:position w:val="3"/>
                <w:sz w:val="21"/>
                <w:szCs w:val="21"/>
                <w14:textFill>
                  <w14:solidFill>
                    <w14:schemeClr w14:val="tx1"/>
                  </w14:solidFill>
                </w14:textFill>
              </w:rPr>
              <w:t>exc</w:t>
            </w:r>
            <w:r>
              <w:rPr>
                <w:rFonts w:hint="default" w:ascii="Times New Roman" w:hAnsi="Times New Roman" w:eastAsia="Times New Roman" w:cs="Times New Roman"/>
                <w:color w:val="000000" w:themeColor="text1"/>
                <w:spacing w:val="7"/>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spacing w:val="6"/>
                <w:position w:val="4"/>
                <w:sz w:val="21"/>
                <w:szCs w:val="21"/>
                <w14:textFill>
                  <w14:solidFill>
                    <w14:schemeClr w14:val="tx1"/>
                  </w14:solidFill>
                </w14:textFill>
              </w:rPr>
              <w:t>5</w:t>
            </w:r>
            <w:r>
              <w:rPr>
                <w:rFonts w:hint="default" w:ascii="Times New Roman" w:hAnsi="Times New Roman" w:eastAsia="Times New Roman" w:cs="Times New Roman"/>
                <w:color w:val="000000" w:themeColor="text1"/>
                <w:position w:val="4"/>
                <w:sz w:val="21"/>
                <w:szCs w:val="21"/>
                <w14:textFill>
                  <w14:solidFill>
                    <w14:schemeClr w14:val="tx1"/>
                  </w14:solidFill>
                </w14:textFill>
              </w:rPr>
              <w:t>lg</w:t>
            </w:r>
            <w:r>
              <w:rPr>
                <w:rFonts w:hint="default" w:ascii="Times New Roman" w:hAnsi="Times New Roman" w:eastAsia="Times New Roman" w:cs="Times New Roman"/>
                <w:color w:val="000000" w:themeColor="text1"/>
                <w:spacing w:val="6"/>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r</w:t>
            </w:r>
            <w:r>
              <w:rPr>
                <w:rFonts w:hint="default" w:ascii="Times New Roman" w:hAnsi="Times New Roman" w:eastAsia="Times New Roman" w:cs="Times New Roman"/>
                <w:color w:val="000000" w:themeColor="text1"/>
                <w:spacing w:val="6"/>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r</w:t>
            </w:r>
            <w:r>
              <w:rPr>
                <w:rFonts w:hint="default" w:ascii="Times New Roman" w:hAnsi="Times New Roman" w:eastAsia="Times New Roman" w:cs="Times New Roman"/>
                <w:color w:val="000000" w:themeColor="text1"/>
                <w:spacing w:val="6"/>
                <w:position w:val="3"/>
                <w:sz w:val="21"/>
                <w:szCs w:val="21"/>
                <w14:textFill>
                  <w14:solidFill>
                    <w14:schemeClr w14:val="tx1"/>
                  </w14:solidFill>
                </w14:textFill>
              </w:rPr>
              <w:t>0</w:t>
            </w:r>
            <w:r>
              <w:rPr>
                <w:rFonts w:hint="default" w:ascii="Times New Roman" w:hAnsi="Times New Roman" w:eastAsia="Times New Roman" w:cs="Times New Roman"/>
                <w:color w:val="000000" w:themeColor="text1"/>
                <w:spacing w:val="6"/>
                <w:position w:val="4"/>
                <w:sz w:val="21"/>
                <w:szCs w:val="21"/>
                <w14:textFill>
                  <w14:solidFill>
                    <w14:schemeClr w14:val="tx1"/>
                  </w14:solidFill>
                </w14:textFill>
              </w:rPr>
              <w:t>)</w:t>
            </w:r>
            <w:r>
              <w:rPr>
                <w:rFonts w:hint="default" w:ascii="Times New Roman" w:hAnsi="Times New Roman" w:eastAsia="宋体" w:cs="Times New Roman"/>
                <w:color w:val="000000" w:themeColor="text1"/>
                <w:spacing w:val="6"/>
                <w:position w:val="4"/>
                <w:sz w:val="21"/>
                <w:szCs w:val="21"/>
                <w14:textFill>
                  <w14:solidFill>
                    <w14:schemeClr w14:val="tx1"/>
                  </w14:solidFill>
                </w14:textFill>
              </w:rPr>
              <w:t>；</w:t>
            </w:r>
          </w:p>
          <w:p w14:paraId="60744CC3">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b</w:t>
            </w:r>
            <w:r>
              <w:rPr>
                <w:rFonts w:hint="default" w:ascii="Times New Roman" w:hAnsi="Times New Roman" w:eastAsia="Times New Roman" w:cs="Times New Roman"/>
                <w:color w:val="000000" w:themeColor="text1"/>
                <w:spacing w:val="22"/>
                <w:sz w:val="21"/>
                <w:szCs w:val="21"/>
                <w14:textFill>
                  <w14:solidFill>
                    <w14:schemeClr w14:val="tx1"/>
                  </w14:solidFill>
                </w14:textFill>
              </w:rPr>
              <w:t>.</w:t>
            </w:r>
            <w:r>
              <w:rPr>
                <w:rFonts w:hint="default" w:ascii="Times New Roman" w:hAnsi="Times New Roman" w:eastAsia="宋体" w:cs="Times New Roman"/>
                <w:color w:val="000000" w:themeColor="text1"/>
                <w:spacing w:val="22"/>
                <w:sz w:val="21"/>
                <w:szCs w:val="21"/>
                <w14:textFill>
                  <w14:solidFill>
                    <w14:schemeClr w14:val="tx1"/>
                  </w14:solidFill>
                </w14:textFill>
              </w:rPr>
              <w:t>如</w:t>
            </w:r>
            <w:r>
              <w:rPr>
                <w:rFonts w:hint="default" w:ascii="Times New Roman" w:hAnsi="Times New Roman" w:eastAsia="宋体" w:cs="Times New Roman"/>
                <w:color w:val="000000" w:themeColor="text1"/>
                <w:spacing w:val="11"/>
                <w:sz w:val="21"/>
                <w:szCs w:val="21"/>
                <w14:textFill>
                  <w14:solidFill>
                    <w14:schemeClr w14:val="tx1"/>
                  </w14:solidFill>
                </w14:textFill>
              </w:rPr>
              <w:t xml:space="preserve">果已知声源的倍频带声功率级 </w:t>
            </w:r>
            <w:r>
              <w:rPr>
                <w:rFonts w:hint="default" w:ascii="Times New Roman" w:hAnsi="Times New Roman" w:eastAsia="Times New Roman" w:cs="Times New Roman"/>
                <w:color w:val="000000" w:themeColor="text1"/>
                <w:sz w:val="21"/>
                <w:szCs w:val="21"/>
                <w14:textFill>
                  <w14:solidFill>
                    <w14:schemeClr w14:val="tx1"/>
                  </w14:solidFill>
                </w14:textFill>
              </w:rPr>
              <w:t>L</w:t>
            </w:r>
            <w:r>
              <w:rPr>
                <w:rFonts w:hint="default" w:ascii="Times New Roman" w:hAnsi="Times New Roman" w:eastAsia="Times New Roman" w:cs="Times New Roman"/>
                <w:color w:val="000000" w:themeColor="text1"/>
                <w:position w:val="-1"/>
                <w:sz w:val="21"/>
                <w:szCs w:val="21"/>
                <w14:textFill>
                  <w14:solidFill>
                    <w14:schemeClr w14:val="tx1"/>
                  </w14:solidFill>
                </w14:textFill>
              </w:rPr>
              <w:t>w</w:t>
            </w:r>
            <w:r>
              <w:rPr>
                <w:rFonts w:hint="default" w:ascii="Times New Roman" w:hAnsi="Times New Roman" w:eastAsia="Times New Roman" w:cs="Times New Roman"/>
                <w:color w:val="000000" w:themeColor="text1"/>
                <w:spacing w:val="11"/>
                <w:position w:val="-1"/>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position w:val="-1"/>
                <w:sz w:val="21"/>
                <w:szCs w:val="21"/>
                <w14:textFill>
                  <w14:solidFill>
                    <w14:schemeClr w14:val="tx1"/>
                  </w14:solidFill>
                </w14:textFill>
              </w:rPr>
              <w:t>cot</w:t>
            </w:r>
            <w:r>
              <w:rPr>
                <w:rFonts w:hint="default" w:ascii="Times New Roman" w:hAnsi="Times New Roman" w:eastAsia="Times New Roman" w:cs="Times New Roman"/>
                <w:color w:val="000000" w:themeColor="text1"/>
                <w:spacing w:val="11"/>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11"/>
                <w:sz w:val="21"/>
                <w:szCs w:val="21"/>
                <w14:textFill>
                  <w14:solidFill>
                    <w14:schemeClr w14:val="tx1"/>
                  </w14:solidFill>
                </w14:textFill>
              </w:rPr>
              <w:t>，且声源可看作是位于地面上</w:t>
            </w:r>
            <w:r>
              <w:rPr>
                <w:rFonts w:hint="default" w:ascii="Times New Roman" w:hAnsi="Times New Roman" w:eastAsia="宋体" w:cs="Times New Roman"/>
                <w:color w:val="000000" w:themeColor="text1"/>
                <w:sz w:val="21"/>
                <w:szCs w:val="21"/>
                <w14:textFill>
                  <w14:solidFill>
                    <w14:schemeClr w14:val="tx1"/>
                  </w14:solidFill>
                </w14:textFill>
              </w:rPr>
              <w:t>的，则：</w:t>
            </w:r>
          </w:p>
          <w:p w14:paraId="36CC4395">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rPr>
                <w:rFonts w:hint="default" w:ascii="Times New Roman" w:hAnsi="Times New Roman" w:eastAsia="Times New Roman" w:cs="Times New Roman"/>
                <w:color w:val="000000" w:themeColor="text1"/>
                <w:spacing w:val="9"/>
                <w:position w:val="4"/>
                <w:sz w:val="21"/>
                <w:szCs w:val="21"/>
                <w14:textFill>
                  <w14:solidFill>
                    <w14:schemeClr w14:val="tx1"/>
                  </w14:solidFill>
                </w14:textFill>
              </w:rPr>
            </w:pPr>
            <w:r>
              <w:rPr>
                <w:rFonts w:hint="default" w:ascii="Times New Roman" w:hAnsi="Times New Roman" w:eastAsia="Times New Roman" w:cs="Times New Roman"/>
                <w:color w:val="000000" w:themeColor="text1"/>
                <w:position w:val="4"/>
                <w:sz w:val="21"/>
                <w:szCs w:val="21"/>
                <w14:textFill>
                  <w14:solidFill>
                    <w14:schemeClr w14:val="tx1"/>
                  </w14:solidFill>
                </w14:textFill>
              </w:rPr>
              <w:t>L</w:t>
            </w:r>
            <w:r>
              <w:rPr>
                <w:rFonts w:hint="default" w:ascii="Times New Roman" w:hAnsi="Times New Roman" w:eastAsia="Times New Roman" w:cs="Times New Roman"/>
                <w:color w:val="000000" w:themeColor="text1"/>
                <w:position w:val="3"/>
                <w:sz w:val="21"/>
                <w:szCs w:val="21"/>
                <w14:textFill>
                  <w14:solidFill>
                    <w14:schemeClr w14:val="tx1"/>
                  </w14:solidFill>
                </w14:textFill>
              </w:rPr>
              <w:t>cot</w:t>
            </w:r>
            <w:r>
              <w:rPr>
                <w:rFonts w:hint="default" w:ascii="Times New Roman" w:hAnsi="Times New Roman" w:eastAsia="Times New Roman" w:cs="Times New Roman"/>
                <w:color w:val="000000" w:themeColor="text1"/>
                <w:spacing w:val="9"/>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L</w:t>
            </w:r>
            <w:r>
              <w:rPr>
                <w:rFonts w:hint="default" w:ascii="Times New Roman" w:hAnsi="Times New Roman" w:eastAsia="Times New Roman" w:cs="Times New Roman"/>
                <w:color w:val="000000" w:themeColor="text1"/>
                <w:position w:val="3"/>
                <w:sz w:val="21"/>
                <w:szCs w:val="21"/>
                <w14:textFill>
                  <w14:solidFill>
                    <w14:schemeClr w14:val="tx1"/>
                  </w14:solidFill>
                </w14:textFill>
              </w:rPr>
              <w:t>w</w:t>
            </w:r>
            <w:r>
              <w:rPr>
                <w:rFonts w:hint="default" w:ascii="Times New Roman" w:hAnsi="Times New Roman" w:eastAsia="Times New Roman" w:cs="Times New Roman"/>
                <w:color w:val="000000" w:themeColor="text1"/>
                <w:spacing w:val="9"/>
                <w:position w:val="3"/>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position w:val="3"/>
                <w:sz w:val="21"/>
                <w:szCs w:val="21"/>
                <w14:textFill>
                  <w14:solidFill>
                    <w14:schemeClr w14:val="tx1"/>
                  </w14:solidFill>
                </w14:textFill>
              </w:rPr>
              <w:t>cot</w:t>
            </w:r>
            <w:r>
              <w:rPr>
                <w:rFonts w:hint="default" w:ascii="Times New Roman" w:hAnsi="Times New Roman" w:eastAsia="Times New Roman" w:cs="Times New Roman"/>
                <w:color w:val="000000" w:themeColor="text1"/>
                <w:spacing w:val="9"/>
                <w:position w:val="4"/>
                <w:sz w:val="21"/>
                <w:szCs w:val="21"/>
                <w14:textFill>
                  <w14:solidFill>
                    <w14:schemeClr w14:val="tx1"/>
                  </w14:solidFill>
                </w14:textFill>
              </w:rPr>
              <w:t>-20</w:t>
            </w:r>
            <w:r>
              <w:rPr>
                <w:rFonts w:hint="default" w:ascii="Times New Roman" w:hAnsi="Times New Roman" w:eastAsia="Times New Roman" w:cs="Times New Roman"/>
                <w:color w:val="000000" w:themeColor="text1"/>
                <w:position w:val="4"/>
                <w:sz w:val="21"/>
                <w:szCs w:val="21"/>
                <w14:textFill>
                  <w14:solidFill>
                    <w14:schemeClr w14:val="tx1"/>
                  </w14:solidFill>
                </w14:textFill>
              </w:rPr>
              <w:t>lgr</w:t>
            </w:r>
            <w:r>
              <w:rPr>
                <w:rFonts w:hint="default" w:ascii="Times New Roman" w:hAnsi="Times New Roman" w:eastAsia="Times New Roman" w:cs="Times New Roman"/>
                <w:color w:val="000000" w:themeColor="text1"/>
                <w:spacing w:val="9"/>
                <w:position w:val="3"/>
                <w:sz w:val="21"/>
                <w:szCs w:val="21"/>
                <w14:textFill>
                  <w14:solidFill>
                    <w14:schemeClr w14:val="tx1"/>
                  </w14:solidFill>
                </w14:textFill>
              </w:rPr>
              <w:t>0</w:t>
            </w:r>
            <w:r>
              <w:rPr>
                <w:rFonts w:hint="default" w:ascii="Times New Roman" w:hAnsi="Times New Roman" w:eastAsia="Times New Roman" w:cs="Times New Roman"/>
                <w:color w:val="000000" w:themeColor="text1"/>
                <w:spacing w:val="9"/>
                <w:position w:val="4"/>
                <w:sz w:val="21"/>
                <w:szCs w:val="21"/>
                <w14:textFill>
                  <w14:solidFill>
                    <w14:schemeClr w14:val="tx1"/>
                  </w14:solidFill>
                </w14:textFill>
              </w:rPr>
              <w:t>-8</w:t>
            </w:r>
          </w:p>
          <w:p w14:paraId="6550D5E5">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c</w:t>
            </w:r>
            <w:r>
              <w:rPr>
                <w:rFonts w:hint="default" w:ascii="Times New Roman" w:hAnsi="Times New Roman" w:eastAsia="Times New Roman" w:cs="Times New Roman"/>
                <w:color w:val="000000" w:themeColor="text1"/>
                <w:spacing w:val="4"/>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3"/>
                <w:sz w:val="21"/>
                <w:szCs w:val="21"/>
                <w14:textFill>
                  <w14:solidFill>
                    <w14:schemeClr w14:val="tx1"/>
                  </w14:solidFill>
                </w14:textFill>
              </w:rPr>
              <w:t>由</w:t>
            </w:r>
            <w:r>
              <w:rPr>
                <w:rFonts w:hint="default" w:ascii="Times New Roman" w:hAnsi="Times New Roman" w:eastAsia="宋体" w:cs="Times New Roman"/>
                <w:color w:val="000000" w:themeColor="text1"/>
                <w:spacing w:val="2"/>
                <w:sz w:val="21"/>
                <w:szCs w:val="21"/>
                <w14:textFill>
                  <w14:solidFill>
                    <w14:schemeClr w14:val="tx1"/>
                  </w14:solidFill>
                </w14:textFill>
              </w:rPr>
              <w:t xml:space="preserve">各倍频带声压级合成计算出该声源产生的 </w:t>
            </w:r>
            <w:r>
              <w:rPr>
                <w:rFonts w:hint="default" w:ascii="Times New Roman" w:hAnsi="Times New Roman" w:eastAsia="Times New Roman" w:cs="Times New Roman"/>
                <w:color w:val="000000" w:themeColor="text1"/>
                <w:sz w:val="21"/>
                <w:szCs w:val="21"/>
                <w14:textFill>
                  <w14:solidFill>
                    <w14:schemeClr w14:val="tx1"/>
                  </w14:solidFill>
                </w14:textFill>
              </w:rPr>
              <w:t>A</w:t>
            </w:r>
            <w:r>
              <w:rPr>
                <w:rFonts w:hint="default" w:ascii="Times New Roman" w:hAnsi="Times New Roman" w:eastAsia="Times New Roman" w:cs="Times New Roman"/>
                <w:color w:val="000000" w:themeColor="text1"/>
                <w:spacing w:val="2"/>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2"/>
                <w:sz w:val="21"/>
                <w:szCs w:val="21"/>
                <w14:textFill>
                  <w14:solidFill>
                    <w14:schemeClr w14:val="tx1"/>
                  </w14:solidFill>
                </w14:textFill>
              </w:rPr>
              <w:t xml:space="preserve">声级 </w:t>
            </w:r>
            <w:r>
              <w:rPr>
                <w:rFonts w:hint="default" w:ascii="Times New Roman" w:hAnsi="Times New Roman" w:eastAsia="Times New Roman" w:cs="Times New Roman"/>
                <w:color w:val="000000" w:themeColor="text1"/>
                <w:sz w:val="21"/>
                <w:szCs w:val="21"/>
                <w14:textFill>
                  <w14:solidFill>
                    <w14:schemeClr w14:val="tx1"/>
                  </w14:solidFill>
                </w14:textFill>
              </w:rPr>
              <w:t>L</w:t>
            </w:r>
            <w:r>
              <w:rPr>
                <w:rFonts w:hint="default" w:ascii="Times New Roman" w:hAnsi="Times New Roman" w:eastAsia="Times New Roman" w:cs="Times New Roman"/>
                <w:color w:val="000000" w:themeColor="text1"/>
                <w:position w:val="-1"/>
                <w:sz w:val="21"/>
                <w:szCs w:val="21"/>
                <w14:textFill>
                  <w14:solidFill>
                    <w14:schemeClr w14:val="tx1"/>
                  </w14:solidFill>
                </w14:textFill>
              </w:rPr>
              <w:t>A</w:t>
            </w:r>
            <w:r>
              <w:rPr>
                <w:rFonts w:hint="default" w:ascii="Times New Roman" w:hAnsi="Times New Roman" w:eastAsia="宋体" w:cs="Times New Roman"/>
                <w:color w:val="000000" w:themeColor="text1"/>
                <w:spacing w:val="2"/>
                <w:sz w:val="21"/>
                <w:szCs w:val="21"/>
                <w14:textFill>
                  <w14:solidFill>
                    <w14:schemeClr w14:val="tx1"/>
                  </w14:solidFill>
                </w14:textFill>
              </w:rPr>
              <w:t>：</w:t>
            </w:r>
          </w:p>
          <w:p w14:paraId="6557EC3C">
            <w:pPr>
              <w:keepNext w:val="0"/>
              <w:keepLines w:val="0"/>
              <w:pageBreakBefore w:val="0"/>
              <w:widowControl w:val="0"/>
              <w:kinsoku/>
              <w:wordWrap/>
              <w:overflowPunct/>
              <w:topLinePunct w:val="0"/>
              <w:autoSpaceDE/>
              <w:autoSpaceDN/>
              <w:bidi w:val="0"/>
              <w:adjustRightInd/>
              <w:snapToGrid/>
              <w:spacing w:line="360" w:lineRule="auto"/>
              <w:ind w:right="0"/>
              <w:jc w:val="center"/>
              <w:rPr>
                <w:rFonts w:hint="default" w:ascii="Times New Roman" w:hAnsi="Times New Roman" w:eastAsia="微软雅黑"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2548890</wp:posOffset>
                      </wp:positionH>
                      <wp:positionV relativeFrom="paragraph">
                        <wp:posOffset>304165</wp:posOffset>
                      </wp:positionV>
                      <wp:extent cx="2009775" cy="246380"/>
                      <wp:effectExtent l="0" t="0" r="0" b="0"/>
                      <wp:wrapNone/>
                      <wp:docPr id="334" name="文本框 334"/>
                      <wp:cNvGraphicFramePr/>
                      <a:graphic xmlns:a="http://schemas.openxmlformats.org/drawingml/2006/main">
                        <a:graphicData uri="http://schemas.microsoft.com/office/word/2010/wordprocessingShape">
                          <wps:wsp>
                            <wps:cNvSpPr txBox="1"/>
                            <wps:spPr>
                              <a:xfrm flipV="1">
                                <a:off x="0" y="0"/>
                                <a:ext cx="2009775" cy="246380"/>
                              </a:xfrm>
                              <a:prstGeom prst="rect">
                                <a:avLst/>
                              </a:prstGeom>
                              <a:noFill/>
                              <a:ln>
                                <a:noFill/>
                              </a:ln>
                            </wps:spPr>
                            <wps:txbx>
                              <w:txbxContent>
                                <w:p w14:paraId="439ACFDA">
                                  <w:pPr>
                                    <w:spacing w:before="19" w:line="222" w:lineRule="auto"/>
                                    <w:ind w:left="20"/>
                                    <w:rPr>
                                      <w:rFonts w:ascii="微软雅黑" w:hAnsi="微软雅黑" w:eastAsia="微软雅黑" w:cs="微软雅黑"/>
                                      <w:sz w:val="24"/>
                                      <w:szCs w:val="24"/>
                                    </w:rPr>
                                  </w:pPr>
                                  <w:r>
                                    <w:rPr>
                                      <w:rFonts w:ascii="微软雅黑" w:hAnsi="微软雅黑" w:eastAsia="微软雅黑" w:cs="微软雅黑"/>
                                      <w:sz w:val="24"/>
                                      <w:szCs w:val="24"/>
                                    </w:rPr>
                                    <w:t>L</w:t>
                                  </w:r>
                                  <w:r>
                                    <w:rPr>
                                      <w:rFonts w:ascii="微软雅黑" w:hAnsi="微软雅黑" w:eastAsia="微软雅黑" w:cs="微软雅黑"/>
                                      <w:spacing w:val="-3"/>
                                      <w:sz w:val="24"/>
                                      <w:szCs w:val="24"/>
                                    </w:rPr>
                                    <w:t xml:space="preserve"> </w:t>
                                  </w:r>
                                  <w:r>
                                    <w:rPr>
                                      <w:rFonts w:ascii="Times New Roman" w:hAnsi="Times New Roman" w:eastAsia="Times New Roman" w:cs="Times New Roman"/>
                                      <w:i/>
                                      <w:iCs/>
                                      <w:sz w:val="14"/>
                                      <w:szCs w:val="14"/>
                                    </w:rPr>
                                    <w:t>i</w:t>
                                  </w:r>
                                  <w:r>
                                    <w:rPr>
                                      <w:rFonts w:ascii="微软雅黑" w:hAnsi="微软雅黑" w:eastAsia="微软雅黑" w:cs="微软雅黑"/>
                                      <w:spacing w:val="-3"/>
                                      <w:sz w:val="14"/>
                                      <w:szCs w:val="14"/>
                                    </w:rPr>
                                    <w:t>=</w:t>
                                  </w:r>
                                  <w:r>
                                    <w:rPr>
                                      <w:rFonts w:ascii="Times New Roman" w:hAnsi="Times New Roman" w:eastAsia="Times New Roman" w:cs="Times New Roman"/>
                                      <w:spacing w:val="-3"/>
                                      <w:sz w:val="14"/>
                                      <w:szCs w:val="14"/>
                                    </w:rPr>
                                    <w:t xml:space="preserve">1                              </w:t>
                                  </w:r>
                                </w:p>
                              </w:txbxContent>
                            </wps:txbx>
                            <wps:bodyPr lIns="0" tIns="0" rIns="0" bIns="0" upright="1"/>
                          </wps:wsp>
                        </a:graphicData>
                      </a:graphic>
                    </wp:anchor>
                  </w:drawing>
                </mc:Choice>
                <mc:Fallback>
                  <w:pict>
                    <v:shape id="_x0000_s1026" o:spid="_x0000_s1026" o:spt="202" type="#_x0000_t202" style="position:absolute;left:0pt;flip:y;margin-left:200.7pt;margin-top:23.95pt;height:19.4pt;width:158.25pt;z-index:251662336;mso-width-relative:page;mso-height-relative:page;" filled="f" stroked="f" coordsize="21600,21600" o:gfxdata="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7gn9V1wAAAAkBAAAPAAAAAAAAAAEAIAAAACIAAABkcnMvZG93bnJl&#10;di54bWxQSwECFAAUAAAACACHTuJA0yBe6MUBAACAAwAADgAAAAAAAAABACAAAAAmAQAAZHJzL2Uy&#10;b0RvYy54bWxQSwUGAAAAAAYABgBZAQAAXQUAAAAA&#10;">
                      <v:fill on="f" focussize="0,0"/>
                      <v:stroke on="f"/>
                      <v:imagedata o:title=""/>
                      <o:lock v:ext="edit" aspectratio="f"/>
                      <v:textbox inset="0mm,0mm,0mm,0mm">
                        <w:txbxContent>
                          <w:p w14:paraId="439ACFDA">
                            <w:pPr>
                              <w:spacing w:before="19" w:line="222" w:lineRule="auto"/>
                              <w:ind w:left="20"/>
                              <w:rPr>
                                <w:rFonts w:ascii="微软雅黑" w:hAnsi="微软雅黑" w:eastAsia="微软雅黑" w:cs="微软雅黑"/>
                                <w:sz w:val="24"/>
                                <w:szCs w:val="24"/>
                              </w:rPr>
                            </w:pPr>
                            <w:r>
                              <w:rPr>
                                <w:rFonts w:ascii="微软雅黑" w:hAnsi="微软雅黑" w:eastAsia="微软雅黑" w:cs="微软雅黑"/>
                                <w:sz w:val="24"/>
                                <w:szCs w:val="24"/>
                              </w:rPr>
                              <w:t>L</w:t>
                            </w:r>
                            <w:r>
                              <w:rPr>
                                <w:rFonts w:ascii="微软雅黑" w:hAnsi="微软雅黑" w:eastAsia="微软雅黑" w:cs="微软雅黑"/>
                                <w:spacing w:val="-3"/>
                                <w:sz w:val="24"/>
                                <w:szCs w:val="24"/>
                              </w:rPr>
                              <w:t xml:space="preserve"> </w:t>
                            </w:r>
                            <w:r>
                              <w:rPr>
                                <w:rFonts w:ascii="Times New Roman" w:hAnsi="Times New Roman" w:eastAsia="Times New Roman" w:cs="Times New Roman"/>
                                <w:i/>
                                <w:iCs/>
                                <w:sz w:val="14"/>
                                <w:szCs w:val="14"/>
                              </w:rPr>
                              <w:t>i</w:t>
                            </w:r>
                            <w:r>
                              <w:rPr>
                                <w:rFonts w:ascii="微软雅黑" w:hAnsi="微软雅黑" w:eastAsia="微软雅黑" w:cs="微软雅黑"/>
                                <w:spacing w:val="-3"/>
                                <w:sz w:val="14"/>
                                <w:szCs w:val="14"/>
                              </w:rPr>
                              <w:t>=</w:t>
                            </w:r>
                            <w:r>
                              <w:rPr>
                                <w:rFonts w:ascii="Times New Roman" w:hAnsi="Times New Roman" w:eastAsia="Times New Roman" w:cs="Times New Roman"/>
                                <w:spacing w:val="-3"/>
                                <w:sz w:val="14"/>
                                <w:szCs w:val="14"/>
                              </w:rPr>
                              <w:t xml:space="preserve">1                              </w:t>
                            </w:r>
                          </w:p>
                        </w:txbxContent>
                      </v:textbox>
                    </v:shape>
                  </w:pict>
                </mc:Fallback>
              </mc:AlternateContent>
            </w:r>
            <w:r>
              <w:rPr>
                <w:rFonts w:hint="default" w:ascii="Times New Roman" w:hAnsi="Times New Roman" w:eastAsia="Times New Roman" w:cs="Times New Roman"/>
                <w:i/>
                <w:iCs/>
                <w:color w:val="000000" w:themeColor="text1"/>
                <w:spacing w:val="-8"/>
                <w:position w:val="-3"/>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8"/>
                <w:position w:val="-9"/>
                <w:sz w:val="21"/>
                <w:szCs w:val="21"/>
                <w14:textFill>
                  <w14:solidFill>
                    <w14:schemeClr w14:val="tx1"/>
                  </w14:solidFill>
                </w14:textFill>
              </w:rPr>
              <w:t>A</w:t>
            </w:r>
            <w:r>
              <w:rPr>
                <w:rFonts w:hint="default" w:ascii="Times New Roman" w:hAnsi="Times New Roman" w:eastAsia="Times New Roman" w:cs="Times New Roman"/>
                <w:color w:val="000000" w:themeColor="text1"/>
                <w:spacing w:val="-16"/>
                <w:position w:val="-9"/>
                <w:sz w:val="21"/>
                <w:szCs w:val="21"/>
                <w14:textFill>
                  <w14:solidFill>
                    <w14:schemeClr w14:val="tx1"/>
                  </w14:solidFill>
                </w14:textFill>
              </w:rPr>
              <w:t xml:space="preserve">  </w:t>
            </w:r>
            <w:r>
              <w:rPr>
                <w:rFonts w:hint="default" w:ascii="Times New Roman" w:hAnsi="Times New Roman" w:eastAsia="微软雅黑" w:cs="Times New Roman"/>
                <w:color w:val="000000" w:themeColor="text1"/>
                <w:spacing w:val="-8"/>
                <w:position w:val="-3"/>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8"/>
                <w:position w:val="-3"/>
                <w:sz w:val="21"/>
                <w:szCs w:val="21"/>
                <w14:textFill>
                  <w14:solidFill>
                    <w14:schemeClr w14:val="tx1"/>
                  </w14:solidFill>
                </w14:textFill>
              </w:rPr>
              <w:t>10lg</w:t>
            </w:r>
            <w:r>
              <w:rPr>
                <w:rFonts w:hint="default" w:ascii="Times New Roman" w:hAnsi="Times New Roman" w:eastAsia="微软雅黑" w:cs="Times New Roman"/>
                <w:color w:val="000000" w:themeColor="text1"/>
                <w:spacing w:val="-8"/>
                <w:sz w:val="21"/>
                <w:szCs w:val="21"/>
                <w14:textFill>
                  <w14:solidFill>
                    <w14:schemeClr w14:val="tx1"/>
                  </w14:solidFill>
                </w14:textFill>
              </w:rPr>
              <w:t>「|</w:t>
            </w:r>
            <w:r>
              <w:rPr>
                <w:rFonts w:hint="default" w:ascii="Times New Roman" w:hAnsi="Times New Roman" w:eastAsia="微软雅黑" w:cs="Times New Roman"/>
                <w:color w:val="000000" w:themeColor="text1"/>
                <w:spacing w:val="-8"/>
                <w:position w:val="-8"/>
                <w:sz w:val="21"/>
                <w:szCs w:val="21"/>
                <w14:textFill>
                  <w14:solidFill>
                    <w14:schemeClr w14:val="tx1"/>
                  </w14:solidFill>
                </w14:textFill>
              </w:rPr>
              <w:t>x</w:t>
            </w:r>
            <w:r>
              <w:rPr>
                <w:rFonts w:hint="default" w:ascii="Times New Roman" w:hAnsi="Times New Roman" w:eastAsia="Times New Roman" w:cs="Times New Roman"/>
                <w:i/>
                <w:iCs/>
                <w:color w:val="000000" w:themeColor="text1"/>
                <w:spacing w:val="-8"/>
                <w:position w:val="21"/>
                <w:sz w:val="21"/>
                <w:szCs w:val="21"/>
                <w14:textFill>
                  <w14:solidFill>
                    <w14:schemeClr w14:val="tx1"/>
                  </w14:solidFill>
                </w14:textFill>
              </w:rPr>
              <w:t>n</w:t>
            </w:r>
            <w:r>
              <w:rPr>
                <w:rFonts w:hint="default" w:ascii="Times New Roman" w:hAnsi="Times New Roman" w:eastAsia="Times New Roman" w:cs="Times New Roman"/>
                <w:color w:val="000000" w:themeColor="text1"/>
                <w:spacing w:val="-8"/>
                <w:position w:val="-3"/>
                <w:sz w:val="21"/>
                <w:szCs w:val="21"/>
                <w14:textFill>
                  <w14:solidFill>
                    <w14:schemeClr w14:val="tx1"/>
                  </w14:solidFill>
                </w14:textFill>
              </w:rPr>
              <w:t>10</w:t>
            </w:r>
            <w:r>
              <w:rPr>
                <w:rFonts w:hint="default" w:ascii="Times New Roman" w:hAnsi="Times New Roman" w:eastAsia="Times New Roman" w:cs="Times New Roman"/>
                <w:color w:val="000000" w:themeColor="text1"/>
                <w:spacing w:val="-8"/>
                <w:position w:val="10"/>
                <w:sz w:val="21"/>
                <w:szCs w:val="21"/>
                <w14:textFill>
                  <w14:solidFill>
                    <w14:schemeClr w14:val="tx1"/>
                  </w14:solidFill>
                </w14:textFill>
              </w:rPr>
              <w:t>0. 1</w:t>
            </w:r>
            <w:r>
              <w:rPr>
                <w:rFonts w:hint="default" w:ascii="Times New Roman" w:hAnsi="Times New Roman" w:eastAsia="微软雅黑" w:cs="Times New Roman"/>
                <w:color w:val="000000" w:themeColor="text1"/>
                <w:spacing w:val="-8"/>
                <w:position w:val="10"/>
                <w:sz w:val="21"/>
                <w:szCs w:val="21"/>
                <w14:textFill>
                  <w14:solidFill>
                    <w14:schemeClr w14:val="tx1"/>
                  </w14:solidFill>
                </w14:textFill>
              </w:rPr>
              <w:t>(</w:t>
            </w:r>
            <w:r>
              <w:rPr>
                <w:rFonts w:hint="default" w:ascii="Times New Roman" w:hAnsi="Times New Roman" w:eastAsia="Times New Roman" w:cs="Times New Roman"/>
                <w:i/>
                <w:iCs/>
                <w:color w:val="000000" w:themeColor="text1"/>
                <w:spacing w:val="-8"/>
                <w:position w:val="10"/>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8"/>
                <w:position w:val="6"/>
                <w:sz w:val="21"/>
                <w:szCs w:val="21"/>
                <w14:textFill>
                  <w14:solidFill>
                    <w14:schemeClr w14:val="tx1"/>
                  </w14:solidFill>
                </w14:textFill>
              </w:rPr>
              <w:t>pi</w:t>
            </w:r>
            <w:r>
              <w:rPr>
                <w:rFonts w:hint="default" w:ascii="Times New Roman" w:hAnsi="Times New Roman" w:eastAsia="Times New Roman" w:cs="Times New Roman"/>
                <w:color w:val="000000" w:themeColor="text1"/>
                <w:spacing w:val="-8"/>
                <w:position w:val="6"/>
                <w:sz w:val="21"/>
                <w:szCs w:val="21"/>
                <w14:textFill>
                  <w14:solidFill>
                    <w14:schemeClr w14:val="tx1"/>
                  </w14:solidFill>
                </w14:textFill>
              </w:rPr>
              <w:t xml:space="preserve"> </w:t>
            </w:r>
            <w:r>
              <w:rPr>
                <w:rFonts w:hint="default" w:ascii="Times New Roman" w:hAnsi="Times New Roman" w:eastAsia="微软雅黑" w:cs="Times New Roman"/>
                <w:color w:val="000000" w:themeColor="text1"/>
                <w:spacing w:val="-8"/>
                <w:position w:val="10"/>
                <w:sz w:val="21"/>
                <w:szCs w:val="21"/>
                <w14:textFill>
                  <w14:solidFill>
                    <w14:schemeClr w14:val="tx1"/>
                  </w14:solidFill>
                </w14:textFill>
              </w:rPr>
              <w:t>-编</w:t>
            </w:r>
            <w:r>
              <w:rPr>
                <w:rFonts w:hint="default" w:ascii="Times New Roman" w:hAnsi="Times New Roman" w:eastAsia="Times New Roman" w:cs="Times New Roman"/>
                <w:i/>
                <w:iCs/>
                <w:color w:val="000000" w:themeColor="text1"/>
                <w:spacing w:val="-8"/>
                <w:position w:val="10"/>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8"/>
                <w:position w:val="6"/>
                <w:sz w:val="21"/>
                <w:szCs w:val="21"/>
                <w14:textFill>
                  <w14:solidFill>
                    <w14:schemeClr w14:val="tx1"/>
                  </w14:solidFill>
                </w14:textFill>
              </w:rPr>
              <w:t>i</w:t>
            </w:r>
            <w:r>
              <w:rPr>
                <w:rFonts w:hint="default" w:ascii="Times New Roman" w:hAnsi="Times New Roman" w:eastAsia="Times New Roman" w:cs="Times New Roman"/>
                <w:color w:val="000000" w:themeColor="text1"/>
                <w:spacing w:val="-8"/>
                <w:position w:val="6"/>
                <w:sz w:val="21"/>
                <w:szCs w:val="21"/>
                <w14:textFill>
                  <w14:solidFill>
                    <w14:schemeClr w14:val="tx1"/>
                  </w14:solidFill>
                </w14:textFill>
              </w:rPr>
              <w:t xml:space="preserve"> </w:t>
            </w:r>
            <w:r>
              <w:rPr>
                <w:rFonts w:hint="default" w:ascii="Times New Roman" w:hAnsi="Times New Roman" w:eastAsia="微软雅黑" w:cs="Times New Roman"/>
                <w:color w:val="000000" w:themeColor="text1"/>
                <w:spacing w:val="-8"/>
                <w:position w:val="10"/>
                <w:sz w:val="21"/>
                <w:szCs w:val="21"/>
                <w14:textFill>
                  <w14:solidFill>
                    <w14:schemeClr w14:val="tx1"/>
                  </w14:solidFill>
                </w14:textFill>
              </w:rPr>
              <w:t>)</w:t>
            </w:r>
            <w:r>
              <w:rPr>
                <w:rFonts w:hint="default" w:ascii="Times New Roman" w:hAnsi="Times New Roman" w:eastAsia="微软雅黑" w:cs="Times New Roman"/>
                <w:color w:val="000000" w:themeColor="text1"/>
                <w:spacing w:val="-8"/>
                <w:position w:val="12"/>
                <w:sz w:val="21"/>
                <w:szCs w:val="21"/>
                <w14:textFill>
                  <w14:solidFill>
                    <w14:schemeClr w14:val="tx1"/>
                  </w14:solidFill>
                </w14:textFill>
              </w:rPr>
              <w:t>]</w:t>
            </w:r>
            <w:r>
              <w:rPr>
                <w:rFonts w:hint="default" w:ascii="Times New Roman" w:hAnsi="Times New Roman" w:eastAsia="微软雅黑" w:cs="Times New Roman"/>
                <w:color w:val="000000" w:themeColor="text1"/>
                <w:spacing w:val="-8"/>
                <w:position w:val="-11"/>
                <w:sz w:val="21"/>
                <w:szCs w:val="21"/>
                <w14:textFill>
                  <w14:solidFill>
                    <w14:schemeClr w14:val="tx1"/>
                  </w14:solidFill>
                </w14:textFill>
              </w:rPr>
              <w:t>|</w:t>
            </w:r>
          </w:p>
          <w:p w14:paraId="2E9DBDB8">
            <w:pPr>
              <w:keepNext w:val="0"/>
              <w:keepLines w:val="0"/>
              <w:pageBreakBefore w:val="0"/>
              <w:widowControl w:val="0"/>
              <w:kinsoku/>
              <w:wordWrap/>
              <w:overflowPunct/>
              <w:topLinePunct w:val="0"/>
              <w:autoSpaceDE/>
              <w:autoSpaceDN/>
              <w:bidi w:val="0"/>
              <w:adjustRightInd/>
              <w:snapToGrid/>
              <w:spacing w:line="360" w:lineRule="auto"/>
              <w:ind w:left="0" w:right="0" w:firstLine="436"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position w:val="1"/>
                <w:sz w:val="21"/>
                <w:szCs w:val="21"/>
                <w14:textFill>
                  <w14:solidFill>
                    <w14:schemeClr w14:val="tx1"/>
                  </w14:solidFill>
                </w14:textFill>
              </w:rPr>
              <w:t>式中</w:t>
            </w:r>
            <w:r>
              <w:rPr>
                <w:rFonts w:hint="default" w:ascii="Times New Roman" w:hAnsi="Times New Roman" w:eastAsia="Times New Roman" w:cs="Times New Roman"/>
                <w:color w:val="000000" w:themeColor="text1"/>
                <w:spacing w:val="4"/>
                <w:position w:val="1"/>
                <w:sz w:val="21"/>
                <w:szCs w:val="21"/>
                <w14:textFill>
                  <w14:solidFill>
                    <w14:schemeClr w14:val="tx1"/>
                  </w14:solidFill>
                </w14:textFill>
              </w:rPr>
              <w:t>Δ</w:t>
            </w:r>
            <w:r>
              <w:rPr>
                <w:rFonts w:hint="default" w:ascii="Times New Roman" w:hAnsi="Times New Roman" w:eastAsia="Times New Roman" w:cs="Times New Roman"/>
                <w:color w:val="000000" w:themeColor="text1"/>
                <w:position w:val="1"/>
                <w:sz w:val="21"/>
                <w:szCs w:val="21"/>
                <w14:textFill>
                  <w14:solidFill>
                    <w14:schemeClr w14:val="tx1"/>
                  </w14:solidFill>
                </w14:textFill>
              </w:rPr>
              <w:t>Li</w:t>
            </w:r>
            <w:r>
              <w:rPr>
                <w:rFonts w:hint="default" w:ascii="Times New Roman" w:hAnsi="Times New Roman" w:eastAsia="Times New Roman" w:cs="Times New Roman"/>
                <w:color w:val="000000" w:themeColor="text1"/>
                <w:spacing w:val="4"/>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4"/>
                <w:position w:val="1"/>
                <w:sz w:val="21"/>
                <w:szCs w:val="21"/>
                <w14:textFill>
                  <w14:solidFill>
                    <w14:schemeClr w14:val="tx1"/>
                  </w14:solidFill>
                </w14:textFill>
              </w:rPr>
              <w:t xml:space="preserve">为 </w:t>
            </w:r>
            <w:r>
              <w:rPr>
                <w:rFonts w:hint="default" w:ascii="Times New Roman" w:hAnsi="Times New Roman" w:eastAsia="Times New Roman" w:cs="Times New Roman"/>
                <w:color w:val="000000" w:themeColor="text1"/>
                <w:position w:val="1"/>
                <w:sz w:val="21"/>
                <w:szCs w:val="21"/>
                <w14:textFill>
                  <w14:solidFill>
                    <w14:schemeClr w14:val="tx1"/>
                  </w14:solidFill>
                </w14:textFill>
              </w:rPr>
              <w:t>A</w:t>
            </w:r>
            <w:r>
              <w:rPr>
                <w:rFonts w:hint="default" w:ascii="Times New Roman" w:hAnsi="Times New Roman" w:eastAsia="Times New Roman" w:cs="Times New Roman"/>
                <w:color w:val="000000" w:themeColor="text1"/>
                <w:spacing w:val="4"/>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4"/>
                <w:position w:val="1"/>
                <w:sz w:val="21"/>
                <w:szCs w:val="21"/>
                <w14:textFill>
                  <w14:solidFill>
                    <w14:schemeClr w14:val="tx1"/>
                  </w14:solidFill>
                </w14:textFill>
              </w:rPr>
              <w:t>计权网络修正值</w:t>
            </w:r>
            <w:r>
              <w:rPr>
                <w:rFonts w:hint="default" w:ascii="Times New Roman" w:hAnsi="Times New Roman" w:eastAsia="宋体" w:cs="Times New Roman"/>
                <w:color w:val="000000" w:themeColor="text1"/>
                <w:spacing w:val="1"/>
                <w:position w:val="1"/>
                <w:sz w:val="21"/>
                <w:szCs w:val="21"/>
                <w14:textFill>
                  <w14:solidFill>
                    <w14:schemeClr w14:val="tx1"/>
                  </w14:solidFill>
                </w14:textFill>
              </w:rPr>
              <w:t>。</w:t>
            </w:r>
          </w:p>
          <w:p w14:paraId="33792F9B">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1"/>
                <w:sz w:val="21"/>
                <w:szCs w:val="21"/>
                <w14:textFill>
                  <w14:solidFill>
                    <w14:schemeClr w14:val="tx1"/>
                  </w14:solidFill>
                </w14:textFill>
              </w:rPr>
              <w:t>d</w:t>
            </w:r>
            <w:r>
              <w:rPr>
                <w:rFonts w:hint="default" w:ascii="Times New Roman" w:hAnsi="Times New Roman" w:eastAsia="Times New Roman" w:cs="Times New Roman"/>
                <w:color w:val="000000" w:themeColor="text1"/>
                <w:spacing w:val="14"/>
                <w:position w:val="1"/>
                <w:sz w:val="21"/>
                <w:szCs w:val="21"/>
                <w14:textFill>
                  <w14:solidFill>
                    <w14:schemeClr w14:val="tx1"/>
                  </w14:solidFill>
                </w14:textFill>
              </w:rPr>
              <w:t>.</w:t>
            </w:r>
            <w:r>
              <w:rPr>
                <w:rFonts w:hint="default" w:ascii="Times New Roman" w:hAnsi="Times New Roman" w:eastAsia="宋体" w:cs="Times New Roman"/>
                <w:color w:val="000000" w:themeColor="text1"/>
                <w:spacing w:val="9"/>
                <w:position w:val="1"/>
                <w:sz w:val="21"/>
                <w:szCs w:val="21"/>
                <w14:textFill>
                  <w14:solidFill>
                    <w14:schemeClr w14:val="tx1"/>
                  </w14:solidFill>
                </w14:textFill>
              </w:rPr>
              <w:t>各声源在预测点产生的声级的合成</w:t>
            </w:r>
          </w:p>
          <w:p w14:paraId="61813727">
            <w:pPr>
              <w:keepNext w:val="0"/>
              <w:keepLines w:val="0"/>
              <w:pageBreakBefore w:val="0"/>
              <w:widowControl w:val="0"/>
              <w:kinsoku/>
              <w:wordWrap/>
              <w:overflowPunct/>
              <w:topLinePunct w:val="0"/>
              <w:autoSpaceDE/>
              <w:autoSpaceDN/>
              <w:bidi w:val="0"/>
              <w:adjustRightInd/>
              <w:snapToGrid/>
              <w:spacing w:line="360" w:lineRule="auto"/>
              <w:ind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i/>
                <w:iCs/>
                <w:color w:val="000000" w:themeColor="text1"/>
                <w:position w:val="3"/>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2"/>
                <w:sz w:val="21"/>
                <w:szCs w:val="21"/>
                <w14:textFill>
                  <w14:solidFill>
                    <w14:schemeClr w14:val="tx1"/>
                  </w14:solidFill>
                </w14:textFill>
              </w:rPr>
              <w:t>TP</w:t>
            </w:r>
            <w:r>
              <w:rPr>
                <w:rFonts w:hint="default" w:ascii="Times New Roman" w:hAnsi="Times New Roman" w:eastAsia="Times New Roman" w:cs="Times New Roman"/>
                <w:color w:val="000000" w:themeColor="text1"/>
                <w:spacing w:val="6"/>
                <w:position w:val="-2"/>
                <w:sz w:val="21"/>
                <w:szCs w:val="21"/>
                <w14:textFill>
                  <w14:solidFill>
                    <w14:schemeClr w14:val="tx1"/>
                  </w14:solidFill>
                </w14:textFill>
              </w:rPr>
              <w:t xml:space="preserve">   </w:t>
            </w:r>
            <w:r>
              <w:rPr>
                <w:rFonts w:hint="default" w:ascii="Times New Roman" w:hAnsi="Times New Roman" w:eastAsia="微软雅黑" w:cs="Times New Roman"/>
                <w:color w:val="000000" w:themeColor="text1"/>
                <w:spacing w:val="5"/>
                <w:position w:val="3"/>
                <w:sz w:val="21"/>
                <w:szCs w:val="21"/>
                <w14:textFill>
                  <w14:solidFill>
                    <w14:schemeClr w14:val="tx1"/>
                  </w14:solidFill>
                </w14:textFill>
              </w:rPr>
              <w:t>=</w:t>
            </w:r>
            <w:r>
              <w:rPr>
                <w:rFonts w:hint="default" w:ascii="Times New Roman" w:hAnsi="Times New Roman" w:eastAsia="微软雅黑" w:cs="Times New Roman"/>
                <w:color w:val="000000" w:themeColor="text1"/>
                <w:spacing w:val="3"/>
                <w:position w:val="3"/>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3"/>
                <w:position w:val="3"/>
                <w:sz w:val="21"/>
                <w:szCs w:val="21"/>
                <w14:textFill>
                  <w14:solidFill>
                    <w14:schemeClr w14:val="tx1"/>
                  </w14:solidFill>
                </w14:textFill>
              </w:rPr>
              <w:t>10</w:t>
            </w:r>
            <w:r>
              <w:rPr>
                <w:rFonts w:hint="default" w:ascii="Times New Roman" w:hAnsi="Times New Roman" w:eastAsia="Times New Roman" w:cs="Times New Roman"/>
                <w:color w:val="000000" w:themeColor="text1"/>
                <w:position w:val="3"/>
                <w:sz w:val="21"/>
                <w:szCs w:val="21"/>
                <w14:textFill>
                  <w14:solidFill>
                    <w14:schemeClr w14:val="tx1"/>
                  </w14:solidFill>
                </w14:textFill>
              </w:rPr>
              <w:t>lg</w:t>
            </w:r>
            <w:r>
              <w:rPr>
                <w:rFonts w:hint="default" w:ascii="Times New Roman" w:hAnsi="Times New Roman" w:cs="Times New Roman"/>
                <w:color w:val="000000" w:themeColor="text1"/>
                <w:position w:val="-24"/>
                <w:sz w:val="21"/>
                <w:szCs w:val="21"/>
                <w14:textFill>
                  <w14:solidFill>
                    <w14:schemeClr w14:val="tx1"/>
                  </w14:solidFill>
                </w14:textFill>
              </w:rPr>
              <w:drawing>
                <wp:inline distT="0" distB="0" distL="0" distR="0">
                  <wp:extent cx="62230" cy="422910"/>
                  <wp:effectExtent l="0" t="0" r="13970" b="15240"/>
                  <wp:docPr id="335" name="IM 10"/>
                  <wp:cNvGraphicFramePr/>
                  <a:graphic xmlns:a="http://schemas.openxmlformats.org/drawingml/2006/main">
                    <a:graphicData uri="http://schemas.openxmlformats.org/drawingml/2006/picture">
                      <pic:pic xmlns:pic="http://schemas.openxmlformats.org/drawingml/2006/picture">
                        <pic:nvPicPr>
                          <pic:cNvPr id="335" name="IM 10"/>
                          <pic:cNvPicPr/>
                        </pic:nvPicPr>
                        <pic:blipFill>
                          <a:blip r:embed="rId11"/>
                          <a:stretch>
                            <a:fillRect/>
                          </a:stretch>
                        </pic:blipFill>
                        <pic:spPr>
                          <a:xfrm>
                            <a:off x="0" y="0"/>
                            <a:ext cx="62365" cy="423148"/>
                          </a:xfrm>
                          <a:prstGeom prst="rect">
                            <a:avLst/>
                          </a:prstGeom>
                        </pic:spPr>
                      </pic:pic>
                    </a:graphicData>
                  </a:graphic>
                </wp:inline>
              </w:drawing>
            </w:r>
            <w:r>
              <w:rPr>
                <w:rFonts w:hint="default" w:ascii="Times New Roman" w:hAnsi="Times New Roman" w:cs="Times New Roman"/>
                <w:color w:val="000000" w:themeColor="text1"/>
                <w:position w:val="-22"/>
                <w:sz w:val="21"/>
                <w:szCs w:val="21"/>
                <w14:textFill>
                  <w14:solidFill>
                    <w14:schemeClr w14:val="tx1"/>
                  </w14:solidFill>
                </w14:textFill>
              </w:rPr>
              <w:drawing>
                <wp:inline distT="0" distB="0" distL="0" distR="0">
                  <wp:extent cx="168275" cy="361950"/>
                  <wp:effectExtent l="0" t="0" r="3175" b="0"/>
                  <wp:docPr id="336" name="IM 11"/>
                  <wp:cNvGraphicFramePr/>
                  <a:graphic xmlns:a="http://schemas.openxmlformats.org/drawingml/2006/main">
                    <a:graphicData uri="http://schemas.openxmlformats.org/drawingml/2006/picture">
                      <pic:pic xmlns:pic="http://schemas.openxmlformats.org/drawingml/2006/picture">
                        <pic:nvPicPr>
                          <pic:cNvPr id="336" name="IM 11"/>
                          <pic:cNvPicPr/>
                        </pic:nvPicPr>
                        <pic:blipFill>
                          <a:blip r:embed="rId12"/>
                          <a:stretch>
                            <a:fillRect/>
                          </a:stretch>
                        </pic:blipFill>
                        <pic:spPr>
                          <a:xfrm>
                            <a:off x="0" y="0"/>
                            <a:ext cx="168778" cy="362331"/>
                          </a:xfrm>
                          <a:prstGeom prst="rect">
                            <a:avLst/>
                          </a:prstGeom>
                        </pic:spPr>
                      </pic:pic>
                    </a:graphicData>
                  </a:graphic>
                </wp:inline>
              </w:drawing>
            </w:r>
            <w:r>
              <w:rPr>
                <w:rFonts w:hint="default" w:ascii="Times New Roman" w:hAnsi="Times New Roman" w:eastAsia="Times New Roman" w:cs="Times New Roman"/>
                <w:color w:val="000000" w:themeColor="text1"/>
                <w:spacing w:val="3"/>
                <w:position w:val="3"/>
                <w:sz w:val="21"/>
                <w:szCs w:val="21"/>
                <w14:textFill>
                  <w14:solidFill>
                    <w14:schemeClr w14:val="tx1"/>
                  </w14:solidFill>
                </w14:textFill>
              </w:rPr>
              <w:t>10</w:t>
            </w:r>
            <w:r>
              <w:rPr>
                <w:rFonts w:hint="default" w:ascii="Times New Roman" w:hAnsi="Times New Roman" w:eastAsia="Times New Roman" w:cs="Times New Roman"/>
                <w:color w:val="000000" w:themeColor="text1"/>
                <w:spacing w:val="3"/>
                <w:position w:val="16"/>
                <w:sz w:val="21"/>
                <w:szCs w:val="21"/>
                <w14:textFill>
                  <w14:solidFill>
                    <w14:schemeClr w14:val="tx1"/>
                  </w14:solidFill>
                </w14:textFill>
              </w:rPr>
              <w:t>0. 1</w:t>
            </w:r>
            <w:r>
              <w:rPr>
                <w:rFonts w:hint="default" w:ascii="Times New Roman" w:hAnsi="Times New Roman" w:eastAsia="Times New Roman" w:cs="Times New Roman"/>
                <w:i/>
                <w:iCs/>
                <w:color w:val="000000" w:themeColor="text1"/>
                <w:position w:val="16"/>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13"/>
                <w:sz w:val="21"/>
                <w:szCs w:val="21"/>
                <w14:textFill>
                  <w14:solidFill>
                    <w14:schemeClr w14:val="tx1"/>
                  </w14:solidFill>
                </w14:textFill>
              </w:rPr>
              <w:t>pi</w:t>
            </w:r>
            <w:r>
              <w:rPr>
                <w:rFonts w:hint="default" w:ascii="Times New Roman" w:hAnsi="Times New Roman" w:eastAsia="Times New Roman" w:cs="Times New Roman"/>
                <w:color w:val="000000" w:themeColor="text1"/>
                <w:spacing w:val="3"/>
                <w:position w:val="13"/>
                <w:sz w:val="21"/>
                <w:szCs w:val="21"/>
                <w14:textFill>
                  <w14:solidFill>
                    <w14:schemeClr w14:val="tx1"/>
                  </w14:solidFill>
                </w14:textFill>
              </w:rPr>
              <w:t xml:space="preserve">  </w:t>
            </w:r>
            <w:r>
              <w:rPr>
                <w:rFonts w:hint="default" w:ascii="Times New Roman" w:hAnsi="Times New Roman" w:cs="Times New Roman"/>
                <w:color w:val="000000" w:themeColor="text1"/>
                <w:position w:val="-24"/>
                <w:sz w:val="21"/>
                <w:szCs w:val="21"/>
                <w14:textFill>
                  <w14:solidFill>
                    <w14:schemeClr w14:val="tx1"/>
                  </w14:solidFill>
                </w14:textFill>
              </w:rPr>
              <w:drawing>
                <wp:inline distT="0" distB="0" distL="0" distR="0">
                  <wp:extent cx="59055" cy="422910"/>
                  <wp:effectExtent l="0" t="0" r="17145" b="15240"/>
                  <wp:docPr id="337" name="IM 12"/>
                  <wp:cNvGraphicFramePr/>
                  <a:graphic xmlns:a="http://schemas.openxmlformats.org/drawingml/2006/main">
                    <a:graphicData uri="http://schemas.openxmlformats.org/drawingml/2006/picture">
                      <pic:pic xmlns:pic="http://schemas.openxmlformats.org/drawingml/2006/picture">
                        <pic:nvPicPr>
                          <pic:cNvPr id="337" name="IM 12"/>
                          <pic:cNvPicPr/>
                        </pic:nvPicPr>
                        <pic:blipFill>
                          <a:blip r:embed="rId13"/>
                          <a:stretch>
                            <a:fillRect/>
                          </a:stretch>
                        </pic:blipFill>
                        <pic:spPr>
                          <a:xfrm>
                            <a:off x="0" y="0"/>
                            <a:ext cx="59597" cy="423148"/>
                          </a:xfrm>
                          <a:prstGeom prst="rect">
                            <a:avLst/>
                          </a:prstGeom>
                        </pic:spPr>
                      </pic:pic>
                    </a:graphicData>
                  </a:graphic>
                </wp:inline>
              </w:drawing>
            </w:r>
          </w:p>
          <w:p w14:paraId="5BF11E05">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outlineLv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0"/>
                <w:sz w:val="21"/>
                <w:szCs w:val="21"/>
                <w14:textFill>
                  <w14:solidFill>
                    <w14:schemeClr w14:val="tx1"/>
                  </w14:solidFill>
                </w14:textFill>
              </w:rPr>
              <w:t>②</w:t>
            </w:r>
            <w:r>
              <w:rPr>
                <w:rFonts w:hint="default" w:ascii="Times New Roman" w:hAnsi="Times New Roman" w:eastAsia="宋体" w:cs="Times New Roman"/>
                <w:color w:val="000000" w:themeColor="text1"/>
                <w:spacing w:val="19"/>
                <w:sz w:val="21"/>
                <w:szCs w:val="21"/>
                <w14:textFill>
                  <w14:solidFill>
                    <w14:schemeClr w14:val="tx1"/>
                  </w14:solidFill>
                </w14:textFill>
              </w:rPr>
              <w:t>室内点声源的预测</w:t>
            </w:r>
          </w:p>
          <w:p w14:paraId="3F970146">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a</w:t>
            </w:r>
            <w:r>
              <w:rPr>
                <w:rFonts w:hint="default" w:ascii="Times New Roman" w:hAnsi="Times New Roman" w:eastAsia="Times New Roman" w:cs="Times New Roman"/>
                <w:color w:val="000000" w:themeColor="text1"/>
                <w:spacing w:val="16"/>
                <w:sz w:val="21"/>
                <w:szCs w:val="21"/>
                <w14:textFill>
                  <w14:solidFill>
                    <w14:schemeClr w14:val="tx1"/>
                  </w14:solidFill>
                </w14:textFill>
              </w:rPr>
              <w:t>.</w:t>
            </w:r>
            <w:r>
              <w:rPr>
                <w:rFonts w:hint="default" w:ascii="Times New Roman" w:hAnsi="Times New Roman" w:eastAsia="宋体" w:cs="Times New Roman"/>
                <w:color w:val="000000" w:themeColor="text1"/>
                <w:spacing w:val="13"/>
                <w:sz w:val="21"/>
                <w:szCs w:val="21"/>
                <w14:textFill>
                  <w14:solidFill>
                    <w14:schemeClr w14:val="tx1"/>
                  </w14:solidFill>
                </w14:textFill>
              </w:rPr>
              <w:t>室</w:t>
            </w:r>
            <w:r>
              <w:rPr>
                <w:rFonts w:hint="default" w:ascii="Times New Roman" w:hAnsi="Times New Roman" w:eastAsia="宋体" w:cs="Times New Roman"/>
                <w:color w:val="000000" w:themeColor="text1"/>
                <w:spacing w:val="8"/>
                <w:sz w:val="21"/>
                <w:szCs w:val="21"/>
                <w14:textFill>
                  <w14:solidFill>
                    <w14:schemeClr w14:val="tx1"/>
                  </w14:solidFill>
                </w14:textFill>
              </w:rPr>
              <w:t>内靠近围护结构处的倍频带声压级：</w:t>
            </w:r>
          </w:p>
          <w:p w14:paraId="51A2595C">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0" distR="0">
                  <wp:extent cx="1957705" cy="528320"/>
                  <wp:effectExtent l="0" t="0" r="4445" b="5080"/>
                  <wp:docPr id="338" name="IM 13"/>
                  <wp:cNvGraphicFramePr/>
                  <a:graphic xmlns:a="http://schemas.openxmlformats.org/drawingml/2006/main">
                    <a:graphicData uri="http://schemas.openxmlformats.org/drawingml/2006/picture">
                      <pic:pic xmlns:pic="http://schemas.openxmlformats.org/drawingml/2006/picture">
                        <pic:nvPicPr>
                          <pic:cNvPr id="338" name="IM 13"/>
                          <pic:cNvPicPr/>
                        </pic:nvPicPr>
                        <pic:blipFill>
                          <a:blip r:embed="rId14"/>
                          <a:stretch>
                            <a:fillRect/>
                          </a:stretch>
                        </pic:blipFill>
                        <pic:spPr>
                          <a:xfrm>
                            <a:off x="0" y="0"/>
                            <a:ext cx="1958339" cy="528828"/>
                          </a:xfrm>
                          <a:prstGeom prst="rect">
                            <a:avLst/>
                          </a:prstGeom>
                        </pic:spPr>
                      </pic:pic>
                    </a:graphicData>
                  </a:graphic>
                </wp:inline>
              </w:drawing>
            </w:r>
          </w:p>
          <w:p w14:paraId="58DEF749">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3"/>
                <w:sz w:val="21"/>
                <w:szCs w:val="21"/>
                <w14:textFill>
                  <w14:solidFill>
                    <w14:schemeClr w14:val="tx1"/>
                  </w14:solidFill>
                </w14:textFill>
              </w:rPr>
              <w:t>式</w:t>
            </w:r>
            <w:r>
              <w:rPr>
                <w:rFonts w:hint="default" w:ascii="Times New Roman" w:hAnsi="Times New Roman" w:eastAsia="宋体" w:cs="Times New Roman"/>
                <w:color w:val="000000" w:themeColor="text1"/>
                <w:spacing w:val="8"/>
                <w:sz w:val="21"/>
                <w:szCs w:val="21"/>
                <w14:textFill>
                  <w14:solidFill>
                    <w14:schemeClr w14:val="tx1"/>
                  </w14:solidFill>
                </w14:textFill>
              </w:rPr>
              <w:t>中：</w:t>
            </w:r>
            <w:r>
              <w:rPr>
                <w:rFonts w:hint="default" w:ascii="Times New Roman" w:hAnsi="Times New Roman" w:eastAsia="Times New Roman" w:cs="Times New Roman"/>
                <w:color w:val="000000" w:themeColor="text1"/>
                <w:sz w:val="21"/>
                <w:szCs w:val="21"/>
                <w14:textFill>
                  <w14:solidFill>
                    <w14:schemeClr w14:val="tx1"/>
                  </w14:solidFill>
                </w14:textFill>
              </w:rPr>
              <w:t>r</w:t>
            </w:r>
            <w:r>
              <w:rPr>
                <w:rFonts w:hint="default" w:ascii="Times New Roman" w:hAnsi="Times New Roman" w:eastAsia="Times New Roman" w:cs="Times New Roman"/>
                <w:color w:val="000000" w:themeColor="text1"/>
                <w:spacing w:val="8"/>
                <w:sz w:val="21"/>
                <w:szCs w:val="21"/>
                <w14:textFill>
                  <w14:solidFill>
                    <w14:schemeClr w14:val="tx1"/>
                  </w14:solidFill>
                </w14:textFill>
              </w:rPr>
              <w:t xml:space="preserve">1 </w:t>
            </w:r>
            <w:r>
              <w:rPr>
                <w:rFonts w:hint="default" w:ascii="Times New Roman" w:hAnsi="Times New Roman" w:eastAsia="宋体" w:cs="Times New Roman"/>
                <w:color w:val="000000" w:themeColor="text1"/>
                <w:spacing w:val="8"/>
                <w:sz w:val="21"/>
                <w:szCs w:val="21"/>
                <w14:textFill>
                  <w14:solidFill>
                    <w14:schemeClr w14:val="tx1"/>
                  </w14:solidFill>
                </w14:textFill>
              </w:rPr>
              <w:t>为室内某源距离围护结构的距离；</w:t>
            </w:r>
          </w:p>
          <w:p w14:paraId="292985FB">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outlineLv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R</w:t>
            </w:r>
            <w:r>
              <w:rPr>
                <w:rFonts w:hint="default" w:ascii="Times New Roman" w:hAnsi="Times New Roman" w:eastAsia="Times New Roman" w:cs="Times New Roman"/>
                <w:color w:val="000000" w:themeColor="text1"/>
                <w:spacing w:val="8"/>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8"/>
                <w:sz w:val="21"/>
                <w:szCs w:val="21"/>
                <w14:textFill>
                  <w14:solidFill>
                    <w14:schemeClr w14:val="tx1"/>
                  </w14:solidFill>
                </w14:textFill>
              </w:rPr>
              <w:t>为房间常数</w:t>
            </w:r>
            <w:r>
              <w:rPr>
                <w:rFonts w:hint="default" w:ascii="Times New Roman" w:hAnsi="Times New Roman" w:eastAsia="宋体" w:cs="Times New Roman"/>
                <w:color w:val="000000" w:themeColor="text1"/>
                <w:spacing w:val="7"/>
                <w:sz w:val="21"/>
                <w:szCs w:val="21"/>
                <w14:textFill>
                  <w14:solidFill>
                    <w14:schemeClr w14:val="tx1"/>
                  </w14:solidFill>
                </w14:textFill>
              </w:rPr>
              <w:t>；</w:t>
            </w:r>
          </w:p>
          <w:p w14:paraId="671B6894">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Q</w:t>
            </w:r>
            <w:r>
              <w:rPr>
                <w:rFonts w:hint="default" w:ascii="Times New Roman" w:hAnsi="Times New Roman" w:eastAsia="Times New Roman" w:cs="Times New Roman"/>
                <w:color w:val="000000" w:themeColor="text1"/>
                <w:spacing w:val="1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7"/>
                <w:sz w:val="21"/>
                <w:szCs w:val="21"/>
                <w14:textFill>
                  <w14:solidFill>
                    <w14:schemeClr w14:val="tx1"/>
                  </w14:solidFill>
                </w14:textFill>
              </w:rPr>
              <w:t>为方向性因子。</w:t>
            </w:r>
          </w:p>
          <w:p w14:paraId="0EE6D85C">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1"/>
                <w:sz w:val="21"/>
                <w:szCs w:val="21"/>
                <w14:textFill>
                  <w14:solidFill>
                    <w14:schemeClr w14:val="tx1"/>
                  </w14:solidFill>
                </w14:textFill>
              </w:rPr>
              <w:t>b</w:t>
            </w:r>
            <w:r>
              <w:rPr>
                <w:rFonts w:hint="default" w:ascii="Times New Roman" w:hAnsi="Times New Roman" w:eastAsia="Times New Roman" w:cs="Times New Roman"/>
                <w:color w:val="000000" w:themeColor="text1"/>
                <w:spacing w:val="18"/>
                <w:position w:val="1"/>
                <w:sz w:val="21"/>
                <w:szCs w:val="21"/>
                <w14:textFill>
                  <w14:solidFill>
                    <w14:schemeClr w14:val="tx1"/>
                  </w14:solidFill>
                </w14:textFill>
              </w:rPr>
              <w:t>.</w:t>
            </w:r>
            <w:r>
              <w:rPr>
                <w:rFonts w:hint="default" w:ascii="Times New Roman" w:hAnsi="Times New Roman" w:eastAsia="宋体" w:cs="Times New Roman"/>
                <w:color w:val="000000" w:themeColor="text1"/>
                <w:spacing w:val="11"/>
                <w:position w:val="1"/>
                <w:sz w:val="21"/>
                <w:szCs w:val="21"/>
                <w14:textFill>
                  <w14:solidFill>
                    <w14:schemeClr w14:val="tx1"/>
                  </w14:solidFill>
                </w14:textFill>
              </w:rPr>
              <w:t>室</w:t>
            </w:r>
            <w:r>
              <w:rPr>
                <w:rFonts w:hint="default" w:ascii="Times New Roman" w:hAnsi="Times New Roman" w:eastAsia="宋体" w:cs="Times New Roman"/>
                <w:color w:val="000000" w:themeColor="text1"/>
                <w:spacing w:val="9"/>
                <w:position w:val="1"/>
                <w:sz w:val="21"/>
                <w:szCs w:val="21"/>
                <w14:textFill>
                  <w14:solidFill>
                    <w14:schemeClr w14:val="tx1"/>
                  </w14:solidFill>
                </w14:textFill>
              </w:rPr>
              <w:t>内声源在靠近围护结构处产生的总倍频带声压级：</w:t>
            </w:r>
          </w:p>
          <w:p w14:paraId="52AFDEC5">
            <w:pPr>
              <w:keepNext w:val="0"/>
              <w:keepLines w:val="0"/>
              <w:pageBreakBefore w:val="0"/>
              <w:widowControl w:val="0"/>
              <w:kinsoku/>
              <w:wordWrap/>
              <w:overflowPunct/>
              <w:topLinePunct w:val="0"/>
              <w:autoSpaceDE/>
              <w:autoSpaceDN/>
              <w:bidi w:val="0"/>
              <w:adjustRightInd/>
              <w:snapToGrid/>
              <w:spacing w:line="360" w:lineRule="auto"/>
              <w:ind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i/>
                <w:iCs/>
                <w:color w:val="000000" w:themeColor="text1"/>
                <w:position w:val="2"/>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3"/>
                <w:sz w:val="21"/>
                <w:szCs w:val="21"/>
                <w14:textFill>
                  <w14:solidFill>
                    <w14:schemeClr w14:val="tx1"/>
                  </w14:solidFill>
                </w14:textFill>
              </w:rPr>
              <w:t>oct</w:t>
            </w:r>
            <w:r>
              <w:rPr>
                <w:rFonts w:hint="default" w:ascii="Times New Roman" w:hAnsi="Times New Roman" w:eastAsia="Times New Roman" w:cs="Times New Roman"/>
                <w:color w:val="000000" w:themeColor="text1"/>
                <w:spacing w:val="1"/>
                <w:position w:val="-3"/>
                <w:sz w:val="21"/>
                <w:szCs w:val="21"/>
                <w14:textFill>
                  <w14:solidFill>
                    <w14:schemeClr w14:val="tx1"/>
                  </w14:solidFill>
                </w14:textFill>
              </w:rPr>
              <w:t xml:space="preserve"> ,1 </w:t>
            </w:r>
            <w:r>
              <w:rPr>
                <w:rFonts w:hint="default" w:ascii="Times New Roman" w:hAnsi="Times New Roman" w:eastAsia="Times New Roman" w:cs="Times New Roman"/>
                <w:color w:val="000000" w:themeColor="text1"/>
                <w:spacing w:val="1"/>
                <w:position w:val="2"/>
                <w:sz w:val="21"/>
                <w:szCs w:val="21"/>
                <w14:textFill>
                  <w14:solidFill>
                    <w14:schemeClr w14:val="tx1"/>
                  </w14:solidFill>
                </w14:textFill>
              </w:rPr>
              <w:t>(</w:t>
            </w:r>
            <w:r>
              <w:rPr>
                <w:rFonts w:hint="default" w:ascii="Times New Roman" w:hAnsi="Times New Roman" w:eastAsia="Times New Roman" w:cs="Times New Roman"/>
                <w:i/>
                <w:iCs/>
                <w:color w:val="000000" w:themeColor="text1"/>
                <w:position w:val="2"/>
                <w:sz w:val="21"/>
                <w:szCs w:val="21"/>
                <w14:textFill>
                  <w14:solidFill>
                    <w14:schemeClr w14:val="tx1"/>
                  </w14:solidFill>
                </w14:textFill>
              </w:rPr>
              <w:t>T</w:t>
            </w:r>
            <w:r>
              <w:rPr>
                <w:rFonts w:hint="default" w:ascii="Times New Roman" w:hAnsi="Times New Roman" w:eastAsia="Times New Roman" w:cs="Times New Roman"/>
                <w:color w:val="000000" w:themeColor="text1"/>
                <w:spacing w:val="1"/>
                <w:position w:val="2"/>
                <w:sz w:val="21"/>
                <w:szCs w:val="21"/>
                <w14:textFill>
                  <w14:solidFill>
                    <w14:schemeClr w14:val="tx1"/>
                  </w14:solidFill>
                </w14:textFill>
              </w:rPr>
              <w:t xml:space="preserve">) </w:t>
            </w:r>
            <w:r>
              <w:rPr>
                <w:rFonts w:hint="default" w:ascii="Times New Roman" w:hAnsi="Times New Roman" w:eastAsia="微软雅黑" w:cs="Times New Roman"/>
                <w:color w:val="000000" w:themeColor="text1"/>
                <w:spacing w:val="1"/>
                <w:position w:val="2"/>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1"/>
                <w:position w:val="2"/>
                <w:sz w:val="21"/>
                <w:szCs w:val="21"/>
                <w14:textFill>
                  <w14:solidFill>
                    <w14:schemeClr w14:val="tx1"/>
                  </w14:solidFill>
                </w14:textFill>
              </w:rPr>
              <w:t>10</w:t>
            </w:r>
            <w:r>
              <w:rPr>
                <w:rFonts w:hint="default" w:ascii="Times New Roman" w:hAnsi="Times New Roman" w:eastAsia="Times New Roman" w:cs="Times New Roman"/>
                <w:color w:val="000000" w:themeColor="text1"/>
                <w:position w:val="2"/>
                <w:sz w:val="21"/>
                <w:szCs w:val="21"/>
                <w14:textFill>
                  <w14:solidFill>
                    <w14:schemeClr w14:val="tx1"/>
                  </w14:solidFill>
                </w14:textFill>
              </w:rPr>
              <w:t>lg</w:t>
            </w:r>
            <w:r>
              <w:rPr>
                <w:rFonts w:hint="default" w:ascii="Times New Roman" w:hAnsi="Times New Roman" w:cs="Times New Roman"/>
                <w:color w:val="000000" w:themeColor="text1"/>
                <w:position w:val="-25"/>
                <w:sz w:val="21"/>
                <w:szCs w:val="21"/>
                <w14:textFill>
                  <w14:solidFill>
                    <w14:schemeClr w14:val="tx1"/>
                  </w14:solidFill>
                </w14:textFill>
              </w:rPr>
              <w:drawing>
                <wp:inline distT="0" distB="0" distL="0" distR="0">
                  <wp:extent cx="61595" cy="422275"/>
                  <wp:effectExtent l="0" t="0" r="14605" b="15875"/>
                  <wp:docPr id="339" name="IM 14"/>
                  <wp:cNvGraphicFramePr/>
                  <a:graphic xmlns:a="http://schemas.openxmlformats.org/drawingml/2006/main">
                    <a:graphicData uri="http://schemas.openxmlformats.org/drawingml/2006/picture">
                      <pic:pic xmlns:pic="http://schemas.openxmlformats.org/drawingml/2006/picture">
                        <pic:nvPicPr>
                          <pic:cNvPr id="339" name="IM 14"/>
                          <pic:cNvPicPr/>
                        </pic:nvPicPr>
                        <pic:blipFill>
                          <a:blip r:embed="rId15"/>
                          <a:stretch>
                            <a:fillRect/>
                          </a:stretch>
                        </pic:blipFill>
                        <pic:spPr>
                          <a:xfrm>
                            <a:off x="0" y="0"/>
                            <a:ext cx="62030" cy="422557"/>
                          </a:xfrm>
                          <a:prstGeom prst="rect">
                            <a:avLst/>
                          </a:prstGeom>
                        </pic:spPr>
                      </pic:pic>
                    </a:graphicData>
                  </a:graphic>
                </wp:inline>
              </w:drawing>
            </w:r>
            <w:r>
              <w:rPr>
                <w:rFonts w:hint="default" w:ascii="Times New Roman" w:hAnsi="Times New Roman" w:cs="Times New Roman"/>
                <w:color w:val="000000" w:themeColor="text1"/>
                <w:position w:val="-24"/>
                <w:sz w:val="21"/>
                <w:szCs w:val="21"/>
                <w14:textFill>
                  <w14:solidFill>
                    <w14:schemeClr w14:val="tx1"/>
                  </w14:solidFill>
                </w14:textFill>
              </w:rPr>
              <w:drawing>
                <wp:inline distT="0" distB="0" distL="0" distR="0">
                  <wp:extent cx="167640" cy="361315"/>
                  <wp:effectExtent l="0" t="0" r="3810" b="635"/>
                  <wp:docPr id="340" name="IM 15"/>
                  <wp:cNvGraphicFramePr/>
                  <a:graphic xmlns:a="http://schemas.openxmlformats.org/drawingml/2006/main">
                    <a:graphicData uri="http://schemas.openxmlformats.org/drawingml/2006/picture">
                      <pic:pic xmlns:pic="http://schemas.openxmlformats.org/drawingml/2006/picture">
                        <pic:nvPicPr>
                          <pic:cNvPr id="340" name="IM 15"/>
                          <pic:cNvPicPr/>
                        </pic:nvPicPr>
                        <pic:blipFill>
                          <a:blip r:embed="rId16"/>
                          <a:stretch>
                            <a:fillRect/>
                          </a:stretch>
                        </pic:blipFill>
                        <pic:spPr>
                          <a:xfrm>
                            <a:off x="0" y="0"/>
                            <a:ext cx="167870" cy="361689"/>
                          </a:xfrm>
                          <a:prstGeom prst="rect">
                            <a:avLst/>
                          </a:prstGeom>
                        </pic:spPr>
                      </pic:pic>
                    </a:graphicData>
                  </a:graphic>
                </wp:inline>
              </w:drawing>
            </w:r>
            <w:r>
              <w:rPr>
                <w:rFonts w:hint="default" w:ascii="Times New Roman" w:hAnsi="Times New Roman" w:eastAsia="Times New Roman" w:cs="Times New Roman"/>
                <w:color w:val="000000" w:themeColor="text1"/>
                <w:spacing w:val="1"/>
                <w:position w:val="2"/>
                <w:sz w:val="21"/>
                <w:szCs w:val="21"/>
                <w14:textFill>
                  <w14:solidFill>
                    <w14:schemeClr w14:val="tx1"/>
                  </w14:solidFill>
                </w14:textFill>
              </w:rPr>
              <w:t>10</w:t>
            </w:r>
            <w:r>
              <w:rPr>
                <w:rFonts w:hint="default" w:ascii="Times New Roman" w:hAnsi="Times New Roman" w:eastAsia="Times New Roman" w:cs="Times New Roman"/>
                <w:color w:val="000000" w:themeColor="text1"/>
                <w:spacing w:val="1"/>
                <w:position w:val="15"/>
                <w:sz w:val="21"/>
                <w:szCs w:val="21"/>
                <w14:textFill>
                  <w14:solidFill>
                    <w14:schemeClr w14:val="tx1"/>
                  </w14:solidFill>
                </w14:textFill>
              </w:rPr>
              <w:t>0. 1</w:t>
            </w:r>
            <w:r>
              <w:rPr>
                <w:rFonts w:hint="default" w:ascii="Times New Roman" w:hAnsi="Times New Roman" w:eastAsia="Times New Roman" w:cs="Times New Roman"/>
                <w:i/>
                <w:iCs/>
                <w:color w:val="000000" w:themeColor="text1"/>
                <w:position w:val="15"/>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12"/>
                <w:sz w:val="21"/>
                <w:szCs w:val="21"/>
                <w14:textFill>
                  <w14:solidFill>
                    <w14:schemeClr w14:val="tx1"/>
                  </w14:solidFill>
                </w14:textFill>
              </w:rPr>
              <w:t>oct</w:t>
            </w:r>
            <w:r>
              <w:rPr>
                <w:rFonts w:hint="default" w:ascii="Times New Roman" w:hAnsi="Times New Roman" w:eastAsia="Times New Roman" w:cs="Times New Roman"/>
                <w:color w:val="000000" w:themeColor="text1"/>
                <w:spacing w:val="1"/>
                <w:position w:val="12"/>
                <w:sz w:val="21"/>
                <w:szCs w:val="21"/>
                <w14:textFill>
                  <w14:solidFill>
                    <w14:schemeClr w14:val="tx1"/>
                  </w14:solidFill>
                </w14:textFill>
              </w:rPr>
              <w:t xml:space="preserve"> , 1</w:t>
            </w:r>
            <w:r>
              <w:rPr>
                <w:rFonts w:hint="default" w:ascii="Times New Roman" w:hAnsi="Times New Roman" w:eastAsia="Times New Roman" w:cs="Times New Roman"/>
                <w:color w:val="000000" w:themeColor="text1"/>
                <w:position w:val="12"/>
                <w:sz w:val="21"/>
                <w:szCs w:val="21"/>
                <w14:textFill>
                  <w14:solidFill>
                    <w14:schemeClr w14:val="tx1"/>
                  </w14:solidFill>
                </w14:textFill>
              </w:rPr>
              <w:t xml:space="preserve">( </w:t>
            </w:r>
            <w:r>
              <w:rPr>
                <w:rFonts w:hint="default" w:ascii="Times New Roman" w:hAnsi="Times New Roman" w:eastAsia="Times New Roman" w:cs="Times New Roman"/>
                <w:i/>
                <w:iCs/>
                <w:color w:val="000000" w:themeColor="text1"/>
                <w:position w:val="12"/>
                <w:sz w:val="21"/>
                <w:szCs w:val="21"/>
                <w14:textFill>
                  <w14:solidFill>
                    <w14:schemeClr w14:val="tx1"/>
                  </w14:solidFill>
                </w14:textFill>
              </w:rPr>
              <w:t>i</w:t>
            </w:r>
            <w:r>
              <w:rPr>
                <w:rFonts w:hint="default" w:ascii="Times New Roman" w:hAnsi="Times New Roman" w:eastAsia="Times New Roman" w:cs="Times New Roman"/>
                <w:color w:val="000000" w:themeColor="text1"/>
                <w:position w:val="12"/>
                <w:sz w:val="21"/>
                <w:szCs w:val="21"/>
                <w14:textFill>
                  <w14:solidFill>
                    <w14:schemeClr w14:val="tx1"/>
                  </w14:solidFill>
                </w14:textFill>
              </w:rPr>
              <w:t xml:space="preserve"> )  </w:t>
            </w:r>
            <w:r>
              <w:rPr>
                <w:rFonts w:hint="default" w:ascii="Times New Roman" w:hAnsi="Times New Roman" w:cs="Times New Roman"/>
                <w:color w:val="000000" w:themeColor="text1"/>
                <w:position w:val="-25"/>
                <w:sz w:val="21"/>
                <w:szCs w:val="21"/>
                <w14:textFill>
                  <w14:solidFill>
                    <w14:schemeClr w14:val="tx1"/>
                  </w14:solidFill>
                </w14:textFill>
              </w:rPr>
              <w:drawing>
                <wp:inline distT="0" distB="0" distL="0" distR="0">
                  <wp:extent cx="59055" cy="422275"/>
                  <wp:effectExtent l="0" t="0" r="17145" b="15875"/>
                  <wp:docPr id="341" name="IM 16"/>
                  <wp:cNvGraphicFramePr/>
                  <a:graphic xmlns:a="http://schemas.openxmlformats.org/drawingml/2006/main">
                    <a:graphicData uri="http://schemas.openxmlformats.org/drawingml/2006/picture">
                      <pic:pic xmlns:pic="http://schemas.openxmlformats.org/drawingml/2006/picture">
                        <pic:nvPicPr>
                          <pic:cNvPr id="341" name="IM 16"/>
                          <pic:cNvPicPr/>
                        </pic:nvPicPr>
                        <pic:blipFill>
                          <a:blip r:embed="rId17"/>
                          <a:stretch>
                            <a:fillRect/>
                          </a:stretch>
                        </pic:blipFill>
                        <pic:spPr>
                          <a:xfrm>
                            <a:off x="0" y="0"/>
                            <a:ext cx="59277" cy="422557"/>
                          </a:xfrm>
                          <a:prstGeom prst="rect">
                            <a:avLst/>
                          </a:prstGeom>
                        </pic:spPr>
                      </pic:pic>
                    </a:graphicData>
                  </a:graphic>
                </wp:inline>
              </w:drawing>
            </w:r>
          </w:p>
          <w:p w14:paraId="18E227BB">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c</w:t>
            </w:r>
            <w:r>
              <w:rPr>
                <w:rFonts w:hint="default" w:ascii="Times New Roman" w:hAnsi="Times New Roman" w:eastAsia="Times New Roman" w:cs="Times New Roman"/>
                <w:color w:val="000000" w:themeColor="text1"/>
                <w:spacing w:val="18"/>
                <w:sz w:val="21"/>
                <w:szCs w:val="21"/>
                <w14:textFill>
                  <w14:solidFill>
                    <w14:schemeClr w14:val="tx1"/>
                  </w14:solidFill>
                </w14:textFill>
              </w:rPr>
              <w:t>.</w:t>
            </w:r>
            <w:r>
              <w:rPr>
                <w:rFonts w:hint="default" w:ascii="Times New Roman" w:hAnsi="Times New Roman" w:eastAsia="宋体" w:cs="Times New Roman"/>
                <w:color w:val="000000" w:themeColor="text1"/>
                <w:spacing w:val="18"/>
                <w:sz w:val="21"/>
                <w:szCs w:val="21"/>
                <w14:textFill>
                  <w14:solidFill>
                    <w14:schemeClr w14:val="tx1"/>
                  </w14:solidFill>
                </w14:textFill>
              </w:rPr>
              <w:t>室外靠近围护结构处的总的声压级</w:t>
            </w:r>
            <w:r>
              <w:rPr>
                <w:rFonts w:hint="default" w:ascii="Times New Roman" w:hAnsi="Times New Roman" w:eastAsia="宋体" w:cs="Times New Roman"/>
                <w:color w:val="000000" w:themeColor="text1"/>
                <w:spacing w:val="16"/>
                <w:sz w:val="21"/>
                <w:szCs w:val="21"/>
                <w14:textFill>
                  <w14:solidFill>
                    <w14:schemeClr w14:val="tx1"/>
                  </w14:solidFill>
                </w14:textFill>
              </w:rPr>
              <w:t>：</w:t>
            </w:r>
          </w:p>
          <w:p w14:paraId="02DB9D47">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outlineLvl w:val="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4"/>
                <w:sz w:val="21"/>
                <w:szCs w:val="21"/>
                <w14:textFill>
                  <w14:solidFill>
                    <w14:schemeClr w14:val="tx1"/>
                  </w14:solidFill>
                </w14:textFill>
              </w:rPr>
              <w:t>L</w:t>
            </w:r>
            <w:r>
              <w:rPr>
                <w:rFonts w:hint="default" w:ascii="Times New Roman" w:hAnsi="Times New Roman" w:eastAsia="Times New Roman" w:cs="Times New Roman"/>
                <w:color w:val="000000" w:themeColor="text1"/>
                <w:position w:val="3"/>
                <w:sz w:val="21"/>
                <w:szCs w:val="21"/>
                <w14:textFill>
                  <w14:solidFill>
                    <w14:schemeClr w14:val="tx1"/>
                  </w14:solidFill>
                </w14:textFill>
              </w:rPr>
              <w:t>oct</w:t>
            </w:r>
            <w:r>
              <w:rPr>
                <w:rFonts w:hint="default" w:ascii="Times New Roman" w:hAnsi="Times New Roman" w:eastAsia="Times New Roman" w:cs="Times New Roman"/>
                <w:color w:val="000000" w:themeColor="text1"/>
                <w:spacing w:val="1"/>
                <w:position w:val="3"/>
                <w:sz w:val="21"/>
                <w:szCs w:val="21"/>
                <w14:textFill>
                  <w14:solidFill>
                    <w14:schemeClr w14:val="tx1"/>
                  </w14:solidFill>
                </w14:textFill>
              </w:rPr>
              <w:t>, 1</w:t>
            </w:r>
            <w:r>
              <w:rPr>
                <w:rFonts w:hint="default" w:ascii="Times New Roman" w:hAnsi="Times New Roman" w:eastAsia="Times New Roman" w:cs="Times New Roman"/>
                <w:color w:val="000000" w:themeColor="text1"/>
                <w:spacing w:val="1"/>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T</w:t>
            </w:r>
            <w:r>
              <w:rPr>
                <w:rFonts w:hint="default" w:ascii="Times New Roman" w:hAnsi="Times New Roman" w:eastAsia="Times New Roman" w:cs="Times New Roman"/>
                <w:color w:val="000000" w:themeColor="text1"/>
                <w:spacing w:val="1"/>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L</w:t>
            </w:r>
            <w:r>
              <w:rPr>
                <w:rFonts w:hint="default" w:ascii="Times New Roman" w:hAnsi="Times New Roman" w:eastAsia="Times New Roman" w:cs="Times New Roman"/>
                <w:color w:val="000000" w:themeColor="text1"/>
                <w:spacing w:val="1"/>
                <w:position w:val="3"/>
                <w:sz w:val="21"/>
                <w:szCs w:val="21"/>
                <w14:textFill>
                  <w14:solidFill>
                    <w14:schemeClr w14:val="tx1"/>
                  </w14:solidFill>
                </w14:textFill>
              </w:rPr>
              <w:t>0</w:t>
            </w:r>
            <w:r>
              <w:rPr>
                <w:rFonts w:hint="default" w:ascii="Times New Roman" w:hAnsi="Times New Roman" w:eastAsia="Times New Roman" w:cs="Times New Roman"/>
                <w:color w:val="000000" w:themeColor="text1"/>
                <w:position w:val="3"/>
                <w:sz w:val="21"/>
                <w:szCs w:val="21"/>
                <w14:textFill>
                  <w14:solidFill>
                    <w14:schemeClr w14:val="tx1"/>
                  </w14:solidFill>
                </w14:textFill>
              </w:rPr>
              <w:t>ct</w:t>
            </w:r>
            <w:r>
              <w:rPr>
                <w:rFonts w:hint="default" w:ascii="Times New Roman" w:hAnsi="Times New Roman" w:eastAsia="Times New Roman" w:cs="Times New Roman"/>
                <w:color w:val="000000" w:themeColor="text1"/>
                <w:spacing w:val="1"/>
                <w:position w:val="3"/>
                <w:sz w:val="21"/>
                <w:szCs w:val="21"/>
                <w14:textFill>
                  <w14:solidFill>
                    <w14:schemeClr w14:val="tx1"/>
                  </w14:solidFill>
                </w14:textFill>
              </w:rPr>
              <w:t>, 1</w:t>
            </w:r>
            <w:r>
              <w:rPr>
                <w:rFonts w:hint="default" w:ascii="Times New Roman" w:hAnsi="Times New Roman" w:eastAsia="Times New Roman" w:cs="Times New Roman"/>
                <w:color w:val="000000" w:themeColor="text1"/>
                <w:spacing w:val="1"/>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T</w:t>
            </w:r>
            <w:r>
              <w:rPr>
                <w:rFonts w:hint="default" w:ascii="Times New Roman" w:hAnsi="Times New Roman" w:eastAsia="Times New Roman" w:cs="Times New Roman"/>
                <w:color w:val="000000" w:themeColor="text1"/>
                <w:spacing w:val="1"/>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T</w:t>
            </w:r>
            <w:r>
              <w:rPr>
                <w:rFonts w:hint="default" w:ascii="Times New Roman" w:hAnsi="Times New Roman" w:eastAsia="Times New Roman" w:cs="Times New Roman"/>
                <w:color w:val="000000" w:themeColor="text1"/>
                <w:position w:val="3"/>
                <w:sz w:val="21"/>
                <w:szCs w:val="21"/>
                <w14:textFill>
                  <w14:solidFill>
                    <w14:schemeClr w14:val="tx1"/>
                  </w14:solidFill>
                </w14:textFill>
              </w:rPr>
              <w:t>loct</w:t>
            </w:r>
            <w:r>
              <w:rPr>
                <w:rFonts w:hint="default" w:ascii="Times New Roman" w:hAnsi="Times New Roman" w:eastAsia="Times New Roman" w:cs="Times New Roman"/>
                <w:color w:val="000000" w:themeColor="text1"/>
                <w:spacing w:val="1"/>
                <w:position w:val="4"/>
                <w:sz w:val="21"/>
                <w:szCs w:val="21"/>
                <w14:textFill>
                  <w14:solidFill>
                    <w14:schemeClr w14:val="tx1"/>
                  </w14:solidFill>
                </w14:textFill>
              </w:rPr>
              <w:t>+6</w:t>
            </w:r>
            <w:r>
              <w:rPr>
                <w:rFonts w:hint="default" w:ascii="Times New Roman" w:hAnsi="Times New Roman" w:eastAsia="Times New Roman" w:cs="Times New Roman"/>
                <w:color w:val="000000" w:themeColor="text1"/>
                <w:position w:val="4"/>
                <w:sz w:val="21"/>
                <w:szCs w:val="21"/>
                <w14:textFill>
                  <w14:solidFill>
                    <w14:schemeClr w14:val="tx1"/>
                  </w14:solidFill>
                </w14:textFill>
              </w:rPr>
              <w:t>)</w:t>
            </w:r>
          </w:p>
          <w:p w14:paraId="14F4EC0E">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1"/>
                <w:sz w:val="21"/>
                <w:szCs w:val="21"/>
                <w14:textFill>
                  <w14:solidFill>
                    <w14:schemeClr w14:val="tx1"/>
                  </w14:solidFill>
                </w14:textFill>
              </w:rPr>
              <w:t>d</w:t>
            </w:r>
            <w:r>
              <w:rPr>
                <w:rFonts w:hint="default" w:ascii="Times New Roman" w:hAnsi="Times New Roman" w:eastAsia="Times New Roman" w:cs="Times New Roman"/>
                <w:color w:val="000000" w:themeColor="text1"/>
                <w:spacing w:val="16"/>
                <w:position w:val="1"/>
                <w:sz w:val="21"/>
                <w:szCs w:val="21"/>
                <w14:textFill>
                  <w14:solidFill>
                    <w14:schemeClr w14:val="tx1"/>
                  </w14:solidFill>
                </w14:textFill>
              </w:rPr>
              <w:t>.</w:t>
            </w:r>
            <w:r>
              <w:rPr>
                <w:rFonts w:hint="default" w:ascii="Times New Roman" w:hAnsi="Times New Roman" w:eastAsia="宋体" w:cs="Times New Roman"/>
                <w:color w:val="000000" w:themeColor="text1"/>
                <w:spacing w:val="13"/>
                <w:position w:val="1"/>
                <w:sz w:val="21"/>
                <w:szCs w:val="21"/>
                <w14:textFill>
                  <w14:solidFill>
                    <w14:schemeClr w14:val="tx1"/>
                  </w14:solidFill>
                </w14:textFill>
              </w:rPr>
              <w:t>室</w:t>
            </w:r>
            <w:r>
              <w:rPr>
                <w:rFonts w:hint="default" w:ascii="Times New Roman" w:hAnsi="Times New Roman" w:eastAsia="宋体" w:cs="Times New Roman"/>
                <w:color w:val="000000" w:themeColor="text1"/>
                <w:spacing w:val="8"/>
                <w:position w:val="1"/>
                <w:sz w:val="21"/>
                <w:szCs w:val="21"/>
                <w14:textFill>
                  <w14:solidFill>
                    <w14:schemeClr w14:val="tx1"/>
                  </w14:solidFill>
                </w14:textFill>
              </w:rPr>
              <w:t>外声压级换算成等效的室外声源：</w:t>
            </w:r>
          </w:p>
          <w:p w14:paraId="3706BE84">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outlineLvl w:val="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position w:val="4"/>
                <w:sz w:val="21"/>
                <w:szCs w:val="21"/>
                <w14:textFill>
                  <w14:solidFill>
                    <w14:schemeClr w14:val="tx1"/>
                  </w14:solidFill>
                </w14:textFill>
              </w:rPr>
              <w:t>L</w:t>
            </w:r>
            <w:r>
              <w:rPr>
                <w:rFonts w:hint="default" w:ascii="Times New Roman" w:hAnsi="Times New Roman" w:eastAsia="Times New Roman" w:cs="Times New Roman"/>
                <w:color w:val="000000" w:themeColor="text1"/>
                <w:position w:val="3"/>
                <w:sz w:val="21"/>
                <w:szCs w:val="21"/>
                <w14:textFill>
                  <w14:solidFill>
                    <w14:schemeClr w14:val="tx1"/>
                  </w14:solidFill>
                </w14:textFill>
              </w:rPr>
              <w:t>w</w:t>
            </w:r>
            <w:r>
              <w:rPr>
                <w:rFonts w:hint="default" w:ascii="Times New Roman" w:hAnsi="Times New Roman" w:eastAsia="Times New Roman" w:cs="Times New Roman"/>
                <w:color w:val="000000" w:themeColor="text1"/>
                <w:spacing w:val="8"/>
                <w:position w:val="3"/>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position w:val="3"/>
                <w:sz w:val="21"/>
                <w:szCs w:val="21"/>
                <w14:textFill>
                  <w14:solidFill>
                    <w14:schemeClr w14:val="tx1"/>
                  </w14:solidFill>
                </w14:textFill>
              </w:rPr>
              <w:t>oct</w:t>
            </w:r>
            <w:r>
              <w:rPr>
                <w:rFonts w:hint="default" w:ascii="Times New Roman" w:hAnsi="Times New Roman" w:eastAsia="Times New Roman" w:cs="Times New Roman"/>
                <w:color w:val="000000" w:themeColor="text1"/>
                <w:spacing w:val="8"/>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L</w:t>
            </w:r>
            <w:r>
              <w:rPr>
                <w:rFonts w:hint="default" w:ascii="Times New Roman" w:hAnsi="Times New Roman" w:eastAsia="Times New Roman" w:cs="Times New Roman"/>
                <w:color w:val="000000" w:themeColor="text1"/>
                <w:position w:val="3"/>
                <w:sz w:val="21"/>
                <w:szCs w:val="21"/>
                <w14:textFill>
                  <w14:solidFill>
                    <w14:schemeClr w14:val="tx1"/>
                  </w14:solidFill>
                </w14:textFill>
              </w:rPr>
              <w:t>oct</w:t>
            </w:r>
            <w:r>
              <w:rPr>
                <w:rFonts w:hint="default" w:ascii="Times New Roman" w:hAnsi="Times New Roman" w:eastAsia="Times New Roman" w:cs="Times New Roman"/>
                <w:color w:val="000000" w:themeColor="text1"/>
                <w:spacing w:val="8"/>
                <w:position w:val="3"/>
                <w:sz w:val="21"/>
                <w:szCs w:val="21"/>
                <w14:textFill>
                  <w14:solidFill>
                    <w14:schemeClr w14:val="tx1"/>
                  </w14:solidFill>
                </w14:textFill>
              </w:rPr>
              <w:t>,2</w:t>
            </w:r>
            <w:r>
              <w:rPr>
                <w:rFonts w:hint="default" w:ascii="Times New Roman" w:hAnsi="Times New Roman" w:eastAsia="Times New Roman" w:cs="Times New Roman"/>
                <w:color w:val="000000" w:themeColor="text1"/>
                <w:spacing w:val="8"/>
                <w:position w:val="4"/>
                <w:sz w:val="21"/>
                <w:szCs w:val="21"/>
                <w14:textFill>
                  <w14:solidFill>
                    <w14:schemeClr w14:val="tx1"/>
                  </w14:solidFill>
                </w14:textFill>
              </w:rPr>
              <w:t>(</w:t>
            </w:r>
            <w:r>
              <w:rPr>
                <w:rFonts w:hint="default" w:ascii="Times New Roman" w:hAnsi="Times New Roman" w:eastAsia="Times New Roman" w:cs="Times New Roman"/>
                <w:color w:val="000000" w:themeColor="text1"/>
                <w:position w:val="4"/>
                <w:sz w:val="21"/>
                <w:szCs w:val="21"/>
                <w14:textFill>
                  <w14:solidFill>
                    <w14:schemeClr w14:val="tx1"/>
                  </w14:solidFill>
                </w14:textFill>
              </w:rPr>
              <w:t>T</w:t>
            </w:r>
            <w:r>
              <w:rPr>
                <w:rFonts w:hint="default" w:ascii="Times New Roman" w:hAnsi="Times New Roman" w:eastAsia="Times New Roman" w:cs="Times New Roman"/>
                <w:color w:val="000000" w:themeColor="text1"/>
                <w:spacing w:val="8"/>
                <w:position w:val="4"/>
                <w:sz w:val="21"/>
                <w:szCs w:val="21"/>
                <w14:textFill>
                  <w14:solidFill>
                    <w14:schemeClr w14:val="tx1"/>
                  </w14:solidFill>
                </w14:textFill>
              </w:rPr>
              <w:t>)+10</w:t>
            </w:r>
            <w:r>
              <w:rPr>
                <w:rFonts w:hint="default" w:ascii="Times New Roman" w:hAnsi="Times New Roman" w:eastAsia="Times New Roman" w:cs="Times New Roman"/>
                <w:color w:val="000000" w:themeColor="text1"/>
                <w:position w:val="4"/>
                <w:sz w:val="21"/>
                <w:szCs w:val="21"/>
                <w14:textFill>
                  <w14:solidFill>
                    <w14:schemeClr w14:val="tx1"/>
                  </w14:solidFill>
                </w14:textFill>
              </w:rPr>
              <w:t>lgS</w:t>
            </w:r>
          </w:p>
          <w:p w14:paraId="413353B7">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式</w:t>
            </w:r>
            <w:r>
              <w:rPr>
                <w:rFonts w:hint="default" w:ascii="Times New Roman" w:hAnsi="Times New Roman" w:eastAsia="宋体" w:cs="Times New Roman"/>
                <w:color w:val="000000" w:themeColor="text1"/>
                <w:spacing w:val="7"/>
                <w:sz w:val="21"/>
                <w:szCs w:val="21"/>
                <w14:textFill>
                  <w14:solidFill>
                    <w14:schemeClr w14:val="tx1"/>
                  </w14:solidFill>
                </w14:textFill>
              </w:rPr>
              <w:t>中：</w:t>
            </w:r>
            <w:r>
              <w:rPr>
                <w:rFonts w:hint="default" w:ascii="Times New Roman" w:hAnsi="Times New Roman" w:eastAsia="Times New Roman" w:cs="Times New Roman"/>
                <w:color w:val="000000" w:themeColor="text1"/>
                <w:sz w:val="21"/>
                <w:szCs w:val="21"/>
                <w14:textFill>
                  <w14:solidFill>
                    <w14:schemeClr w14:val="tx1"/>
                  </w14:solidFill>
                </w14:textFill>
              </w:rPr>
              <w:t>S</w:t>
            </w:r>
            <w:r>
              <w:rPr>
                <w:rFonts w:hint="default" w:ascii="Times New Roman" w:hAnsi="Times New Roman" w:eastAsia="Times New Roman" w:cs="Times New Roman"/>
                <w:color w:val="000000" w:themeColor="text1"/>
                <w:spacing w:val="7"/>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7"/>
                <w:sz w:val="21"/>
                <w:szCs w:val="21"/>
                <w14:textFill>
                  <w14:solidFill>
                    <w14:schemeClr w14:val="tx1"/>
                  </w14:solidFill>
                </w14:textFill>
              </w:rPr>
              <w:t>为透声面积。</w:t>
            </w:r>
          </w:p>
          <w:p w14:paraId="6C4A7FF7">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Times New Roman" w:cs="Times New Roman"/>
                <w:color w:val="000000" w:themeColor="text1"/>
                <w:spacing w:val="6"/>
                <w:position w:val="-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e</w:t>
            </w:r>
            <w:r>
              <w:rPr>
                <w:rFonts w:hint="default" w:ascii="Times New Roman" w:hAnsi="Times New Roman" w:eastAsia="Times New Roman" w:cs="Times New Roman"/>
                <w:color w:val="000000" w:themeColor="text1"/>
                <w:spacing w:val="6"/>
                <w:sz w:val="21"/>
                <w:szCs w:val="21"/>
                <w14:textFill>
                  <w14:solidFill>
                    <w14:schemeClr w14:val="tx1"/>
                  </w14:solidFill>
                </w14:textFill>
              </w:rPr>
              <w:t>.</w:t>
            </w:r>
            <w:r>
              <w:rPr>
                <w:rFonts w:hint="default" w:ascii="Times New Roman" w:hAnsi="Times New Roman" w:eastAsia="宋体" w:cs="Times New Roman"/>
                <w:color w:val="000000" w:themeColor="text1"/>
                <w:spacing w:val="6"/>
                <w:sz w:val="21"/>
                <w:szCs w:val="21"/>
                <w14:textFill>
                  <w14:solidFill>
                    <w14:schemeClr w14:val="tx1"/>
                  </w14:solidFill>
                </w14:textFill>
              </w:rPr>
              <w:t>等效室外声源的位置为围护结构的位置，其倍频带声功率级为</w:t>
            </w:r>
            <w:r>
              <w:rPr>
                <w:rFonts w:hint="default" w:ascii="Times New Roman" w:hAnsi="Times New Roman" w:eastAsia="Times New Roman" w:cs="Times New Roman"/>
                <w:color w:val="000000" w:themeColor="text1"/>
                <w:sz w:val="21"/>
                <w:szCs w:val="21"/>
                <w14:textFill>
                  <w14:solidFill>
                    <w14:schemeClr w14:val="tx1"/>
                  </w14:solidFill>
                </w14:textFill>
              </w:rPr>
              <w:t>L</w:t>
            </w:r>
            <w:r>
              <w:rPr>
                <w:rFonts w:hint="default" w:ascii="Times New Roman" w:hAnsi="Times New Roman" w:eastAsia="Times New Roman" w:cs="Times New Roman"/>
                <w:color w:val="000000" w:themeColor="text1"/>
                <w:position w:val="-1"/>
                <w:sz w:val="21"/>
                <w:szCs w:val="21"/>
                <w14:textFill>
                  <w14:solidFill>
                    <w14:schemeClr w14:val="tx1"/>
                  </w14:solidFill>
                </w14:textFill>
              </w:rPr>
              <w:t>w</w:t>
            </w:r>
            <w:r>
              <w:rPr>
                <w:rFonts w:hint="default" w:ascii="Times New Roman" w:hAnsi="Times New Roman" w:eastAsia="Times New Roman" w:cs="Times New Roman"/>
                <w:color w:val="000000" w:themeColor="text1"/>
                <w:spacing w:val="6"/>
                <w:position w:val="-1"/>
                <w:sz w:val="21"/>
                <w:szCs w:val="21"/>
                <w14:textFill>
                  <w14:solidFill>
                    <w14:schemeClr w14:val="tx1"/>
                  </w14:solidFill>
                </w14:textFill>
              </w:rPr>
              <w:t xml:space="preserve"> </w:t>
            </w:r>
          </w:p>
          <w:p w14:paraId="2836467B">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Times New Roman" w:cs="Times New Roman"/>
                <w:color w:val="000000" w:themeColor="text1"/>
                <w:position w:val="-1"/>
                <w:sz w:val="21"/>
                <w:szCs w:val="21"/>
                <w14:textFill>
                  <w14:solidFill>
                    <w14:schemeClr w14:val="tx1"/>
                  </w14:solidFill>
                </w14:textFill>
              </w:rPr>
              <w:t>oct</w:t>
            </w:r>
            <w:r>
              <w:rPr>
                <w:rFonts w:hint="default" w:ascii="Times New Roman" w:hAnsi="Times New Roman" w:eastAsia="宋体" w:cs="Times New Roman"/>
                <w:color w:val="000000" w:themeColor="text1"/>
                <w:spacing w:val="1"/>
                <w:sz w:val="21"/>
                <w:szCs w:val="21"/>
                <w14:textFill>
                  <w14:solidFill>
                    <w14:schemeClr w14:val="tx1"/>
                  </w14:solidFill>
                </w14:textFill>
              </w:rPr>
              <w:t>，</w:t>
            </w:r>
            <w:r>
              <w:rPr>
                <w:rFonts w:hint="default" w:ascii="Times New Roman" w:hAnsi="Times New Roman" w:eastAsia="宋体" w:cs="Times New Roman"/>
                <w:color w:val="000000" w:themeColor="text1"/>
                <w:spacing w:val="13"/>
                <w:sz w:val="21"/>
                <w:szCs w:val="21"/>
                <w14:textFill>
                  <w14:solidFill>
                    <w14:schemeClr w14:val="tx1"/>
                  </w14:solidFill>
                </w14:textFill>
              </w:rPr>
              <w:t>由</w:t>
            </w:r>
            <w:r>
              <w:rPr>
                <w:rFonts w:hint="default" w:ascii="Times New Roman" w:hAnsi="Times New Roman" w:eastAsia="宋体" w:cs="Times New Roman"/>
                <w:color w:val="000000" w:themeColor="text1"/>
                <w:spacing w:val="8"/>
                <w:sz w:val="21"/>
                <w:szCs w:val="21"/>
                <w14:textFill>
                  <w14:solidFill>
                    <w14:schemeClr w14:val="tx1"/>
                  </w14:solidFill>
                </w14:textFill>
              </w:rPr>
              <w:t>此按室外声源方法计算等效室外声源在预测点产生的声级。</w:t>
            </w:r>
          </w:p>
          <w:p w14:paraId="464C15D1">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rPr>
                <w:rFonts w:hint="default" w:ascii="Times New Roman" w:hAnsi="Times New Roman" w:eastAsia="宋体" w:cs="Times New Roman"/>
                <w:color w:val="000000" w:themeColor="text1"/>
                <w:spacing w:val="7"/>
                <w:sz w:val="21"/>
                <w:szCs w:val="21"/>
                <w14:textFill>
                  <w14:solidFill>
                    <w14:schemeClr w14:val="tx1"/>
                  </w14:solidFill>
                </w14:textFill>
              </w:rPr>
            </w:pPr>
            <w:r>
              <w:rPr>
                <w:rFonts w:hint="default" w:ascii="Times New Roman" w:hAnsi="Times New Roman" w:eastAsia="宋体" w:cs="Times New Roman"/>
                <w:color w:val="000000" w:themeColor="text1"/>
                <w:spacing w:val="14"/>
                <w:sz w:val="21"/>
                <w:szCs w:val="21"/>
                <w14:textFill>
                  <w14:solidFill>
                    <w14:schemeClr w14:val="tx1"/>
                  </w14:solidFill>
                </w14:textFill>
              </w:rPr>
              <w:t>根据</w:t>
            </w:r>
            <w:r>
              <w:rPr>
                <w:rFonts w:hint="default" w:ascii="Times New Roman" w:hAnsi="Times New Roman" w:eastAsia="宋体" w:cs="Times New Roman"/>
                <w:color w:val="000000" w:themeColor="text1"/>
                <w:spacing w:val="13"/>
                <w:sz w:val="21"/>
                <w:szCs w:val="21"/>
                <w14:textFill>
                  <w14:solidFill>
                    <w14:schemeClr w14:val="tx1"/>
                  </w14:solidFill>
                </w14:textFill>
              </w:rPr>
              <w:t>本</w:t>
            </w:r>
            <w:r>
              <w:rPr>
                <w:rFonts w:hint="default" w:ascii="Times New Roman" w:hAnsi="Times New Roman" w:eastAsia="宋体" w:cs="Times New Roman"/>
                <w:color w:val="000000" w:themeColor="text1"/>
                <w:spacing w:val="7"/>
                <w:sz w:val="21"/>
                <w:szCs w:val="21"/>
                <w14:textFill>
                  <w14:solidFill>
                    <w14:schemeClr w14:val="tx1"/>
                  </w14:solidFill>
                </w14:textFill>
              </w:rPr>
              <w:t>项目的特点和现有的资料数据，对计算模式进行简化并进行估算，为</w:t>
            </w:r>
            <w:r>
              <w:rPr>
                <w:rFonts w:hint="default" w:ascii="Times New Roman" w:hAnsi="Times New Roman" w:eastAsia="宋体" w:cs="Times New Roman"/>
                <w:color w:val="000000" w:themeColor="text1"/>
                <w:spacing w:val="14"/>
                <w:sz w:val="21"/>
                <w:szCs w:val="21"/>
                <w14:textFill>
                  <w14:solidFill>
                    <w14:schemeClr w14:val="tx1"/>
                  </w14:solidFill>
                </w14:textFill>
              </w:rPr>
              <w:t>充分估</w:t>
            </w:r>
            <w:r>
              <w:rPr>
                <w:rFonts w:hint="default" w:ascii="Times New Roman" w:hAnsi="Times New Roman" w:eastAsia="宋体" w:cs="Times New Roman"/>
                <w:color w:val="000000" w:themeColor="text1"/>
                <w:spacing w:val="12"/>
                <w:sz w:val="21"/>
                <w:szCs w:val="21"/>
                <w14:textFill>
                  <w14:solidFill>
                    <w14:schemeClr w14:val="tx1"/>
                  </w14:solidFill>
                </w14:textFill>
              </w:rPr>
              <w:t>算</w:t>
            </w:r>
            <w:r>
              <w:rPr>
                <w:rFonts w:hint="default" w:ascii="Times New Roman" w:hAnsi="Times New Roman" w:eastAsia="宋体" w:cs="Times New Roman"/>
                <w:color w:val="000000" w:themeColor="text1"/>
                <w:spacing w:val="7"/>
                <w:sz w:val="21"/>
                <w:szCs w:val="21"/>
                <w14:textFill>
                  <w14:solidFill>
                    <w14:schemeClr w14:val="tx1"/>
                  </w14:solidFill>
                </w14:textFill>
              </w:rPr>
              <w:t>声源对周围环境的影响，对不满足计算条件的小额正衰减予以忽略，在</w:t>
            </w:r>
            <w:r>
              <w:rPr>
                <w:rFonts w:hint="default" w:ascii="Times New Roman" w:hAnsi="Times New Roman" w:eastAsia="宋体" w:cs="Times New Roman"/>
                <w:color w:val="000000" w:themeColor="text1"/>
                <w:spacing w:val="24"/>
                <w:sz w:val="21"/>
                <w:szCs w:val="21"/>
                <w14:textFill>
                  <w14:solidFill>
                    <w14:schemeClr w14:val="tx1"/>
                  </w14:solidFill>
                </w14:textFill>
              </w:rPr>
              <w:t>基</w:t>
            </w:r>
            <w:r>
              <w:rPr>
                <w:rFonts w:hint="default" w:ascii="Times New Roman" w:hAnsi="Times New Roman" w:eastAsia="宋体" w:cs="Times New Roman"/>
                <w:color w:val="000000" w:themeColor="text1"/>
                <w:spacing w:val="14"/>
                <w:sz w:val="21"/>
                <w:szCs w:val="21"/>
                <w14:textFill>
                  <w14:solidFill>
                    <w14:schemeClr w14:val="tx1"/>
                  </w14:solidFill>
                </w14:textFill>
              </w:rPr>
              <w:t>础上进一步计算各预测点的声级。先计算设备噪声到各预测点的声压级合成，即</w:t>
            </w:r>
            <w:r>
              <w:rPr>
                <w:rFonts w:hint="default" w:ascii="Times New Roman" w:hAnsi="Times New Roman" w:eastAsia="宋体" w:cs="Times New Roman"/>
                <w:color w:val="000000" w:themeColor="text1"/>
                <w:spacing w:val="12"/>
                <w:sz w:val="21"/>
                <w:szCs w:val="21"/>
                <w14:textFill>
                  <w14:solidFill>
                    <w14:schemeClr w14:val="tx1"/>
                  </w14:solidFill>
                </w14:textFill>
              </w:rPr>
              <w:t>以</w:t>
            </w:r>
            <w:r>
              <w:rPr>
                <w:rFonts w:hint="default" w:ascii="Times New Roman" w:hAnsi="Times New Roman" w:eastAsia="宋体" w:cs="Times New Roman"/>
                <w:color w:val="000000" w:themeColor="text1"/>
                <w:spacing w:val="7"/>
                <w:sz w:val="21"/>
                <w:szCs w:val="21"/>
                <w14:textFill>
                  <w14:solidFill>
                    <w14:schemeClr w14:val="tx1"/>
                  </w14:solidFill>
                </w14:textFill>
              </w:rPr>
              <w:t>车间或装置作为一个整体声源，分段以不同模式测算其对外辐射的衰减</w:t>
            </w:r>
            <w:r>
              <w:rPr>
                <w:rFonts w:hint="default" w:ascii="Times New Roman" w:hAnsi="Times New Roman" w:eastAsia="宋体" w:cs="Times New Roman"/>
                <w:color w:val="000000" w:themeColor="text1"/>
                <w:spacing w:val="14"/>
                <w:sz w:val="21"/>
                <w:szCs w:val="21"/>
                <w14:textFill>
                  <w14:solidFill>
                    <w14:schemeClr w14:val="tx1"/>
                  </w14:solidFill>
                </w14:textFill>
              </w:rPr>
              <w:t>量，预</w:t>
            </w:r>
            <w:r>
              <w:rPr>
                <w:rFonts w:hint="default" w:ascii="Times New Roman" w:hAnsi="Times New Roman" w:eastAsia="宋体" w:cs="Times New Roman"/>
                <w:color w:val="000000" w:themeColor="text1"/>
                <w:spacing w:val="12"/>
                <w:sz w:val="21"/>
                <w:szCs w:val="21"/>
                <w14:textFill>
                  <w14:solidFill>
                    <w14:schemeClr w14:val="tx1"/>
                  </w14:solidFill>
                </w14:textFill>
              </w:rPr>
              <w:t>测</w:t>
            </w:r>
            <w:r>
              <w:rPr>
                <w:rFonts w:hint="default" w:ascii="Times New Roman" w:hAnsi="Times New Roman" w:eastAsia="宋体" w:cs="Times New Roman"/>
                <w:color w:val="000000" w:themeColor="text1"/>
                <w:spacing w:val="7"/>
                <w:sz w:val="21"/>
                <w:szCs w:val="21"/>
                <w14:textFill>
                  <w14:solidFill>
                    <w14:schemeClr w14:val="tx1"/>
                  </w14:solidFill>
                </w14:textFill>
              </w:rPr>
              <w:t>各主要场源对单独存在时对厂界及外环境噪声的影响，并合成设备声源</w:t>
            </w:r>
            <w:r>
              <w:rPr>
                <w:rFonts w:hint="default" w:ascii="Times New Roman" w:hAnsi="Times New Roman" w:eastAsia="宋体" w:cs="Times New Roman"/>
                <w:color w:val="000000" w:themeColor="text1"/>
                <w:spacing w:val="12"/>
                <w:sz w:val="21"/>
                <w:szCs w:val="21"/>
                <w14:textFill>
                  <w14:solidFill>
                    <w14:schemeClr w14:val="tx1"/>
                  </w14:solidFill>
                </w14:textFill>
              </w:rPr>
              <w:t>对</w:t>
            </w:r>
            <w:r>
              <w:rPr>
                <w:rFonts w:hint="default" w:ascii="Times New Roman" w:hAnsi="Times New Roman" w:eastAsia="宋体" w:cs="Times New Roman"/>
                <w:color w:val="000000" w:themeColor="text1"/>
                <w:spacing w:val="7"/>
                <w:sz w:val="21"/>
                <w:szCs w:val="21"/>
                <w14:textFill>
                  <w14:solidFill>
                    <w14:schemeClr w14:val="tx1"/>
                  </w14:solidFill>
                </w14:textFill>
              </w:rPr>
              <w:t>受声点的影响。</w:t>
            </w:r>
          </w:p>
          <w:p w14:paraId="703834E9">
            <w:pPr>
              <w:snapToGrid w:val="0"/>
              <w:spacing w:line="360" w:lineRule="auto"/>
              <w:ind w:firstLine="48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考虑噪声距离衰减和隔声措施，</w:t>
            </w:r>
            <w:r>
              <w:rPr>
                <w:rFonts w:hint="default" w:ascii="Times New Roman" w:hAnsi="Times New Roman" w:cs="Times New Roman"/>
                <w:color w:val="000000" w:themeColor="text1"/>
                <w:szCs w:val="21"/>
                <w14:textFill>
                  <w14:solidFill>
                    <w14:schemeClr w14:val="tx1"/>
                  </w14:solidFill>
                </w14:textFill>
              </w:rPr>
              <w:t>本项目</w:t>
            </w:r>
            <w:r>
              <w:rPr>
                <w:rFonts w:hint="default" w:ascii="Times New Roman" w:hAnsi="Times New Roman" w:cs="Times New Roman"/>
                <w:color w:val="000000" w:themeColor="text1"/>
                <w:szCs w:val="21"/>
                <w:lang w:eastAsia="zh-CN"/>
                <w14:textFill>
                  <w14:solidFill>
                    <w14:schemeClr w14:val="tx1"/>
                  </w14:solidFill>
                </w14:textFill>
              </w:rPr>
              <w:t>噪声源对</w:t>
            </w:r>
            <w:r>
              <w:rPr>
                <w:rFonts w:hint="default" w:ascii="Times New Roman" w:hAnsi="Times New Roman" w:cs="Times New Roman"/>
                <w:color w:val="000000" w:themeColor="text1"/>
                <w:szCs w:val="21"/>
                <w14:textFill>
                  <w14:solidFill>
                    <w14:schemeClr w14:val="tx1"/>
                  </w14:solidFill>
                </w14:textFill>
              </w:rPr>
              <w:t>四周厂界</w:t>
            </w:r>
            <w:r>
              <w:rPr>
                <w:rFonts w:hint="default" w:ascii="Times New Roman" w:hAnsi="Times New Roman" w:cs="Times New Roman"/>
                <w:color w:val="000000" w:themeColor="text1"/>
                <w:szCs w:val="21"/>
                <w:lang w:eastAsia="zh-CN"/>
                <w14:textFill>
                  <w14:solidFill>
                    <w14:schemeClr w14:val="tx1"/>
                  </w14:solidFill>
                </w14:textFill>
              </w:rPr>
              <w:t>贡献值</w:t>
            </w:r>
            <w:r>
              <w:rPr>
                <w:rFonts w:hint="default" w:ascii="Times New Roman" w:hAnsi="Times New Roman" w:cs="Times New Roman"/>
                <w:color w:val="000000" w:themeColor="text1"/>
                <w:szCs w:val="21"/>
                <w14:textFill>
                  <w14:solidFill>
                    <w14:schemeClr w14:val="tx1"/>
                  </w14:solidFill>
                </w14:textFill>
              </w:rPr>
              <w:t>预测结果见表4-1</w:t>
            </w:r>
            <w:r>
              <w:rPr>
                <w:rFonts w:hint="eastAsia" w:ascii="Times New Roman" w:hAnsi="Times New Roman" w:cs="Times New Roman"/>
                <w:color w:val="000000" w:themeColor="text1"/>
                <w:szCs w:val="21"/>
                <w:lang w:val="en-US" w:eastAsia="zh-CN"/>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w:t>
            </w:r>
          </w:p>
          <w:p w14:paraId="7708FF88">
            <w:pPr>
              <w:ind w:firstLine="422" w:firstLineChars="20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表4-1</w:t>
            </w:r>
            <w:r>
              <w:rPr>
                <w:rFonts w:hint="eastAsia" w:ascii="Times New Roman" w:hAnsi="Times New Roman" w:cs="Times New Roman"/>
                <w:b/>
                <w:bCs/>
                <w:color w:val="000000" w:themeColor="text1"/>
                <w:szCs w:val="21"/>
                <w:lang w:val="en-US" w:eastAsia="zh-CN"/>
                <w14:textFill>
                  <w14:solidFill>
                    <w14:schemeClr w14:val="tx1"/>
                  </w14:solidFill>
                </w14:textFill>
              </w:rPr>
              <w:t>9</w:t>
            </w:r>
            <w:r>
              <w:rPr>
                <w:rFonts w:hint="default" w:ascii="Times New Roman" w:hAnsi="Times New Roman" w:cs="Times New Roman"/>
                <w:b/>
                <w:bCs/>
                <w:color w:val="000000" w:themeColor="text1"/>
                <w:szCs w:val="21"/>
                <w14:textFill>
                  <w14:solidFill>
                    <w14:schemeClr w14:val="tx1"/>
                  </w14:solidFill>
                </w14:textFill>
              </w:rPr>
              <w:t xml:space="preserve">  厂界噪声排放预测结果  单位：dB（A）</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1714"/>
              <w:gridCol w:w="1613"/>
              <w:gridCol w:w="819"/>
              <w:gridCol w:w="794"/>
              <w:gridCol w:w="825"/>
              <w:gridCol w:w="789"/>
            </w:tblGrid>
            <w:tr w14:paraId="30F29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36" w:type="pct"/>
                  <w:vMerge w:val="restart"/>
                  <w:noWrap w:val="0"/>
                  <w:vAlign w:val="center"/>
                </w:tcPr>
                <w:p w14:paraId="2A29285B">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编号</w:t>
                  </w:r>
                </w:p>
              </w:tc>
              <w:tc>
                <w:tcPr>
                  <w:tcW w:w="1036" w:type="pct"/>
                  <w:vMerge w:val="restart"/>
                  <w:noWrap w:val="0"/>
                  <w:vAlign w:val="center"/>
                </w:tcPr>
                <w:p w14:paraId="795CE301">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预测点</w:t>
                  </w:r>
                </w:p>
              </w:tc>
              <w:tc>
                <w:tcPr>
                  <w:tcW w:w="975" w:type="pct"/>
                  <w:noWrap w:val="0"/>
                  <w:vAlign w:val="center"/>
                </w:tcPr>
                <w:p w14:paraId="76B90269">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厂界贡献值</w:t>
                  </w:r>
                </w:p>
              </w:tc>
              <w:tc>
                <w:tcPr>
                  <w:tcW w:w="975" w:type="pct"/>
                  <w:gridSpan w:val="2"/>
                  <w:noWrap w:val="0"/>
                  <w:vAlign w:val="center"/>
                </w:tcPr>
                <w:p w14:paraId="62430A31">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标准值</w:t>
                  </w:r>
                </w:p>
              </w:tc>
              <w:tc>
                <w:tcPr>
                  <w:tcW w:w="976" w:type="pct"/>
                  <w:gridSpan w:val="2"/>
                  <w:noWrap w:val="0"/>
                  <w:vAlign w:val="center"/>
                </w:tcPr>
                <w:p w14:paraId="13A85B5B">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达标情况</w:t>
                  </w:r>
                </w:p>
              </w:tc>
            </w:tr>
            <w:tr w14:paraId="06C56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36" w:type="pct"/>
                  <w:vMerge w:val="continue"/>
                  <w:noWrap w:val="0"/>
                  <w:vAlign w:val="center"/>
                </w:tcPr>
                <w:p w14:paraId="32483870">
                  <w:pPr>
                    <w:jc w:val="center"/>
                    <w:rPr>
                      <w:rFonts w:hint="default" w:ascii="Times New Roman" w:hAnsi="Times New Roman" w:cs="Times New Roman"/>
                      <w:b/>
                      <w:bCs/>
                      <w:color w:val="000000" w:themeColor="text1"/>
                      <w:szCs w:val="21"/>
                      <w14:textFill>
                        <w14:solidFill>
                          <w14:schemeClr w14:val="tx1"/>
                        </w14:solidFill>
                      </w14:textFill>
                    </w:rPr>
                  </w:pPr>
                </w:p>
              </w:tc>
              <w:tc>
                <w:tcPr>
                  <w:tcW w:w="1036" w:type="pct"/>
                  <w:vMerge w:val="continue"/>
                  <w:noWrap w:val="0"/>
                  <w:vAlign w:val="center"/>
                </w:tcPr>
                <w:p w14:paraId="0305E1D3">
                  <w:pPr>
                    <w:jc w:val="center"/>
                    <w:rPr>
                      <w:rFonts w:hint="default" w:ascii="Times New Roman" w:hAnsi="Times New Roman" w:cs="Times New Roman"/>
                      <w:b/>
                      <w:bCs/>
                      <w:color w:val="000000" w:themeColor="text1"/>
                      <w:szCs w:val="21"/>
                      <w14:textFill>
                        <w14:solidFill>
                          <w14:schemeClr w14:val="tx1"/>
                        </w14:solidFill>
                      </w14:textFill>
                    </w:rPr>
                  </w:pPr>
                </w:p>
              </w:tc>
              <w:tc>
                <w:tcPr>
                  <w:tcW w:w="975" w:type="pct"/>
                  <w:noWrap w:val="0"/>
                  <w:vAlign w:val="center"/>
                </w:tcPr>
                <w:p w14:paraId="7B025216">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昼</w:t>
                  </w:r>
                </w:p>
              </w:tc>
              <w:tc>
                <w:tcPr>
                  <w:tcW w:w="495" w:type="pct"/>
                  <w:noWrap w:val="0"/>
                  <w:vAlign w:val="center"/>
                </w:tcPr>
                <w:p w14:paraId="707F52B9">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昼</w:t>
                  </w:r>
                </w:p>
              </w:tc>
              <w:tc>
                <w:tcPr>
                  <w:tcW w:w="480" w:type="pct"/>
                  <w:noWrap w:val="0"/>
                  <w:vAlign w:val="center"/>
                </w:tcPr>
                <w:p w14:paraId="09772DE7">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夜</w:t>
                  </w:r>
                </w:p>
              </w:tc>
              <w:tc>
                <w:tcPr>
                  <w:tcW w:w="498" w:type="pct"/>
                  <w:noWrap w:val="0"/>
                  <w:vAlign w:val="center"/>
                </w:tcPr>
                <w:p w14:paraId="21CCAB14">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昼</w:t>
                  </w:r>
                </w:p>
              </w:tc>
              <w:tc>
                <w:tcPr>
                  <w:tcW w:w="477" w:type="pct"/>
                  <w:noWrap w:val="0"/>
                  <w:vAlign w:val="center"/>
                </w:tcPr>
                <w:p w14:paraId="23D20F99">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夜</w:t>
                  </w:r>
                </w:p>
              </w:tc>
            </w:tr>
            <w:tr w14:paraId="407B2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36" w:type="pct"/>
                  <w:noWrap w:val="0"/>
                  <w:vAlign w:val="center"/>
                </w:tcPr>
                <w:p w14:paraId="5FDB788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036" w:type="pct"/>
                  <w:noWrap w:val="0"/>
                  <w:vAlign w:val="center"/>
                </w:tcPr>
                <w:p w14:paraId="5BF449C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东厂界</w:t>
                  </w:r>
                </w:p>
              </w:tc>
              <w:tc>
                <w:tcPr>
                  <w:tcW w:w="975" w:type="pct"/>
                  <w:noWrap w:val="0"/>
                  <w:vAlign w:val="center"/>
                </w:tcPr>
                <w:p w14:paraId="64AF9FA6">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53</w:t>
                  </w:r>
                </w:p>
              </w:tc>
              <w:tc>
                <w:tcPr>
                  <w:tcW w:w="495" w:type="pct"/>
                  <w:noWrap w:val="0"/>
                  <w:vAlign w:val="center"/>
                </w:tcPr>
                <w:p w14:paraId="52D4C16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480" w:type="pct"/>
                  <w:noWrap w:val="0"/>
                  <w:vAlign w:val="center"/>
                </w:tcPr>
                <w:p w14:paraId="406AC62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98" w:type="pct"/>
                  <w:noWrap w:val="0"/>
                  <w:vAlign w:val="center"/>
                </w:tcPr>
                <w:p w14:paraId="0327605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c>
                <w:tcPr>
                  <w:tcW w:w="477" w:type="pct"/>
                  <w:noWrap w:val="0"/>
                  <w:vAlign w:val="center"/>
                </w:tcPr>
                <w:p w14:paraId="01AFBEB5">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5CDB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36" w:type="pct"/>
                  <w:noWrap w:val="0"/>
                  <w:vAlign w:val="center"/>
                </w:tcPr>
                <w:p w14:paraId="3F41F82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036" w:type="pct"/>
                  <w:noWrap w:val="0"/>
                  <w:vAlign w:val="center"/>
                </w:tcPr>
                <w:p w14:paraId="1581FF7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南厂界</w:t>
                  </w:r>
                </w:p>
              </w:tc>
              <w:tc>
                <w:tcPr>
                  <w:tcW w:w="975" w:type="pct"/>
                  <w:noWrap w:val="0"/>
                  <w:vAlign w:val="center"/>
                </w:tcPr>
                <w:p w14:paraId="1AA2B36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51</w:t>
                  </w:r>
                </w:p>
              </w:tc>
              <w:tc>
                <w:tcPr>
                  <w:tcW w:w="495" w:type="pct"/>
                  <w:noWrap w:val="0"/>
                  <w:vAlign w:val="center"/>
                </w:tcPr>
                <w:p w14:paraId="293821B9">
                  <w:pPr>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480" w:type="pct"/>
                  <w:noWrap w:val="0"/>
                  <w:vAlign w:val="center"/>
                </w:tcPr>
                <w:p w14:paraId="74972D4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98" w:type="pct"/>
                  <w:noWrap w:val="0"/>
                  <w:vAlign w:val="center"/>
                </w:tcPr>
                <w:p w14:paraId="3DCB651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c>
                <w:tcPr>
                  <w:tcW w:w="477" w:type="pct"/>
                  <w:noWrap w:val="0"/>
                  <w:vAlign w:val="center"/>
                </w:tcPr>
                <w:p w14:paraId="58364331">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711EE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36" w:type="pct"/>
                  <w:noWrap w:val="0"/>
                  <w:vAlign w:val="center"/>
                </w:tcPr>
                <w:p w14:paraId="5E60D8E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036" w:type="pct"/>
                  <w:noWrap w:val="0"/>
                  <w:vAlign w:val="center"/>
                </w:tcPr>
                <w:p w14:paraId="58A4B36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西厂界</w:t>
                  </w:r>
                </w:p>
              </w:tc>
              <w:tc>
                <w:tcPr>
                  <w:tcW w:w="975" w:type="pct"/>
                  <w:noWrap w:val="0"/>
                  <w:vAlign w:val="center"/>
                </w:tcPr>
                <w:p w14:paraId="44C3AE9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51</w:t>
                  </w:r>
                </w:p>
              </w:tc>
              <w:tc>
                <w:tcPr>
                  <w:tcW w:w="495" w:type="pct"/>
                  <w:noWrap w:val="0"/>
                  <w:vAlign w:val="center"/>
                </w:tcPr>
                <w:p w14:paraId="3E1150BD">
                  <w:pPr>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480" w:type="pct"/>
                  <w:noWrap w:val="0"/>
                  <w:vAlign w:val="center"/>
                </w:tcPr>
                <w:p w14:paraId="1E94455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98" w:type="pct"/>
                  <w:noWrap w:val="0"/>
                  <w:vAlign w:val="center"/>
                </w:tcPr>
                <w:p w14:paraId="6CF4601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c>
                <w:tcPr>
                  <w:tcW w:w="477" w:type="pct"/>
                  <w:noWrap w:val="0"/>
                  <w:vAlign w:val="center"/>
                </w:tcPr>
                <w:p w14:paraId="4FCCF716">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74383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36" w:type="pct"/>
                  <w:noWrap w:val="0"/>
                  <w:vAlign w:val="center"/>
                </w:tcPr>
                <w:p w14:paraId="1B6F509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1036" w:type="pct"/>
                  <w:noWrap w:val="0"/>
                  <w:vAlign w:val="center"/>
                </w:tcPr>
                <w:p w14:paraId="21FEF9C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北厂界</w:t>
                  </w:r>
                </w:p>
              </w:tc>
              <w:tc>
                <w:tcPr>
                  <w:tcW w:w="975" w:type="pct"/>
                  <w:noWrap w:val="0"/>
                  <w:vAlign w:val="center"/>
                </w:tcPr>
                <w:p w14:paraId="1606D17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45</w:t>
                  </w:r>
                </w:p>
              </w:tc>
              <w:tc>
                <w:tcPr>
                  <w:tcW w:w="495" w:type="pct"/>
                  <w:noWrap w:val="0"/>
                  <w:vAlign w:val="center"/>
                </w:tcPr>
                <w:p w14:paraId="40882EA8">
                  <w:pPr>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480" w:type="pct"/>
                  <w:noWrap w:val="0"/>
                  <w:vAlign w:val="center"/>
                </w:tcPr>
                <w:p w14:paraId="1970AED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98" w:type="pct"/>
                  <w:noWrap w:val="0"/>
                  <w:vAlign w:val="center"/>
                </w:tcPr>
                <w:p w14:paraId="12E44F9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c>
                <w:tcPr>
                  <w:tcW w:w="477" w:type="pct"/>
                  <w:noWrap w:val="0"/>
                  <w:vAlign w:val="center"/>
                </w:tcPr>
                <w:p w14:paraId="455CA58A">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bl>
          <w:p w14:paraId="640E0C7B">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根据预测结果，与评价标准进行对比分析表明，本项目在正常工况条件下，全厂设备产生的噪声经防治后厂界昼间噪声排放值</w:t>
            </w:r>
            <w:r>
              <w:rPr>
                <w:rFonts w:hint="default" w:ascii="Times New Roman" w:hAnsi="Times New Roman" w:cs="Times New Roman"/>
                <w:color w:val="000000" w:themeColor="text1"/>
                <w:sz w:val="21"/>
                <w:szCs w:val="21"/>
                <w:lang w:eastAsia="zh-CN"/>
                <w14:textFill>
                  <w14:solidFill>
                    <w14:schemeClr w14:val="tx1"/>
                  </w14:solidFill>
                </w14:textFill>
              </w:rPr>
              <w:t>均</w:t>
            </w:r>
            <w:r>
              <w:rPr>
                <w:rFonts w:hint="default" w:ascii="Times New Roman" w:hAnsi="Times New Roman" w:cs="Times New Roman"/>
                <w:color w:val="000000" w:themeColor="text1"/>
                <w:sz w:val="21"/>
                <w:szCs w:val="21"/>
                <w14:textFill>
                  <w14:solidFill>
                    <w14:schemeClr w14:val="tx1"/>
                  </w14:solidFill>
                </w14:textFill>
              </w:rPr>
              <w:t>达标，厂界四周均达到《工业企业厂界环境噪声排放标准》（GB12348-2008）</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类标准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对周围环境影响值较小，噪声防治措施可行。</w:t>
            </w:r>
          </w:p>
          <w:p w14:paraId="6D6F5C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表4-</w:t>
            </w:r>
            <w:r>
              <w:rPr>
                <w:rFonts w:hint="eastAsia" w:ascii="Times New Roman" w:hAnsi="Times New Roman" w:cs="Times New Roman"/>
                <w:b/>
                <w:color w:val="000000" w:themeColor="text1"/>
                <w:kern w:val="2"/>
                <w:sz w:val="21"/>
                <w:szCs w:val="21"/>
                <w:lang w:val="en-US" w:eastAsia="zh-CN" w:bidi="ar-SA"/>
                <w14:textFill>
                  <w14:solidFill>
                    <w14:schemeClr w14:val="tx1"/>
                  </w14:solidFill>
                </w14:textFill>
              </w:rPr>
              <w:t>20</w:t>
            </w:r>
            <w:r>
              <w:rPr>
                <w:rFonts w:hint="default" w:ascii="Times New Roman" w:hAnsi="Times New Roman" w:eastAsia="宋体" w:cs="Times New Roman"/>
                <w:b/>
                <w:color w:val="000000" w:themeColor="text1"/>
                <w:kern w:val="2"/>
                <w:sz w:val="21"/>
                <w:szCs w:val="21"/>
                <w:lang w:val="zh-CN" w:eastAsia="zh-CN" w:bidi="ar-SA"/>
                <w14:textFill>
                  <w14:solidFill>
                    <w14:schemeClr w14:val="tx1"/>
                  </w14:solidFill>
                </w14:textFill>
              </w:rPr>
              <w:t xml:space="preserve">  工业企业噪声防治措施及投资表</w:t>
            </w:r>
          </w:p>
          <w:tbl>
            <w:tblPr>
              <w:tblStyle w:val="4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066"/>
              <w:gridCol w:w="2066"/>
              <w:gridCol w:w="2071"/>
            </w:tblGrid>
            <w:tr w14:paraId="42C48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49" w:type="pct"/>
                  <w:tcBorders>
                    <w:tl2br w:val="nil"/>
                    <w:tr2bl w:val="nil"/>
                  </w:tcBorders>
                  <w:noWrap w:val="0"/>
                  <w:vAlign w:val="center"/>
                </w:tcPr>
                <w:p w14:paraId="51ECB8F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噪声防治措施名称（类型）</w:t>
                  </w:r>
                </w:p>
              </w:tc>
              <w:tc>
                <w:tcPr>
                  <w:tcW w:w="1249" w:type="pct"/>
                  <w:tcBorders>
                    <w:tl2br w:val="nil"/>
                    <w:tr2bl w:val="nil"/>
                  </w:tcBorders>
                  <w:noWrap w:val="0"/>
                  <w:vAlign w:val="center"/>
                </w:tcPr>
                <w:p w14:paraId="0CAFE2BF">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噪声防治措施规模</w:t>
                  </w:r>
                </w:p>
              </w:tc>
              <w:tc>
                <w:tcPr>
                  <w:tcW w:w="1249" w:type="pct"/>
                  <w:tcBorders>
                    <w:tl2br w:val="nil"/>
                    <w:tr2bl w:val="nil"/>
                  </w:tcBorders>
                  <w:noWrap w:val="0"/>
                  <w:vAlign w:val="center"/>
                </w:tcPr>
                <w:p w14:paraId="1684199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噪声防治措施效果</w:t>
                  </w:r>
                </w:p>
              </w:tc>
              <w:tc>
                <w:tcPr>
                  <w:tcW w:w="1252" w:type="pct"/>
                  <w:tcBorders>
                    <w:tl2br w:val="nil"/>
                    <w:tr2bl w:val="nil"/>
                  </w:tcBorders>
                  <w:noWrap w:val="0"/>
                  <w:vAlign w:val="center"/>
                </w:tcPr>
                <w:p w14:paraId="361ECAE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噪声防治措施投资/万元</w:t>
                  </w:r>
                </w:p>
              </w:tc>
            </w:tr>
            <w:tr w14:paraId="0452E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49" w:type="pct"/>
                  <w:tcBorders>
                    <w:tl2br w:val="nil"/>
                    <w:tr2bl w:val="nil"/>
                  </w:tcBorders>
                  <w:noWrap w:val="0"/>
                  <w:vAlign w:val="center"/>
                </w:tcPr>
                <w:p w14:paraId="1D77074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基础减震，建筑隔声</w:t>
                  </w:r>
                </w:p>
              </w:tc>
              <w:tc>
                <w:tcPr>
                  <w:tcW w:w="1249" w:type="pct"/>
                  <w:tcBorders>
                    <w:tl2br w:val="nil"/>
                    <w:tr2bl w:val="nil"/>
                  </w:tcBorders>
                  <w:noWrap w:val="0"/>
                  <w:vAlign w:val="center"/>
                </w:tcPr>
                <w:p w14:paraId="0FC60E3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优先选用低噪声先进设备；设减振垫或隔振基础；选用消声装置</w:t>
                  </w:r>
                </w:p>
              </w:tc>
              <w:tc>
                <w:tcPr>
                  <w:tcW w:w="1249" w:type="pct"/>
                  <w:tcBorders>
                    <w:tl2br w:val="nil"/>
                    <w:tr2bl w:val="nil"/>
                  </w:tcBorders>
                  <w:noWrap w:val="0"/>
                  <w:vAlign w:val="center"/>
                </w:tcPr>
                <w:p w14:paraId="48F43FF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隔声量20dB（A）</w:t>
                  </w:r>
                </w:p>
              </w:tc>
              <w:tc>
                <w:tcPr>
                  <w:tcW w:w="1252" w:type="pct"/>
                  <w:tcBorders>
                    <w:tl2br w:val="nil"/>
                    <w:tr2bl w:val="nil"/>
                  </w:tcBorders>
                  <w:noWrap w:val="0"/>
                  <w:vAlign w:val="center"/>
                </w:tcPr>
                <w:p w14:paraId="027BBB7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r>
          </w:tbl>
          <w:p w14:paraId="5AA42255">
            <w:pPr>
              <w:adjustRightInd w:val="0"/>
              <w:snapToGrid w:val="0"/>
              <w:spacing w:line="360" w:lineRule="auto"/>
              <w:ind w:firstLine="420" w:firstLineChars="2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综上，本项目不会降低项目所在地声环境功能类别，对周围环境影响较小</w:t>
            </w:r>
            <w:r>
              <w:rPr>
                <w:rFonts w:hint="default" w:ascii="Times New Roman" w:hAnsi="Times New Roman" w:cs="Times New Roman"/>
                <w:color w:val="000000" w:themeColor="text1"/>
                <w:sz w:val="21"/>
                <w:szCs w:val="21"/>
                <w:lang w:eastAsia="zh-CN"/>
                <w14:textFill>
                  <w14:solidFill>
                    <w14:schemeClr w14:val="tx1"/>
                  </w14:solidFill>
                </w14:textFill>
              </w:rPr>
              <w:t>。</w:t>
            </w:r>
          </w:p>
          <w:p w14:paraId="718EAA75">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（3）噪声监测计划</w:t>
            </w:r>
          </w:p>
          <w:p w14:paraId="2D536894">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根据《排污单位自行监测技术指南总则》（HJ 819-2017），厂界噪声最低监测频次为季度，厂界噪声监测频次为一季度开展一次，并在噪声监测点附近醒目处设置环境保护图形标志牌。</w:t>
            </w:r>
          </w:p>
          <w:p w14:paraId="4D31644B">
            <w:pPr>
              <w:ind w:firstLine="422" w:firstLineChars="20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表4-</w:t>
            </w: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21</w:t>
            </w:r>
            <w:r>
              <w:rPr>
                <w:rFonts w:hint="default" w:ascii="Times New Roman" w:hAnsi="Times New Roman" w:cs="Times New Roman"/>
                <w:b/>
                <w:bCs/>
                <w:color w:val="000000" w:themeColor="text1"/>
                <w:kern w:val="0"/>
                <w:sz w:val="21"/>
                <w:szCs w:val="21"/>
                <w14:textFill>
                  <w14:solidFill>
                    <w14:schemeClr w14:val="tx1"/>
                  </w14:solidFill>
                </w14:textFill>
              </w:rPr>
              <w:t xml:space="preserve"> 噪声环境监测计划</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09"/>
              <w:gridCol w:w="1783"/>
              <w:gridCol w:w="2268"/>
              <w:gridCol w:w="3135"/>
            </w:tblGrid>
            <w:tr w14:paraId="38ED2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1009" w:type="dxa"/>
                  <w:noWrap w:val="0"/>
                  <w:vAlign w:val="center"/>
                </w:tcPr>
                <w:p w14:paraId="159E4410">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类别</w:t>
                  </w:r>
                </w:p>
              </w:tc>
              <w:tc>
                <w:tcPr>
                  <w:tcW w:w="1783" w:type="dxa"/>
                  <w:noWrap w:val="0"/>
                  <w:vAlign w:val="center"/>
                </w:tcPr>
                <w:p w14:paraId="552F2CC9">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监测位置</w:t>
                  </w:r>
                </w:p>
              </w:tc>
              <w:tc>
                <w:tcPr>
                  <w:tcW w:w="2268" w:type="dxa"/>
                  <w:noWrap w:val="0"/>
                  <w:vAlign w:val="center"/>
                </w:tcPr>
                <w:p w14:paraId="3C2F491A">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监测项目</w:t>
                  </w:r>
                </w:p>
              </w:tc>
              <w:tc>
                <w:tcPr>
                  <w:tcW w:w="3135" w:type="dxa"/>
                  <w:noWrap w:val="0"/>
                  <w:vAlign w:val="center"/>
                </w:tcPr>
                <w:p w14:paraId="6EEAAC14">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监测频次</w:t>
                  </w:r>
                </w:p>
              </w:tc>
            </w:tr>
            <w:tr w14:paraId="499A1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1009" w:type="dxa"/>
                  <w:noWrap w:val="0"/>
                  <w:vAlign w:val="center"/>
                </w:tcPr>
                <w:p w14:paraId="17CDF73C">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噪声</w:t>
                  </w:r>
                </w:p>
              </w:tc>
              <w:tc>
                <w:tcPr>
                  <w:tcW w:w="1783" w:type="dxa"/>
                  <w:noWrap w:val="0"/>
                  <w:vAlign w:val="center"/>
                </w:tcPr>
                <w:p w14:paraId="7EB4FFBA">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厂界外1米</w:t>
                  </w:r>
                </w:p>
              </w:tc>
              <w:tc>
                <w:tcPr>
                  <w:tcW w:w="2268" w:type="dxa"/>
                  <w:noWrap w:val="0"/>
                  <w:vAlign w:val="center"/>
                </w:tcPr>
                <w:p w14:paraId="351C4905">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连续等效A声级</w:t>
                  </w:r>
                </w:p>
              </w:tc>
              <w:tc>
                <w:tcPr>
                  <w:tcW w:w="3135" w:type="dxa"/>
                  <w:noWrap w:val="0"/>
                  <w:vAlign w:val="center"/>
                </w:tcPr>
                <w:p w14:paraId="0145CA22">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1次/季度；昼间一次/天</w:t>
                  </w:r>
                </w:p>
              </w:tc>
            </w:tr>
          </w:tbl>
          <w:p w14:paraId="4C984C76">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三同时验收监测计划</w:t>
            </w:r>
          </w:p>
          <w:p w14:paraId="394D46D0">
            <w:pPr>
              <w:adjustRightInd w:val="0"/>
              <w:snapToGrid w:val="0"/>
              <w:jc w:val="center"/>
              <w:rPr>
                <w:rFonts w:hint="default" w:ascii="Times New Roman" w:hAnsi="Times New Roman" w:eastAsia="宋体" w:cs="Times New Roman"/>
                <w:b/>
                <w:color w:val="000000" w:themeColor="text1"/>
                <w:sz w:val="28"/>
                <w:szCs w:val="32"/>
                <w:lang w:eastAsia="zh-CN"/>
                <w14:textFill>
                  <w14:solidFill>
                    <w14:schemeClr w14:val="tx1"/>
                  </w14:solidFill>
                </w14:textFill>
              </w:rPr>
            </w:pPr>
            <w:r>
              <w:rPr>
                <w:rFonts w:hint="default" w:ascii="Times New Roman" w:hAnsi="Times New Roman" w:eastAsia="宋体" w:cs="Times New Roman"/>
                <w:b/>
                <w:bCs/>
                <w:snapToGrid w:val="0"/>
                <w:color w:val="000000" w:themeColor="text1"/>
                <w:szCs w:val="24"/>
                <w14:textFill>
                  <w14:solidFill>
                    <w14:schemeClr w14:val="tx1"/>
                  </w14:solidFill>
                </w14:textFill>
              </w:rPr>
              <w:t>表</w:t>
            </w:r>
            <w:r>
              <w:rPr>
                <w:rFonts w:hint="default" w:ascii="Times New Roman" w:hAnsi="Times New Roman" w:eastAsia="宋体" w:cs="Times New Roman"/>
                <w:b/>
                <w:bCs/>
                <w:snapToGrid w:val="0"/>
                <w:color w:val="000000" w:themeColor="text1"/>
                <w:szCs w:val="24"/>
                <w:lang w:val="en-US" w:eastAsia="zh-CN"/>
                <w14:textFill>
                  <w14:solidFill>
                    <w14:schemeClr w14:val="tx1"/>
                  </w14:solidFill>
                </w14:textFill>
              </w:rPr>
              <w:t>4-</w:t>
            </w:r>
            <w:r>
              <w:rPr>
                <w:rFonts w:hint="eastAsia" w:ascii="Times New Roman" w:hAnsi="Times New Roman" w:cs="Times New Roman"/>
                <w:b/>
                <w:bCs/>
                <w:snapToGrid w:val="0"/>
                <w:color w:val="000000" w:themeColor="text1"/>
                <w:szCs w:val="24"/>
                <w:lang w:val="en-US" w:eastAsia="zh-CN"/>
                <w14:textFill>
                  <w14:solidFill>
                    <w14:schemeClr w14:val="tx1"/>
                  </w14:solidFill>
                </w14:textFill>
              </w:rPr>
              <w:t>22</w:t>
            </w:r>
            <w:r>
              <w:rPr>
                <w:rFonts w:hint="default" w:ascii="Times New Roman" w:hAnsi="Times New Roman" w:eastAsia="宋体" w:cs="Times New Roman"/>
                <w:b/>
                <w:bCs/>
                <w:snapToGrid w:val="0"/>
                <w:color w:val="000000" w:themeColor="text1"/>
                <w:szCs w:val="24"/>
                <w14:textFill>
                  <w14:solidFill>
                    <w14:schemeClr w14:val="tx1"/>
                  </w14:solidFill>
                </w14:textFill>
              </w:rPr>
              <w:t xml:space="preserve">  </w:t>
            </w:r>
            <w:r>
              <w:rPr>
                <w:rFonts w:hint="default" w:ascii="Times New Roman" w:hAnsi="Times New Roman" w:eastAsia="宋体" w:cs="Times New Roman"/>
                <w:b/>
                <w:bCs/>
                <w:snapToGrid w:val="0"/>
                <w:color w:val="000000" w:themeColor="text1"/>
                <w:szCs w:val="24"/>
                <w:lang w:eastAsia="zh-CN"/>
                <w14:textFill>
                  <w14:solidFill>
                    <w14:schemeClr w14:val="tx1"/>
                  </w14:solidFill>
                </w14:textFill>
              </w:rPr>
              <w:t>本项目噪声</w:t>
            </w:r>
            <w:r>
              <w:rPr>
                <w:rFonts w:hint="default" w:ascii="Times New Roman" w:hAnsi="Times New Roman" w:eastAsia="宋体" w:cs="Times New Roman"/>
                <w:b/>
                <w:bCs/>
                <w:snapToGrid w:val="0"/>
                <w:color w:val="000000" w:themeColor="text1"/>
                <w:szCs w:val="24"/>
                <w14:textFill>
                  <w14:solidFill>
                    <w14:schemeClr w14:val="tx1"/>
                  </w14:solidFill>
                </w14:textFill>
              </w:rPr>
              <w:t>验收监测</w:t>
            </w:r>
            <w:r>
              <w:rPr>
                <w:rFonts w:hint="default" w:ascii="Times New Roman" w:hAnsi="Times New Roman" w:eastAsia="宋体" w:cs="Times New Roman"/>
                <w:b/>
                <w:bCs/>
                <w:snapToGrid w:val="0"/>
                <w:color w:val="000000" w:themeColor="text1"/>
                <w:szCs w:val="24"/>
                <w:lang w:eastAsia="zh-CN"/>
                <w14:textFill>
                  <w14:solidFill>
                    <w14:schemeClr w14:val="tx1"/>
                  </w14:solidFill>
                </w14:textFill>
              </w:rPr>
              <w:t>计划</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61"/>
              <w:gridCol w:w="809"/>
              <w:gridCol w:w="1545"/>
              <w:gridCol w:w="2214"/>
              <w:gridCol w:w="2739"/>
            </w:tblGrid>
            <w:tr w14:paraId="775C56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70" w:type="pct"/>
                  <w:gridSpan w:val="2"/>
                  <w:noWrap w:val="0"/>
                  <w:vAlign w:val="center"/>
                </w:tcPr>
                <w:p w14:paraId="2C330B61">
                  <w:pPr>
                    <w:pStyle w:val="138"/>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934" w:type="pct"/>
                  <w:noWrap w:val="0"/>
                  <w:vAlign w:val="center"/>
                </w:tcPr>
                <w:p w14:paraId="410EDE67">
                  <w:pPr>
                    <w:pStyle w:val="138"/>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监测点位</w:t>
                  </w:r>
                </w:p>
              </w:tc>
              <w:tc>
                <w:tcPr>
                  <w:tcW w:w="1338" w:type="pct"/>
                  <w:noWrap w:val="0"/>
                  <w:vAlign w:val="center"/>
                </w:tcPr>
                <w:p w14:paraId="191CC051">
                  <w:pPr>
                    <w:pStyle w:val="138"/>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监测项目</w:t>
                  </w:r>
                </w:p>
              </w:tc>
              <w:tc>
                <w:tcPr>
                  <w:tcW w:w="1655" w:type="pct"/>
                  <w:noWrap w:val="0"/>
                  <w:vAlign w:val="center"/>
                </w:tcPr>
                <w:p w14:paraId="4A234356">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监测频次</w:t>
                  </w:r>
                </w:p>
              </w:tc>
            </w:tr>
            <w:tr w14:paraId="11C5A1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1" w:type="pct"/>
                  <w:noWrap w:val="0"/>
                  <w:vAlign w:val="center"/>
                </w:tcPr>
                <w:p w14:paraId="3098F71F">
                  <w:pPr>
                    <w:pStyle w:val="138"/>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运营期</w:t>
                  </w:r>
                </w:p>
              </w:tc>
              <w:tc>
                <w:tcPr>
                  <w:tcW w:w="489" w:type="pct"/>
                  <w:noWrap w:val="0"/>
                  <w:vAlign w:val="center"/>
                </w:tcPr>
                <w:p w14:paraId="164600E4">
                  <w:pPr>
                    <w:pStyle w:val="138"/>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噪声</w:t>
                  </w:r>
                </w:p>
              </w:tc>
              <w:tc>
                <w:tcPr>
                  <w:tcW w:w="934" w:type="pct"/>
                  <w:noWrap w:val="0"/>
                  <w:vAlign w:val="center"/>
                </w:tcPr>
                <w:p w14:paraId="7185EBD4">
                  <w:pPr>
                    <w:spacing w:line="320" w:lineRule="exact"/>
                    <w:ind w:left="-8" w:leftChars="-4"/>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w:t>
                  </w:r>
                </w:p>
              </w:tc>
              <w:tc>
                <w:tcPr>
                  <w:tcW w:w="1338" w:type="pct"/>
                  <w:noWrap w:val="0"/>
                  <w:vAlign w:val="center"/>
                </w:tcPr>
                <w:p w14:paraId="3415BE6D">
                  <w:pPr>
                    <w:spacing w:line="320" w:lineRule="exact"/>
                    <w:ind w:left="-8" w:leftChars="-4"/>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等效声级</w:t>
                  </w:r>
                  <w:r>
                    <w:rPr>
                      <w:rFonts w:hint="default" w:ascii="Times New Roman" w:hAnsi="Times New Roman" w:eastAsia="Times New Roman" w:cs="Times New Roman"/>
                      <w:color w:val="000000" w:themeColor="text1"/>
                      <w:sz w:val="21"/>
                      <w14:textFill>
                        <w14:solidFill>
                          <w14:schemeClr w14:val="tx1"/>
                        </w14:solidFill>
                      </w14:textFill>
                    </w:rPr>
                    <w:t>Leq(A)</w:t>
                  </w:r>
                </w:p>
              </w:tc>
              <w:tc>
                <w:tcPr>
                  <w:tcW w:w="1655" w:type="pct"/>
                  <w:noWrap w:val="0"/>
                  <w:vAlign w:val="center"/>
                </w:tcPr>
                <w:p w14:paraId="15A57C42">
                  <w:pPr>
                    <w:jc w:val="center"/>
                    <w:textAlignment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Times New Roman" w:cs="Times New Roman"/>
                      <w:color w:val="000000" w:themeColor="text1"/>
                      <w:sz w:val="21"/>
                      <w14:textFill>
                        <w14:solidFill>
                          <w14:schemeClr w14:val="tx1"/>
                        </w14:solidFill>
                      </w14:textFill>
                    </w:rPr>
                    <w:t>2</w:t>
                  </w:r>
                  <w:r>
                    <w:rPr>
                      <w:rFonts w:hint="default" w:ascii="Times New Roman" w:hAnsi="Times New Roman" w:cs="Times New Roman"/>
                      <w:color w:val="000000" w:themeColor="text1"/>
                      <w:sz w:val="21"/>
                      <w14:textFill>
                        <w14:solidFill>
                          <w14:schemeClr w14:val="tx1"/>
                        </w14:solidFill>
                      </w14:textFill>
                    </w:rPr>
                    <w:t>天</w:t>
                  </w:r>
                  <w:r>
                    <w:rPr>
                      <w:rFonts w:hint="default" w:ascii="Times New Roman" w:hAnsi="Times New Roman" w:eastAsia="Times New Roman" w:cs="Times New Roman"/>
                      <w:color w:val="000000" w:themeColor="text1"/>
                      <w:sz w:val="21"/>
                      <w14:textFill>
                        <w14:solidFill>
                          <w14:schemeClr w14:val="tx1"/>
                        </w14:solidFill>
                      </w14:textFill>
                    </w:rPr>
                    <w:t>×1</w:t>
                  </w:r>
                  <w:r>
                    <w:rPr>
                      <w:rFonts w:hint="default" w:ascii="Times New Roman" w:hAnsi="Times New Roman" w:cs="Times New Roman"/>
                      <w:color w:val="000000" w:themeColor="text1"/>
                      <w:sz w:val="21"/>
                      <w14:textFill>
                        <w14:solidFill>
                          <w14:schemeClr w14:val="tx1"/>
                        </w14:solidFill>
                      </w14:textFill>
                    </w:rPr>
                    <w:t>次</w:t>
                  </w:r>
                  <w:r>
                    <w:rPr>
                      <w:rFonts w:hint="default" w:ascii="Times New Roman" w:hAnsi="Times New Roman" w:eastAsia="Times New Roman" w:cs="Times New Roman"/>
                      <w:color w:val="000000" w:themeColor="text1"/>
                      <w:sz w:val="21"/>
                      <w14:textFill>
                        <w14:solidFill>
                          <w14:schemeClr w14:val="tx1"/>
                        </w14:solidFill>
                      </w14:textFill>
                    </w:rPr>
                    <w:t>/</w:t>
                  </w:r>
                  <w:r>
                    <w:rPr>
                      <w:rFonts w:hint="default" w:ascii="Times New Roman" w:hAnsi="Times New Roman" w:cs="Times New Roman"/>
                      <w:color w:val="000000" w:themeColor="text1"/>
                      <w:sz w:val="21"/>
                      <w14:textFill>
                        <w14:solidFill>
                          <w14:schemeClr w14:val="tx1"/>
                        </w14:solidFill>
                      </w14:textFill>
                    </w:rPr>
                    <w:t>天</w:t>
                  </w:r>
                  <w:r>
                    <w:rPr>
                      <w:rFonts w:hint="default" w:ascii="Times New Roman" w:hAnsi="Times New Roman" w:cs="Times New Roman"/>
                      <w:color w:val="000000" w:themeColor="text1"/>
                      <w:sz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昼间一次</w:t>
                  </w:r>
                </w:p>
              </w:tc>
            </w:tr>
          </w:tbl>
          <w:p w14:paraId="049E9F8E">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4、固体废物</w:t>
            </w:r>
          </w:p>
          <w:p w14:paraId="007E85D5">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固体废物产生及处置情况</w:t>
            </w:r>
          </w:p>
          <w:p w14:paraId="3D4D880F">
            <w:pPr>
              <w:pStyle w:val="5"/>
              <w:spacing w:line="360" w:lineRule="auto"/>
              <w:ind w:firstLine="48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无固体废物产生。</w:t>
            </w:r>
          </w:p>
          <w:p w14:paraId="0A56A7C4">
            <w:pPr>
              <w:autoSpaceDE w:val="0"/>
              <w:autoSpaceDN w:val="0"/>
              <w:adjustRightInd w:val="0"/>
              <w:spacing w:line="360" w:lineRule="auto"/>
              <w:ind w:firstLine="420" w:firstLineChars="200"/>
              <w:jc w:val="left"/>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（2）固废环境影响分析</w:t>
            </w:r>
          </w:p>
          <w:p w14:paraId="7B93E454">
            <w:pPr>
              <w:autoSpaceDE w:val="0"/>
              <w:autoSpaceDN w:val="0"/>
              <w:adjustRightInd w:val="0"/>
              <w:spacing w:line="360" w:lineRule="auto"/>
              <w:ind w:firstLine="420" w:firstLineChars="200"/>
              <w:jc w:val="left"/>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①一般工业固废贮存场所（设施）环境影响分析</w:t>
            </w:r>
          </w:p>
          <w:p w14:paraId="40F34159">
            <w:pPr>
              <w:adjustRightInd w:val="0"/>
              <w:snapToGrid w:val="0"/>
              <w:spacing w:line="360" w:lineRule="auto"/>
              <w:ind w:firstLine="420" w:firstLineChars="200"/>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本项目无固体废物产生，全厂</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产生的边角料、</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不合格品</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等属于一般工业固废，收集后出售处理。本项目设置</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有</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1个</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100</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m</w:t>
            </w:r>
            <w:r>
              <w:rPr>
                <w:rFonts w:hint="default" w:ascii="Times New Roman" w:hAnsi="Times New Roman" w:cs="Times New Roman"/>
                <w:b w:val="0"/>
                <w:bCs w:val="0"/>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一般固废堆放区。</w:t>
            </w:r>
            <w:r>
              <w:rPr>
                <w:rFonts w:hint="default" w:ascii="Times New Roman" w:hAnsi="Times New Roman" w:eastAsia="宋体" w:cs="Times New Roman"/>
                <w:color w:val="000000" w:themeColor="text1"/>
                <w:kern w:val="0"/>
                <w:szCs w:val="21"/>
                <w14:textFill>
                  <w14:solidFill>
                    <w14:schemeClr w14:val="tx1"/>
                  </w14:solidFill>
                </w14:textFill>
              </w:rPr>
              <w:t>按照</w:t>
            </w:r>
            <w:r>
              <w:rPr>
                <w:rFonts w:hint="default" w:ascii="Times New Roman" w:hAnsi="Times New Roman" w:cs="Times New Roman"/>
                <w:color w:val="000000" w:themeColor="text1"/>
                <w:kern w:val="0"/>
                <w:szCs w:val="21"/>
                <w:lang w:eastAsia="zh-CN"/>
                <w14:textFill>
                  <w14:solidFill>
                    <w14:schemeClr w14:val="tx1"/>
                  </w14:solidFill>
                </w14:textFill>
              </w:rPr>
              <w:t>通海门环发〔</w:t>
            </w:r>
            <w:r>
              <w:rPr>
                <w:rFonts w:hint="default" w:ascii="Times New Roman" w:hAnsi="Times New Roman" w:cs="Times New Roman"/>
                <w:color w:val="000000" w:themeColor="text1"/>
                <w:kern w:val="0"/>
                <w:szCs w:val="21"/>
                <w:lang w:val="en-US" w:eastAsia="zh-CN"/>
                <w14:textFill>
                  <w14:solidFill>
                    <w14:schemeClr w14:val="tx1"/>
                  </w14:solidFill>
                </w14:textFill>
              </w:rPr>
              <w:t>2023〕46号、</w:t>
            </w:r>
            <w:r>
              <w:rPr>
                <w:rFonts w:hint="default" w:ascii="Times New Roman" w:hAnsi="Times New Roman" w:eastAsia="宋体" w:cs="Times New Roman"/>
                <w:color w:val="000000" w:themeColor="text1"/>
                <w:kern w:val="0"/>
                <w:szCs w:val="21"/>
                <w14:textFill>
                  <w14:solidFill>
                    <w14:schemeClr w14:val="tx1"/>
                  </w14:solidFill>
                </w14:textFill>
              </w:rPr>
              <w:t>《一般工业固体废物贮存和填埋污染控制标准》（GB 18599-2020）对照完善，该一般固废暂存区需满足如下具体要求：</w:t>
            </w:r>
          </w:p>
          <w:p w14:paraId="3C6CF514">
            <w:pPr>
              <w:adjustRightInd w:val="0"/>
              <w:snapToGrid w:val="0"/>
              <w:spacing w:line="360" w:lineRule="auto"/>
              <w:ind w:firstLine="420" w:firstLineChars="20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r>
              <w:rPr>
                <w:rFonts w:hint="default" w:ascii="Times New Roman" w:hAnsi="Times New Roman" w:cs="Times New Roman"/>
                <w:color w:val="000000" w:themeColor="text1"/>
                <w:kern w:val="0"/>
                <w:szCs w:val="21"/>
                <w:lang w:eastAsia="zh-CN"/>
                <w14:textFill>
                  <w14:solidFill>
                    <w14:schemeClr w14:val="tx1"/>
                  </w14:solidFill>
                </w14:textFill>
              </w:rPr>
              <w:t xml:space="preserve">加强源头管控，按照《一般工业固体废物管理台账制作指南 （试行）》 （生态环境部公告2021年第82号 </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eastAsia="zh-CN"/>
                <w14:textFill>
                  <w14:solidFill>
                    <w14:schemeClr w14:val="tx1"/>
                  </w14:solidFill>
                </w14:textFill>
              </w:rPr>
              <w:t xml:space="preserve"> （附件1</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eastAsia="zh-CN"/>
                <w14:textFill>
                  <w14:solidFill>
                    <w14:schemeClr w14:val="tx1"/>
                  </w14:solidFill>
                </w14:textFill>
              </w:rPr>
              <w:t xml:space="preserve"> 要求，建立一般工业固体废物管理台账等。</w:t>
            </w:r>
          </w:p>
          <w:p w14:paraId="2C92C9F3">
            <w:pPr>
              <w:adjustRightInd w:val="0"/>
              <w:snapToGrid w:val="0"/>
              <w:spacing w:line="360" w:lineRule="auto"/>
              <w:ind w:firstLine="420" w:firstLineChars="20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2）规范厂内贮存，</w:t>
            </w:r>
            <w:r>
              <w:rPr>
                <w:rFonts w:hint="default" w:ascii="Times New Roman" w:hAnsi="Times New Roman" w:eastAsia="宋体" w:cs="Times New Roman"/>
                <w:color w:val="000000" w:themeColor="text1"/>
                <w:kern w:val="0"/>
                <w:szCs w:val="21"/>
                <w14:textFill>
                  <w14:solidFill>
                    <w14:schemeClr w14:val="tx1"/>
                  </w14:solidFill>
                </w14:textFill>
              </w:rPr>
              <w:t>贮存场的建设类型，按照《环境保护图形标志—固体废物贮存（处置场）》（GB15562.2-1995）要求，贮存场规范张贴环保标志。</w:t>
            </w:r>
          </w:p>
          <w:p w14:paraId="7F3A7355">
            <w:pPr>
              <w:adjustRightInd w:val="0"/>
              <w:snapToGrid w:val="0"/>
              <w:spacing w:line="360" w:lineRule="auto"/>
              <w:ind w:firstLine="420" w:firstLineChars="20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3）加强运输、利用、处置过程管理，</w:t>
            </w:r>
            <w:r>
              <w:rPr>
                <w:rFonts w:hint="default" w:ascii="Times New Roman" w:hAnsi="Times New Roman" w:eastAsia="宋体" w:cs="Times New Roman"/>
                <w:color w:val="000000" w:themeColor="text1"/>
                <w:kern w:val="0"/>
                <w:szCs w:val="21"/>
                <w14:textFill>
                  <w14:solidFill>
                    <w14:schemeClr w14:val="tx1"/>
                  </w14:solidFill>
                </w14:textFill>
              </w:rPr>
              <w:t>必须与将要堆放的一般工业固体废物的类别相一致，一般工业固体废物暂存区禁止危险废物和生活垃圾混入。</w:t>
            </w:r>
          </w:p>
          <w:p w14:paraId="4DA12061">
            <w:pPr>
              <w:adjustRightInd w:val="0"/>
              <w:snapToGrid w:val="0"/>
              <w:spacing w:line="360" w:lineRule="auto"/>
              <w:ind w:firstLine="420" w:firstLineChars="200"/>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4）严格落实排污许可证制度。</w:t>
            </w:r>
          </w:p>
          <w:p w14:paraId="62308989">
            <w:pPr>
              <w:adjustRightInd w:val="0"/>
              <w:snapToGrid w:val="0"/>
              <w:spacing w:line="360" w:lineRule="auto"/>
              <w:ind w:firstLine="420" w:firstLineChars="200"/>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5）规范一般工业固体废物转移处置流程，鼓励一般工业固废就近利用处置，原则上一般工业固废利用处置不出省。</w:t>
            </w:r>
          </w:p>
          <w:p w14:paraId="7A4A294C">
            <w:pPr>
              <w:adjustRightInd w:val="0"/>
              <w:snapToGrid w:val="0"/>
              <w:spacing w:line="360" w:lineRule="auto"/>
              <w:ind w:firstLine="420" w:firstLineChars="200"/>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从项目采用的固废利用及处置方式来分析，对产生的各类固废按其性质分类分区收集和暂存，并均能得到有效利用或妥善处置。在严格管理下，项目的固体废物对周围环境不会产生二次污染。</w:t>
            </w:r>
          </w:p>
          <w:p w14:paraId="7B0A1C20">
            <w:pPr>
              <w:autoSpaceDE w:val="0"/>
              <w:autoSpaceDN w:val="0"/>
              <w:adjustRightInd w:val="0"/>
              <w:spacing w:line="360" w:lineRule="auto"/>
              <w:ind w:firstLine="420" w:firstLineChars="200"/>
              <w:jc w:val="left"/>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②危险废物贮存场所（设施）环境影响分析</w:t>
            </w:r>
          </w:p>
          <w:p w14:paraId="65A34B1F">
            <w:pPr>
              <w:adjustRightInd w:val="0"/>
              <w:snapToGrid w:val="0"/>
              <w:spacing w:line="360" w:lineRule="auto"/>
              <w:ind w:firstLine="420" w:firstLineChars="20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本项目</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无危险废物产生</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w:t>
            </w:r>
          </w:p>
          <w:p w14:paraId="701E1CC6">
            <w:pPr>
              <w:adjustRightInd w:val="0"/>
              <w:snapToGrid w:val="0"/>
              <w:spacing w:line="360" w:lineRule="auto"/>
              <w:ind w:firstLine="420" w:firstLineChars="20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（3）固体废物污染防治措施技术经济论证</w:t>
            </w:r>
          </w:p>
          <w:p w14:paraId="4C7ECE0F">
            <w:pPr>
              <w:adjustRightInd w:val="0"/>
              <w:snapToGrid w:val="0"/>
              <w:spacing w:line="360" w:lineRule="auto"/>
              <w:ind w:firstLine="420" w:firstLineChars="200"/>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①贮存场所（设施）污染防治措施及事故风险应急防范措施固体废弃物在外运处置之前，针对固体废物不同性质，采取在厂区内设置专门的固废仓库分类存放。 </w:t>
            </w:r>
          </w:p>
          <w:p w14:paraId="34217380">
            <w:pPr>
              <w:adjustRightInd w:val="0"/>
              <w:snapToGrid w:val="0"/>
              <w:spacing w:line="360" w:lineRule="auto"/>
              <w:ind w:firstLine="420" w:firstLineChars="200"/>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固体废物贮存场所的面积满足贮存需求，做到贮存时间不超过一年。从项目产生的固废的处置情况来看，各类固废都得到了合理安全的处置，对周围环境的影响不大，但是评价仍要求建设单位对固废处置不能随意处理，也不能乱堆乱放，在生产过程中要注意对这些固废的收集和储运，必须切实做好固废的分类工作，尽可能回收其中可以再利用的部分，切实按照本环评提出的方案进行处置。</w:t>
            </w:r>
          </w:p>
          <w:p w14:paraId="7409ABDA">
            <w:pPr>
              <w:adjustRightInd w:val="0"/>
              <w:snapToGrid w:val="0"/>
              <w:spacing w:line="360" w:lineRule="auto"/>
              <w:ind w:firstLine="420" w:firstLineChars="200"/>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②</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对照《关于开展工业固体废物排污许可管理工作的通知》（环办环评〔2021〕26号）相关要求： </w:t>
            </w:r>
          </w:p>
          <w:p w14:paraId="4B36D4EA">
            <w:pPr>
              <w:adjustRightInd w:val="0"/>
              <w:snapToGrid w:val="0"/>
              <w:spacing w:line="360" w:lineRule="auto"/>
              <w:ind w:firstLine="420" w:firstLineChars="200"/>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根据《关于开展工业固体废物排污许可管理工作的通知》（环办环评〔2021〕26号），对于固废技术规范实施后首次申请排污许可证的产废单位，应按照相关行业排污许可证申请与核发技术规范和固废技术规范申领排污许可证，核发的排污许可证中一并载明工业固废环境管理要求。因此项目通过审批申领排污许可证时应明确工业固废环境管理的相关要求。 </w:t>
            </w:r>
          </w:p>
          <w:p w14:paraId="1F27FDD9">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5、地下水、土壤</w:t>
            </w:r>
          </w:p>
          <w:p w14:paraId="1B7C6D07">
            <w:pPr>
              <w:numPr>
                <w:ilvl w:val="0"/>
                <w:numId w:val="0"/>
              </w:numPr>
              <w:spacing w:line="360" w:lineRule="auto"/>
              <w:ind w:leftChars="200" w:right="0" w:rightChars="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（1）地下水、土壤污染来源与污染途径</w:t>
            </w:r>
          </w:p>
          <w:p w14:paraId="57232C0F">
            <w:pPr>
              <w:numPr>
                <w:ilvl w:val="0"/>
                <w:numId w:val="0"/>
              </w:numPr>
              <w:spacing w:line="360" w:lineRule="auto"/>
              <w:ind w:right="0" w:rightChars="0"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本项目运营期生产过程中不抽取地下水。</w:t>
            </w:r>
          </w:p>
          <w:p w14:paraId="7A4B2499">
            <w:pPr>
              <w:numPr>
                <w:ilvl w:val="0"/>
                <w:numId w:val="0"/>
              </w:numPr>
              <w:spacing w:line="360" w:lineRule="auto"/>
              <w:ind w:right="0" w:rightChars="0"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（2）地下水、土壤环境影响分析</w:t>
            </w:r>
          </w:p>
          <w:p w14:paraId="10135D48">
            <w:pPr>
              <w:numPr>
                <w:ilvl w:val="0"/>
                <w:numId w:val="0"/>
              </w:numPr>
              <w:spacing w:line="360" w:lineRule="auto"/>
              <w:ind w:right="0" w:rightChars="0"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本项目不自建地下水井，项目无生产废水，现有生活污水经预处理后由市政污水管网排入污水处理厂处理，污水管渗漏率极低，因此，生活污水的排放对地下水、土壤的影响有限。</w:t>
            </w:r>
          </w:p>
          <w:p w14:paraId="1433423D">
            <w:pPr>
              <w:numPr>
                <w:ilvl w:val="0"/>
                <w:numId w:val="0"/>
              </w:numPr>
              <w:spacing w:line="360" w:lineRule="auto"/>
              <w:ind w:right="0" w:rightChars="0"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项目所在地不属于生活供水水源地准保护区，不属于国家或地方设立的热水、矿泉水、温泉等特殊地下水资源保护区，因此项目生活污水不会对地下水、土壤产生明显影响。</w:t>
            </w:r>
          </w:p>
          <w:p w14:paraId="75815A0D">
            <w:pPr>
              <w:numPr>
                <w:ilvl w:val="0"/>
                <w:numId w:val="0"/>
              </w:numPr>
              <w:spacing w:line="360" w:lineRule="auto"/>
              <w:ind w:right="0" w:rightChars="0" w:firstLine="420" w:firstLineChars="20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（3）防治措施</w:t>
            </w:r>
          </w:p>
          <w:p w14:paraId="50FB375C">
            <w:pPr>
              <w:numPr>
                <w:ilvl w:val="0"/>
                <w:numId w:val="0"/>
              </w:numPr>
              <w:spacing w:line="360" w:lineRule="auto"/>
              <w:ind w:right="0" w:rightChars="0"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本次评价主要考虑各类污染防治措施运行过程中发生的跑冒滴漏等。当发生上述</w:t>
            </w:r>
            <w:r>
              <w:rPr>
                <w:rFonts w:hint="eastAsia" w:ascii="Times New Roman" w:hAnsi="Times New Roman" w:cs="Times New Roman"/>
                <w:color w:val="000000" w:themeColor="text1"/>
                <w:sz w:val="21"/>
                <w:szCs w:val="21"/>
                <w:lang w:val="en-US" w:eastAsia="zh-CN"/>
                <w14:textFill>
                  <w14:solidFill>
                    <w14:schemeClr w14:val="tx1"/>
                  </w14:solidFill>
                </w14:textFill>
              </w:rPr>
              <w:t>泄漏</w:t>
            </w:r>
            <w:r>
              <w:rPr>
                <w:rFonts w:hint="default" w:ascii="Times New Roman" w:hAnsi="Times New Roman" w:cs="Times New Roman"/>
                <w:color w:val="000000" w:themeColor="text1"/>
                <w:sz w:val="21"/>
                <w:szCs w:val="21"/>
                <w:lang w:val="en-US" w:eastAsia="zh-CN"/>
                <w14:textFill>
                  <w14:solidFill>
                    <w14:schemeClr w14:val="tx1"/>
                  </w14:solidFill>
                </w14:textFill>
              </w:rPr>
              <w:t>情况下，污染物可能渗透到含水层对地下水水质造成影响，并通过扩散和渗透作用对周边区域的地下水、土壤环境造成影响。根据项目的地下水、土壤污染影响来源，</w:t>
            </w:r>
          </w:p>
          <w:p w14:paraId="079AB97D">
            <w:pPr>
              <w:numPr>
                <w:ilvl w:val="0"/>
                <w:numId w:val="0"/>
              </w:numPr>
              <w:spacing w:line="360" w:lineRule="auto"/>
              <w:ind w:right="0" w:rightChars="0"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本报告提出如下污染防治措施：</w:t>
            </w:r>
          </w:p>
          <w:p w14:paraId="3E637C83">
            <w:pPr>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1）分区防渗措施防止地下水、土壤污染，项目保护地下水、土壤分区防护措施详见表4-</w:t>
            </w:r>
            <w:r>
              <w:rPr>
                <w:rFonts w:hint="eastAsia" w:ascii="Times New Roman" w:hAnsi="Times New Roman" w:cs="Times New Roman"/>
                <w:color w:val="000000" w:themeColor="text1"/>
                <w:sz w:val="21"/>
                <w:szCs w:val="21"/>
                <w:lang w:val="en-US" w:eastAsia="zh-CN"/>
                <w14:textFill>
                  <w14:solidFill>
                    <w14:schemeClr w14:val="tx1"/>
                  </w14:solidFill>
                </w14:textFill>
              </w:rPr>
              <w:t>23</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3D50A799">
            <w:pPr>
              <w:keepNext w:val="0"/>
              <w:keepLines w:val="0"/>
              <w:pageBreakBefore w:val="0"/>
              <w:widowControl w:val="0"/>
              <w:kinsoku/>
              <w:wordWrap/>
              <w:overflowPunct/>
              <w:topLinePunct w:val="0"/>
              <w:autoSpaceDE/>
              <w:autoSpaceDN/>
              <w:bidi w:val="0"/>
              <w:spacing w:line="240" w:lineRule="auto"/>
              <w:ind w:firstLine="422" w:firstLineChars="20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表4-</w:t>
            </w: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23</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1"/>
                <w:szCs w:val="21"/>
                <w14:textFill>
                  <w14:solidFill>
                    <w14:schemeClr w14:val="tx1"/>
                  </w14:solidFill>
                </w14:textFill>
              </w:rPr>
              <w:t xml:space="preserve"> 本项目分区防渗方案及防渗措施表</w:t>
            </w:r>
          </w:p>
          <w:tbl>
            <w:tblPr>
              <w:tblStyle w:val="4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5"/>
              <w:gridCol w:w="1207"/>
              <w:gridCol w:w="1879"/>
              <w:gridCol w:w="4377"/>
            </w:tblGrid>
            <w:tr w14:paraId="38452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487" w:type="pct"/>
                  <w:noWrap w:val="0"/>
                  <w:vAlign w:val="center"/>
                </w:tcPr>
                <w:p w14:paraId="2423F230">
                  <w:pPr>
                    <w:ind w:right="6"/>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序号</w:t>
                  </w:r>
                </w:p>
              </w:tc>
              <w:tc>
                <w:tcPr>
                  <w:tcW w:w="730" w:type="pct"/>
                  <w:noWrap w:val="0"/>
                  <w:vAlign w:val="center"/>
                </w:tcPr>
                <w:p w14:paraId="7DD67693">
                  <w:pPr>
                    <w:ind w:right="6"/>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防治分区</w:t>
                  </w:r>
                </w:p>
              </w:tc>
              <w:tc>
                <w:tcPr>
                  <w:tcW w:w="1136" w:type="pct"/>
                  <w:noWrap w:val="0"/>
                  <w:vAlign w:val="center"/>
                </w:tcPr>
                <w:p w14:paraId="2028D66D">
                  <w:pPr>
                    <w:ind w:right="6"/>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分区位置</w:t>
                  </w:r>
                </w:p>
              </w:tc>
              <w:tc>
                <w:tcPr>
                  <w:tcW w:w="2646" w:type="pct"/>
                  <w:noWrap w:val="0"/>
                  <w:vAlign w:val="center"/>
                </w:tcPr>
                <w:p w14:paraId="15E8C0D8">
                  <w:pPr>
                    <w:ind w:right="6"/>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防渗要求</w:t>
                  </w:r>
                </w:p>
              </w:tc>
            </w:tr>
            <w:tr w14:paraId="72245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487" w:type="pct"/>
                  <w:tcBorders>
                    <w:top w:val="single" w:color="auto" w:sz="4" w:space="0"/>
                    <w:bottom w:val="single" w:color="auto" w:sz="4" w:space="0"/>
                  </w:tcBorders>
                  <w:noWrap w:val="0"/>
                  <w:vAlign w:val="center"/>
                </w:tcPr>
                <w:p w14:paraId="2E5995E0">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w:t>
                  </w:r>
                </w:p>
              </w:tc>
              <w:tc>
                <w:tcPr>
                  <w:tcW w:w="730" w:type="pct"/>
                  <w:tcBorders>
                    <w:top w:val="single" w:color="auto" w:sz="4" w:space="0"/>
                    <w:bottom w:val="single" w:color="auto" w:sz="4" w:space="0"/>
                  </w:tcBorders>
                  <w:noWrap w:val="0"/>
                  <w:vAlign w:val="center"/>
                </w:tcPr>
                <w:p w14:paraId="03F9B520">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重点污染防治区</w:t>
                  </w:r>
                </w:p>
              </w:tc>
              <w:tc>
                <w:tcPr>
                  <w:tcW w:w="1136" w:type="pct"/>
                  <w:noWrap w:val="0"/>
                  <w:vAlign w:val="center"/>
                </w:tcPr>
                <w:p w14:paraId="4F039BA6">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锅炉房</w:t>
                  </w:r>
                </w:p>
              </w:tc>
              <w:tc>
                <w:tcPr>
                  <w:tcW w:w="2646" w:type="pct"/>
                  <w:noWrap w:val="0"/>
                  <w:vAlign w:val="center"/>
                </w:tcPr>
                <w:p w14:paraId="136C867F">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依据国家危险贮存标准要求设计、施工，采用钢筋砼框架结构+轻质外围护墙体，并采用底部加设土工膜进行防渗，使渗透系数不大于1.0×10 -10cm/s，且防雨和防晒</w:t>
                  </w:r>
                </w:p>
              </w:tc>
            </w:tr>
            <w:tr w14:paraId="5E331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487" w:type="pct"/>
                  <w:tcBorders>
                    <w:top w:val="single" w:color="auto" w:sz="4" w:space="0"/>
                  </w:tcBorders>
                  <w:noWrap w:val="0"/>
                  <w:vAlign w:val="center"/>
                </w:tcPr>
                <w:p w14:paraId="3764486D">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w:t>
                  </w:r>
                </w:p>
              </w:tc>
              <w:tc>
                <w:tcPr>
                  <w:tcW w:w="730" w:type="pct"/>
                  <w:vMerge w:val="restart"/>
                  <w:tcBorders>
                    <w:top w:val="single" w:color="auto" w:sz="4" w:space="0"/>
                  </w:tcBorders>
                  <w:noWrap w:val="0"/>
                  <w:vAlign w:val="center"/>
                </w:tcPr>
                <w:p w14:paraId="6DCAB068">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一般污染防治区</w:t>
                  </w:r>
                </w:p>
              </w:tc>
              <w:tc>
                <w:tcPr>
                  <w:tcW w:w="1136" w:type="pct"/>
                  <w:noWrap w:val="0"/>
                  <w:vAlign w:val="center"/>
                </w:tcPr>
                <w:p w14:paraId="401C8AB7">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一般固废暂存场所</w:t>
                  </w:r>
                </w:p>
              </w:tc>
              <w:tc>
                <w:tcPr>
                  <w:tcW w:w="2646" w:type="pct"/>
                  <w:vMerge w:val="restart"/>
                  <w:noWrap w:val="0"/>
                  <w:vAlign w:val="center"/>
                </w:tcPr>
                <w:p w14:paraId="3955D586">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地面基础防渗和构筑物防渗等级达到渗透系数≤1.0×10-7cm/s，相当于不小于1.5m厚的粘土防护</w:t>
                  </w:r>
                </w:p>
              </w:tc>
            </w:tr>
            <w:tr w14:paraId="2B3D6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487" w:type="pct"/>
                  <w:tcBorders>
                    <w:top w:val="single" w:color="auto" w:sz="4" w:space="0"/>
                  </w:tcBorders>
                  <w:noWrap w:val="0"/>
                  <w:vAlign w:val="center"/>
                </w:tcPr>
                <w:p w14:paraId="3FF1816B">
                  <w:pPr>
                    <w:jc w:val="center"/>
                    <w:rPr>
                      <w:rFonts w:hint="default" w:ascii="Times New Roman" w:hAnsi="Times New Roman" w:cs="Times New Roman"/>
                      <w:color w:val="000000" w:themeColor="text1"/>
                      <w:kern w:val="0"/>
                      <w:szCs w:val="21"/>
                      <w14:textFill>
                        <w14:solidFill>
                          <w14:schemeClr w14:val="tx1"/>
                        </w14:solidFill>
                      </w14:textFill>
                    </w:rPr>
                  </w:pPr>
                </w:p>
              </w:tc>
              <w:tc>
                <w:tcPr>
                  <w:tcW w:w="730" w:type="pct"/>
                  <w:vMerge w:val="continue"/>
                  <w:noWrap w:val="0"/>
                  <w:vAlign w:val="center"/>
                </w:tcPr>
                <w:p w14:paraId="57707994">
                  <w:pPr>
                    <w:jc w:val="center"/>
                    <w:rPr>
                      <w:rFonts w:hint="default" w:ascii="Times New Roman" w:hAnsi="Times New Roman" w:cs="Times New Roman"/>
                      <w:color w:val="000000" w:themeColor="text1"/>
                      <w:kern w:val="0"/>
                      <w:szCs w:val="21"/>
                      <w14:textFill>
                        <w14:solidFill>
                          <w14:schemeClr w14:val="tx1"/>
                        </w14:solidFill>
                      </w14:textFill>
                    </w:rPr>
                  </w:pPr>
                </w:p>
              </w:tc>
              <w:tc>
                <w:tcPr>
                  <w:tcW w:w="1136" w:type="pct"/>
                  <w:noWrap w:val="0"/>
                  <w:vAlign w:val="center"/>
                </w:tcPr>
                <w:p w14:paraId="5C876DC9">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原料仓库</w:t>
                  </w:r>
                </w:p>
              </w:tc>
              <w:tc>
                <w:tcPr>
                  <w:tcW w:w="2646" w:type="pct"/>
                  <w:vMerge w:val="continue"/>
                  <w:noWrap w:val="0"/>
                  <w:vAlign w:val="center"/>
                </w:tcPr>
                <w:p w14:paraId="577CE5EC">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r w14:paraId="4DA0A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487" w:type="pct"/>
                  <w:noWrap w:val="0"/>
                  <w:vAlign w:val="center"/>
                </w:tcPr>
                <w:p w14:paraId="16603E68">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w:t>
                  </w:r>
                </w:p>
              </w:tc>
              <w:tc>
                <w:tcPr>
                  <w:tcW w:w="730" w:type="pct"/>
                  <w:vMerge w:val="continue"/>
                  <w:noWrap w:val="0"/>
                  <w:vAlign w:val="center"/>
                </w:tcPr>
                <w:p w14:paraId="5F906D2E">
                  <w:pPr>
                    <w:jc w:val="center"/>
                    <w:rPr>
                      <w:rFonts w:hint="default" w:ascii="Times New Roman" w:hAnsi="Times New Roman" w:cs="Times New Roman"/>
                      <w:color w:val="000000" w:themeColor="text1"/>
                      <w:kern w:val="0"/>
                      <w:szCs w:val="21"/>
                      <w14:textFill>
                        <w14:solidFill>
                          <w14:schemeClr w14:val="tx1"/>
                        </w14:solidFill>
                      </w14:textFill>
                    </w:rPr>
                  </w:pPr>
                </w:p>
              </w:tc>
              <w:tc>
                <w:tcPr>
                  <w:tcW w:w="1136" w:type="pct"/>
                  <w:noWrap w:val="0"/>
                  <w:vAlign w:val="center"/>
                </w:tcPr>
                <w:p w14:paraId="0788DE0E">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生产车间</w:t>
                  </w:r>
                </w:p>
              </w:tc>
              <w:tc>
                <w:tcPr>
                  <w:tcW w:w="2646" w:type="pct"/>
                  <w:vMerge w:val="continue"/>
                  <w:noWrap w:val="0"/>
                  <w:vAlign w:val="center"/>
                </w:tcPr>
                <w:p w14:paraId="56E1B123">
                  <w:pPr>
                    <w:jc w:val="center"/>
                    <w:rPr>
                      <w:rFonts w:hint="default" w:ascii="Times New Roman" w:hAnsi="Times New Roman" w:cs="Times New Roman"/>
                      <w:color w:val="000000" w:themeColor="text1"/>
                      <w:kern w:val="0"/>
                      <w:szCs w:val="21"/>
                      <w14:textFill>
                        <w14:solidFill>
                          <w14:schemeClr w14:val="tx1"/>
                        </w14:solidFill>
                      </w14:textFill>
                    </w:rPr>
                  </w:pPr>
                </w:p>
              </w:tc>
            </w:tr>
            <w:tr w14:paraId="4265C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trPr>
              <w:tc>
                <w:tcPr>
                  <w:tcW w:w="487" w:type="pct"/>
                  <w:noWrap w:val="0"/>
                  <w:vAlign w:val="center"/>
                </w:tcPr>
                <w:p w14:paraId="60DAFCB9">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w:t>
                  </w:r>
                </w:p>
              </w:tc>
              <w:tc>
                <w:tcPr>
                  <w:tcW w:w="730" w:type="pct"/>
                  <w:noWrap w:val="0"/>
                  <w:vAlign w:val="center"/>
                </w:tcPr>
                <w:p w14:paraId="6B5F9FC0">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简单防渗区</w:t>
                  </w:r>
                </w:p>
              </w:tc>
              <w:tc>
                <w:tcPr>
                  <w:tcW w:w="1136" w:type="pct"/>
                  <w:noWrap w:val="0"/>
                  <w:vAlign w:val="center"/>
                </w:tcPr>
                <w:p w14:paraId="7E3304BC">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办公</w:t>
                  </w:r>
                  <w:r>
                    <w:rPr>
                      <w:rFonts w:hint="default" w:ascii="Times New Roman" w:hAnsi="Times New Roman" w:cs="Times New Roman"/>
                      <w:color w:val="000000" w:themeColor="text1"/>
                      <w:kern w:val="0"/>
                      <w:szCs w:val="21"/>
                      <w:lang w:eastAsia="zh-CN"/>
                      <w14:textFill>
                        <w14:solidFill>
                          <w14:schemeClr w14:val="tx1"/>
                        </w14:solidFill>
                      </w14:textFill>
                    </w:rPr>
                    <w:t>区</w:t>
                  </w:r>
                </w:p>
              </w:tc>
              <w:tc>
                <w:tcPr>
                  <w:tcW w:w="2646" w:type="pct"/>
                  <w:noWrap w:val="0"/>
                  <w:vAlign w:val="center"/>
                </w:tcPr>
                <w:p w14:paraId="79EA640F">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一般地面硬化</w:t>
                  </w:r>
                </w:p>
              </w:tc>
            </w:tr>
          </w:tbl>
          <w:p w14:paraId="792AB3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2）厂房门口设置缓坡，当发生事故时，将事故废水堵截在厂区事故应急池内暂存，防止发生事故时事故废水污染地下水，同时厂房内应做好防腐、防渗措施。</w:t>
            </w:r>
          </w:p>
          <w:p w14:paraId="20F1001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3）对于</w:t>
            </w:r>
            <w:r>
              <w:rPr>
                <w:rFonts w:hint="eastAsia" w:ascii="Times New Roman" w:hAnsi="Times New Roman" w:cs="Times New Roman"/>
                <w:color w:val="000000" w:themeColor="text1"/>
                <w:sz w:val="21"/>
                <w:szCs w:val="21"/>
                <w:lang w:val="en-US" w:eastAsia="zh-CN"/>
                <w14:textFill>
                  <w14:solidFill>
                    <w14:schemeClr w14:val="tx1"/>
                  </w14:solidFill>
                </w14:textFill>
              </w:rPr>
              <w:t>泄漏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的物料应有具体防治措施，及时将</w:t>
            </w:r>
            <w:r>
              <w:rPr>
                <w:rFonts w:hint="eastAsia" w:ascii="Times New Roman" w:hAnsi="Times New Roman" w:cs="Times New Roman"/>
                <w:color w:val="000000" w:themeColor="text1"/>
                <w:sz w:val="21"/>
                <w:szCs w:val="21"/>
                <w:lang w:val="en-US" w:eastAsia="zh-CN"/>
                <w14:textFill>
                  <w14:solidFill>
                    <w14:schemeClr w14:val="tx1"/>
                  </w14:solidFill>
                </w14:textFill>
              </w:rPr>
              <w:t>泄漏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的物料收集并处理，防止其渗入地下。</w:t>
            </w:r>
          </w:p>
          <w:p w14:paraId="364DA1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4）采用国际先进的生产工艺和生产设备，进一步提高生产效益和劳动生产率，减少原材料消耗和污染物的排放。同时加强厂区内的计量和计量器具的维护管理，杜绝跑、冒、滴、漏等浪费现象的发生。</w:t>
            </w:r>
          </w:p>
          <w:p w14:paraId="114499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5）保证厂房所需的生活用水均由工业区给水管网统一供给，不开采地下水资源。</w:t>
            </w:r>
          </w:p>
          <w:p w14:paraId="41C625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综上所述，项目营运期不会对项目所在地的地下水、土壤造成明显的不良影响，本项目做好地面防渗等相关措施后可无需进行地下水、土壤跟踪监测。</w:t>
            </w:r>
          </w:p>
          <w:p w14:paraId="63F69975">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6、生态</w:t>
            </w:r>
          </w:p>
          <w:p w14:paraId="26347700">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本项目位于</w:t>
            </w:r>
            <w:r>
              <w:rPr>
                <w:rFonts w:hint="default" w:ascii="Times New Roman" w:hAnsi="Times New Roman" w:cs="Times New Roman"/>
                <w:color w:val="000000" w:themeColor="text1"/>
                <w:szCs w:val="21"/>
                <w14:textFill>
                  <w14:solidFill>
                    <w14:schemeClr w14:val="tx1"/>
                  </w14:solidFill>
                </w14:textFill>
              </w:rPr>
              <w:t>江苏省南通市</w:t>
            </w:r>
            <w:r>
              <w:rPr>
                <w:rFonts w:hint="default" w:ascii="Times New Roman" w:hAnsi="Times New Roman" w:cs="Times New Roman"/>
                <w:color w:val="000000" w:themeColor="text1"/>
                <w:szCs w:val="21"/>
                <w:lang w:eastAsia="zh-CN"/>
                <w14:textFill>
                  <w14:solidFill>
                    <w14:schemeClr w14:val="tx1"/>
                  </w14:solidFill>
                </w14:textFill>
              </w:rPr>
              <w:t>海门经济技术开发区</w:t>
            </w:r>
            <w:r>
              <w:rPr>
                <w:rFonts w:hint="default" w:ascii="Times New Roman" w:hAnsi="Times New Roman" w:cs="Times New Roman"/>
                <w:color w:val="000000" w:themeColor="text1"/>
                <w:szCs w:val="21"/>
                <w:lang w:val="en-US" w:eastAsia="zh-CN"/>
                <w14:textFill>
                  <w14:solidFill>
                    <w14:schemeClr w14:val="tx1"/>
                  </w14:solidFill>
                </w14:textFill>
              </w:rPr>
              <w:t>人民东路南、通源路西侧</w:t>
            </w:r>
            <w:r>
              <w:rPr>
                <w:rFonts w:hint="default" w:ascii="Times New Roman" w:hAnsi="Times New Roman" w:cs="Times New Roman"/>
                <w:color w:val="000000" w:themeColor="text1"/>
                <w:sz w:val="21"/>
                <w:szCs w:val="21"/>
                <w14:textFill>
                  <w14:solidFill>
                    <w14:schemeClr w14:val="tx1"/>
                  </w14:solidFill>
                </w14:textFill>
              </w:rPr>
              <w:t>，用地范围内无生态环境保护目标，对周围生态环境基本不产生影响。</w:t>
            </w:r>
          </w:p>
          <w:p w14:paraId="763A9D4E">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7、环境风险</w:t>
            </w:r>
          </w:p>
          <w:p w14:paraId="3AD567EC">
            <w:pPr>
              <w:keepNext w:val="0"/>
              <w:keepLines/>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物质危险性识别</w:t>
            </w:r>
          </w:p>
          <w:p w14:paraId="32A23B41">
            <w:pPr>
              <w:adjustRightInd w:val="0"/>
              <w:snapToGrid w:val="0"/>
              <w:spacing w:line="360" w:lineRule="auto"/>
              <w:ind w:firstLine="420" w:firstLineChars="20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物质危险性识别包括主要原辅材料、燃料、中间产品、副产品、最终产品、污染物、火灾和爆炸伴生/次生物等。根据《建设项目环境风险评价技术导则》（HJ169-2018）</w:t>
            </w:r>
            <w:r>
              <w:rPr>
                <w:rFonts w:hint="default" w:ascii="Times New Roman" w:hAnsi="Times New Roman" w:cs="Times New Roman"/>
                <w:color w:val="000000" w:themeColor="text1"/>
                <w:sz w:val="21"/>
                <w:szCs w:val="21"/>
                <w:lang w:eastAsia="zh-CN"/>
                <w14:textFill>
                  <w14:solidFill>
                    <w14:schemeClr w14:val="tx1"/>
                  </w14:solidFill>
                </w14:textFill>
              </w:rPr>
              <w:t>，本项目风险物质具体情况见下表</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p w14:paraId="68DF35F0">
            <w:pPr>
              <w:pStyle w:val="214"/>
              <w:adjustRightInd w:val="0"/>
              <w:snapToGrid w:val="0"/>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4-2</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主要危险物质的理化性、毒理性及物质危险性鉴别表</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0"/>
              <w:gridCol w:w="1199"/>
              <w:gridCol w:w="1470"/>
              <w:gridCol w:w="1649"/>
              <w:gridCol w:w="1555"/>
              <w:gridCol w:w="1505"/>
            </w:tblGrid>
            <w:tr w14:paraId="430627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538" w:type="pct"/>
                  <w:tcBorders>
                    <w:right w:val="single" w:color="auto" w:sz="4" w:space="0"/>
                  </w:tcBorders>
                  <w:noWrap w:val="0"/>
                  <w:vAlign w:val="center"/>
                </w:tcPr>
                <w:p w14:paraId="1B7D0542">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序号</w:t>
                  </w:r>
                </w:p>
              </w:tc>
              <w:tc>
                <w:tcPr>
                  <w:tcW w:w="725" w:type="pct"/>
                  <w:tcBorders>
                    <w:left w:val="single" w:color="auto" w:sz="4" w:space="0"/>
                  </w:tcBorders>
                  <w:noWrap w:val="0"/>
                  <w:vAlign w:val="center"/>
                </w:tcPr>
                <w:p w14:paraId="46897060">
                  <w:pPr>
                    <w:adjustRightInd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888" w:type="pct"/>
                  <w:tcBorders>
                    <w:right w:val="single" w:color="auto" w:sz="4" w:space="0"/>
                  </w:tcBorders>
                  <w:noWrap w:val="0"/>
                  <w:vAlign w:val="center"/>
                </w:tcPr>
                <w:p w14:paraId="66D8A577">
                  <w:pPr>
                    <w:adjustRightInd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最大</w:t>
                  </w:r>
                  <w:r>
                    <w:rPr>
                      <w:rFonts w:hint="default" w:ascii="Times New Roman" w:hAnsi="Times New Roman" w:cs="Times New Roman"/>
                      <w:b/>
                      <w:bCs/>
                      <w:color w:val="000000" w:themeColor="text1"/>
                      <w:sz w:val="21"/>
                      <w:szCs w:val="21"/>
                      <w:highlight w:val="none"/>
                      <w14:textFill>
                        <w14:solidFill>
                          <w14:schemeClr w14:val="tx1"/>
                        </w14:solidFill>
                      </w14:textFill>
                    </w:rPr>
                    <w:t>贮存量t</w:t>
                  </w:r>
                </w:p>
              </w:tc>
              <w:tc>
                <w:tcPr>
                  <w:tcW w:w="997" w:type="pct"/>
                  <w:tcBorders>
                    <w:left w:val="single" w:color="auto" w:sz="4" w:space="0"/>
                  </w:tcBorders>
                  <w:noWrap w:val="0"/>
                  <w:vAlign w:val="center"/>
                </w:tcPr>
                <w:p w14:paraId="34FC915A">
                  <w:pPr>
                    <w:adjustRightInd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区域</w:t>
                  </w:r>
                </w:p>
              </w:tc>
              <w:tc>
                <w:tcPr>
                  <w:tcW w:w="940" w:type="pct"/>
                  <w:tcBorders>
                    <w:right w:val="single" w:color="auto" w:sz="4" w:space="0"/>
                  </w:tcBorders>
                  <w:noWrap w:val="0"/>
                  <w:vAlign w:val="center"/>
                </w:tcPr>
                <w:p w14:paraId="5712CE25">
                  <w:pPr>
                    <w:spacing w:line="240" w:lineRule="exact"/>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临界量Q（t）</w:t>
                  </w:r>
                </w:p>
              </w:tc>
              <w:tc>
                <w:tcPr>
                  <w:tcW w:w="910" w:type="pct"/>
                  <w:tcBorders>
                    <w:left w:val="single" w:color="auto" w:sz="4" w:space="0"/>
                  </w:tcBorders>
                  <w:noWrap w:val="0"/>
                  <w:vAlign w:val="center"/>
                </w:tcPr>
                <w:p w14:paraId="78F07680">
                  <w:pPr>
                    <w:spacing w:line="240" w:lineRule="exact"/>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q/Q</w:t>
                  </w:r>
                </w:p>
              </w:tc>
            </w:tr>
            <w:tr w14:paraId="05D20D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538" w:type="pct"/>
                  <w:tcBorders>
                    <w:right w:val="single" w:color="auto" w:sz="4" w:space="0"/>
                  </w:tcBorders>
                  <w:noWrap w:val="0"/>
                  <w:vAlign w:val="center"/>
                </w:tcPr>
                <w:p w14:paraId="55948DC0">
                  <w:pPr>
                    <w:widowControl/>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725" w:type="pct"/>
                  <w:tcBorders>
                    <w:left w:val="single" w:color="auto" w:sz="4" w:space="0"/>
                  </w:tcBorders>
                  <w:noWrap w:val="0"/>
                  <w:vAlign w:val="center"/>
                </w:tcPr>
                <w:p w14:paraId="7FE01958">
                  <w:pPr>
                    <w:widowControl/>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天然气</w:t>
                  </w:r>
                </w:p>
              </w:tc>
              <w:tc>
                <w:tcPr>
                  <w:tcW w:w="888" w:type="pct"/>
                  <w:tcBorders>
                    <w:right w:val="single" w:color="auto" w:sz="4" w:space="0"/>
                  </w:tcBorders>
                  <w:noWrap w:val="0"/>
                  <w:vAlign w:val="center"/>
                </w:tcPr>
                <w:p w14:paraId="34C59565">
                  <w:pPr>
                    <w:adjustRightInd w:val="0"/>
                    <w:snapToGrid w:val="0"/>
                    <w:jc w:val="center"/>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0.5</w:t>
                  </w:r>
                </w:p>
              </w:tc>
              <w:tc>
                <w:tcPr>
                  <w:tcW w:w="997" w:type="pct"/>
                  <w:tcBorders>
                    <w:left w:val="single" w:color="auto" w:sz="4" w:space="0"/>
                  </w:tcBorders>
                  <w:noWrap w:val="0"/>
                  <w:vAlign w:val="center"/>
                </w:tcPr>
                <w:p w14:paraId="1DAA330B">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管道内</w:t>
                  </w:r>
                </w:p>
              </w:tc>
              <w:tc>
                <w:tcPr>
                  <w:tcW w:w="940" w:type="pct"/>
                  <w:tcBorders>
                    <w:right w:val="single" w:color="auto" w:sz="4" w:space="0"/>
                  </w:tcBorders>
                  <w:noWrap w:val="0"/>
                  <w:vAlign w:val="center"/>
                </w:tcPr>
                <w:p w14:paraId="38147A45">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w:t>
                  </w:r>
                </w:p>
              </w:tc>
              <w:tc>
                <w:tcPr>
                  <w:tcW w:w="910" w:type="pct"/>
                  <w:tcBorders>
                    <w:left w:val="single" w:color="auto" w:sz="4" w:space="0"/>
                  </w:tcBorders>
                  <w:noWrap w:val="0"/>
                  <w:vAlign w:val="center"/>
                </w:tcPr>
                <w:p w14:paraId="2A144143">
                  <w:pPr>
                    <w:keepNext w:val="0"/>
                    <w:keepLines w:val="0"/>
                    <w:widowControl/>
                    <w:suppressLineNumbers w:val="0"/>
                    <w:jc w:val="center"/>
                    <w:textAlignment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r>
            <w:tr w14:paraId="5F5A13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538" w:type="pct"/>
                  <w:tcBorders>
                    <w:right w:val="single" w:color="auto" w:sz="4" w:space="0"/>
                  </w:tcBorders>
                  <w:noWrap w:val="0"/>
                  <w:vAlign w:val="center"/>
                </w:tcPr>
                <w:p w14:paraId="044CDD63">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合计</w:t>
                  </w:r>
                </w:p>
              </w:tc>
              <w:tc>
                <w:tcPr>
                  <w:tcW w:w="3551" w:type="pct"/>
                  <w:gridSpan w:val="4"/>
                  <w:tcBorders>
                    <w:left w:val="single" w:color="auto" w:sz="4" w:space="0"/>
                    <w:right w:val="single" w:color="auto" w:sz="4" w:space="0"/>
                  </w:tcBorders>
                  <w:noWrap w:val="0"/>
                  <w:vAlign w:val="center"/>
                </w:tcPr>
                <w:p w14:paraId="2067F909">
                  <w:pPr>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Q</w:t>
                  </w:r>
                </w:p>
              </w:tc>
              <w:tc>
                <w:tcPr>
                  <w:tcW w:w="910" w:type="pct"/>
                  <w:tcBorders>
                    <w:left w:val="single" w:color="auto" w:sz="4" w:space="0"/>
                  </w:tcBorders>
                  <w:noWrap w:val="0"/>
                  <w:vAlign w:val="center"/>
                </w:tcPr>
                <w:p w14:paraId="2853BD5C">
                  <w:pPr>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w:t>
                  </w:r>
                  <w:r>
                    <w:rPr>
                      <w:rFonts w:hint="eastAsia" w:ascii="Times New Roman" w:hAnsi="Times New Roman" w:cs="Times New Roman"/>
                      <w:bCs/>
                      <w:color w:val="000000" w:themeColor="text1"/>
                      <w:sz w:val="21"/>
                      <w:szCs w:val="21"/>
                      <w:lang w:val="en-US" w:eastAsia="zh-CN"/>
                      <w14:textFill>
                        <w14:solidFill>
                          <w14:schemeClr w14:val="tx1"/>
                        </w14:solidFill>
                      </w14:textFill>
                    </w:rPr>
                    <w:t>5</w:t>
                  </w:r>
                  <w:r>
                    <w:rPr>
                      <w:rFonts w:hint="default" w:ascii="Times New Roman" w:hAnsi="Times New Roman" w:cs="Times New Roman"/>
                      <w:bCs/>
                      <w:color w:val="000000" w:themeColor="text1"/>
                      <w:sz w:val="21"/>
                      <w:szCs w:val="21"/>
                      <w:lang w:val="en-US" w:eastAsia="zh-CN"/>
                      <w14:textFill>
                        <w14:solidFill>
                          <w14:schemeClr w14:val="tx1"/>
                        </w14:solidFill>
                      </w14:textFill>
                    </w:rPr>
                    <w:t>＜1</w:t>
                  </w:r>
                </w:p>
              </w:tc>
            </w:tr>
            <w:tr w14:paraId="14151F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5000" w:type="pct"/>
                  <w:gridSpan w:val="6"/>
                  <w:noWrap w:val="0"/>
                  <w:vAlign w:val="center"/>
                </w:tcPr>
                <w:p w14:paraId="768547F5">
                  <w:pPr>
                    <w:pStyle w:val="37"/>
                    <w:keepNext w:val="0"/>
                    <w:keepLines w:val="0"/>
                    <w:widowControl/>
                    <w:suppressLineNumbers w:val="0"/>
                    <w:spacing w:before="0" w:beforeAutospacing="0" w:after="0" w:afterAutospacing="0"/>
                    <w:ind w:left="0" w:right="0" w:firstLine="0"/>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注：天然气临界量参考</w:t>
                  </w:r>
                  <w:r>
                    <w:rPr>
                      <w:rFonts w:hint="default" w:ascii="Times New Roman" w:hAnsi="Times New Roman" w:cs="Times New Roman"/>
                      <w:color w:val="000000" w:themeColor="text1"/>
                      <w:sz w:val="21"/>
                      <w:szCs w:val="21"/>
                      <w14:textFill>
                        <w14:solidFill>
                          <w14:schemeClr w14:val="tx1"/>
                        </w14:solidFill>
                      </w14:textFill>
                    </w:rPr>
                    <w:t>《建设项目环境风险评价技术导则》（HJ169-2018）</w:t>
                  </w:r>
                  <w:r>
                    <w:rPr>
                      <w:rFonts w:hint="default" w:ascii="Times New Roman" w:hAnsi="Times New Roman" w:cs="Times New Roman"/>
                      <w:color w:val="000000" w:themeColor="text1"/>
                      <w:sz w:val="21"/>
                      <w:szCs w:val="21"/>
                      <w:lang w:val="en-US" w:eastAsia="zh-CN"/>
                      <w14:textFill>
                        <w14:solidFill>
                          <w14:schemeClr w14:val="tx1"/>
                        </w14:solidFill>
                      </w14:textFill>
                    </w:rPr>
                    <w:t>附录B中甲烷的临界量。</w:t>
                  </w:r>
                </w:p>
              </w:tc>
            </w:tr>
          </w:tbl>
          <w:p w14:paraId="32581BD5">
            <w:pPr>
              <w:keepNext w:val="0"/>
              <w:keepLines w:val="0"/>
              <w:pageBreakBefore w:val="0"/>
              <w:widowControl/>
              <w:suppressLineNumbers w:val="0"/>
              <w:kinsoku/>
              <w:wordWrap/>
              <w:overflowPunct/>
              <w:topLinePunct w:val="0"/>
              <w:bidi w:val="0"/>
              <w:spacing w:line="360" w:lineRule="auto"/>
              <w:ind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（2）风险潜势初判</w:t>
            </w:r>
          </w:p>
          <w:p w14:paraId="1F09AF7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根据《建设项目环境风险技术评价导则》（HJ169-2018）附录C，本项目风险物质数量与临界量比值Q约为</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，小于1，仅开展简单分析。 </w:t>
            </w:r>
          </w:p>
          <w:p w14:paraId="3E22E421">
            <w:pPr>
              <w:pStyle w:val="214"/>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环境风险分析</w:t>
            </w:r>
          </w:p>
          <w:p w14:paraId="6557649B">
            <w:pPr>
              <w:pStyle w:val="214"/>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大气环境风险分析</w:t>
            </w:r>
          </w:p>
          <w:p w14:paraId="73A84E4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项目最大可信事故为厂区易燃物质遇明火发生火灾，从而对大气环境及人群健康造成影响。</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火灾爆炸引发的次生/伴生污染物</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一氧化碳产生量相对较大，危害也较大，一氧化碳的浓度过高或持续时间过长都会使人窒息或死亡。一般情况下，火场附近的一氧化碳的浓度较高（浓度可达0.02%</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，而距火场30m处，一氧化碳的浓度逐渐降低（0.001%</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。因此，近距离靠近火场会有造成一氧化碳中毒的危险。据以往报道，在火灾而造成的人员死亡中，3/4的人死于有害气体，而且有害气体中一氧化碳是主要的有毒物质。 </w:t>
            </w:r>
          </w:p>
          <w:p w14:paraId="023574D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烟尘是燃烧的主要排放物，烟尘对空气污染的影响主要取决于颗粒的大小，颗粒越小危害越大。烟尘可使大气能见度显著下降，据测算，火灾通常微粒的释放量很大，约6kg/t。烟尘对人体的影响主要体现在吸入效应上。烟尘微粒可吸附有害气体，引起人的呼吸疾病。在火场之外的空间内，由于新鲜空气与烟雾之间地对流，烟的浓度被稀释，对人体的伤害较小。 </w:t>
            </w:r>
          </w:p>
          <w:p w14:paraId="5112DF4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因此，火灾发生时将不可避免地对厂区内人员安全与生产设施产生不利影响。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4F3F8C2B">
            <w:pPr>
              <w:pStyle w:val="214"/>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w:t>
            </w:r>
            <w:r>
              <w:rPr>
                <w:rFonts w:hint="default" w:ascii="Times New Roman" w:hAnsi="Times New Roman" w:cs="Times New Roman"/>
                <w:color w:val="000000" w:themeColor="text1"/>
                <w:sz w:val="21"/>
                <w:szCs w:val="21"/>
                <w:lang w:val="en-US" w:eastAsia="zh-CN"/>
                <w14:textFill>
                  <w14:solidFill>
                    <w14:schemeClr w14:val="tx1"/>
                  </w14:solidFill>
                </w14:textFill>
              </w:rPr>
              <w:t>地表水环境风险分析</w:t>
            </w:r>
          </w:p>
          <w:p w14:paraId="111AD327">
            <w:pPr>
              <w:pStyle w:val="214"/>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项目引发水环境风险的因素主要是火灾产生的消防废水对地表水环境产生一定影响</w:t>
            </w:r>
            <w:r>
              <w:rPr>
                <w:rFonts w:hint="default" w:ascii="Times New Roman" w:hAnsi="Times New Roman" w:eastAsia="宋体" w:cs="Times New Roman"/>
                <w:color w:val="000000" w:themeColor="text1"/>
                <w:sz w:val="21"/>
                <w:szCs w:val="21"/>
                <w14:textFill>
                  <w14:solidFill>
                    <w14:schemeClr w14:val="tx1"/>
                  </w14:solidFill>
                </w14:textFill>
              </w:rPr>
              <w:t>。</w:t>
            </w:r>
          </w:p>
          <w:p w14:paraId="55019C4E">
            <w:pPr>
              <w:pStyle w:val="214"/>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（3）环境风险防范措施</w:t>
            </w:r>
          </w:p>
          <w:p w14:paraId="760AFF5D">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针对项目可能发生的环境风险事故，提出以下风险防范措施：</w:t>
            </w:r>
          </w:p>
          <w:p w14:paraId="3F496945">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①生产车间风险防控措施：</w:t>
            </w:r>
          </w:p>
          <w:p w14:paraId="3E258D69">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a.企业生产车间具有良好的通风设施，正常工作状态下，排风系统需安装防火阀。</w:t>
            </w:r>
          </w:p>
          <w:p w14:paraId="3BB056D4">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b.所有材料均选用不燃和阻燃材料。</w:t>
            </w:r>
          </w:p>
          <w:p w14:paraId="1C18B35E">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c.从生产管理、工艺技术设计、自动控制设计、电气及电讯、消防及火灾报警系统等方面制定相应的环境风险防范措施。</w:t>
            </w:r>
          </w:p>
          <w:p w14:paraId="1194A871">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②贮运工程风险防控措施：</w:t>
            </w:r>
          </w:p>
          <w:p w14:paraId="19397A64">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a.原料均储存于阴凉通风仓库内，远离火种、热源，防止阳光直射。</w:t>
            </w:r>
          </w:p>
          <w:p w14:paraId="4E81D397">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b.划定禁火区，在明显地点设有警示标志，输配电线、灯具、火灾事故照明和疏散指示标志均应符合安全要求；严禁未安装灭火装置的车辆出入生产装置区。</w:t>
            </w:r>
          </w:p>
          <w:p w14:paraId="32FF5A22">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c.合理规划运输路线及时间，加强危险废物运输车辆的管理，严格遵守危险品运输管理规定，避免运输过程事故的发生。</w:t>
            </w:r>
          </w:p>
          <w:p w14:paraId="097BCAA6">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③废气事故排放防控措施：</w:t>
            </w:r>
          </w:p>
          <w:p w14:paraId="561B413A">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发生事故的原因主要有</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以下几点</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p w14:paraId="04E66480">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a.废气处理系统出现故障、设备开车、停车检修时废气直接排入大气环境中。</w:t>
            </w:r>
          </w:p>
          <w:p w14:paraId="0F860D89">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b.生产过程中由于设备老化、腐蚀、失误操作等原因造成车间废气浓度超标。</w:t>
            </w:r>
          </w:p>
          <w:p w14:paraId="5871D977">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c.厂内突然停电、废气处理系统停止工作，致使废气不能得到及时处理。</w:t>
            </w:r>
          </w:p>
          <w:p w14:paraId="3C782E7A">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d.对废气治理措施疏于管理，使治理措施处理效率降低造成废气浓度超标。</w:t>
            </w:r>
          </w:p>
          <w:p w14:paraId="3EC6C34C">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为杜绝事故性废气排放，建议采用以下措施确保废气达标排放：</w:t>
            </w:r>
          </w:p>
          <w:p w14:paraId="769510F7">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a.平时加强废气处理设施的维护保养，及时发现处理设备的隐患，并及时进行维修，确保废气处理系统正常运行。</w:t>
            </w:r>
          </w:p>
          <w:p w14:paraId="2674E46A">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b.建立健全的环保机构，配置必要的监测仪器，对管理人员和技术人员进行岗位培训，对废气处理实行全过程跟踪控制。</w:t>
            </w:r>
          </w:p>
          <w:p w14:paraId="5DB870E3">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c.项目应设有备用电源和备用处理设备，以备停电或设备出现故障时保障废气全部进入处理系统进行处理以达标排放；</w:t>
            </w:r>
          </w:p>
          <w:p w14:paraId="09421547">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d.项目对废气治理措施应设置备用的废气治理措施，在常用处理设施出现故障的情况下采用备用处理设施进行处理，防止因此而造成废气的事故性排放。</w:t>
            </w:r>
          </w:p>
          <w:p w14:paraId="4E3E432F">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④</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其他防控措施：</w:t>
            </w:r>
          </w:p>
          <w:p w14:paraId="1D30D4F3">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a.建立健全各种有关消防与安全生产的规章制度，建立岗位责任制。仓库、生产车间严禁明火。生产车间、公用工程、仓库等场所配置足量的泡沫、干粉等灭火器，并保持完好状态。</w:t>
            </w:r>
          </w:p>
          <w:p w14:paraId="12DF1425">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b.厂区留有足够的消防通道。生产车间、仓库设置消防给水管道和消防栓。厂部要组织义务消防员，并进行定期的培训和训练。对有火灾危险的场所设置自动报警系统，一旦发生火灾，立即做出应急反应。</w:t>
            </w:r>
          </w:p>
          <w:p w14:paraId="730FA8AA">
            <w:pPr>
              <w:spacing w:line="360" w:lineRule="auto"/>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事故应急池：</w:t>
            </w:r>
          </w:p>
          <w:p w14:paraId="4B136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事故池根据《精细化工企业工程设计防火标准》（GB51283-2020）、《建筑防火通用规范》（GB55037-2022）、《消防给水及消火栓系统技术规范》（GB50974-2014）、《事故状态下水体污染的预防和控制规范》（Q/SY08190-2019）、《消防设施通用规范》（GB55036-2022）、《建筑防火通用规范》（GB55037-2022）中的相关规定设置。事故池主要用于厂区内发生事故或火灾时，控制、收集和存放污染事故水（包括污染雨水）及消防污染水。污染事故及污染消防水通过雨水管道收集。本项目建成后全厂事故应急池容量</w:t>
            </w:r>
          </w:p>
          <w:p w14:paraId="65656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按下式计算：</w:t>
            </w:r>
          </w:p>
          <w:p w14:paraId="6B23F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V总=（V1+V2-V3）max+V4+V5</w:t>
            </w:r>
          </w:p>
          <w:p w14:paraId="515F6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cs="Times New Roman"/>
                <w:color w:val="000000" w:themeColor="text1"/>
                <w14:textFill>
                  <w14:solidFill>
                    <w14:schemeClr w14:val="tx1"/>
                  </w14:solidFill>
                </w14:textFill>
              </w:rPr>
            </w:pPr>
            <m:oMathPara>
              <m:oMath>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V</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2</m:t>
                    </m:r>
                    <m:ctrlPr>
                      <w:rPr>
                        <w:rFonts w:hint="default" w:ascii="Cambria Math" w:hAnsi="Cambria Math" w:cs="Times New Roman"/>
                        <w:color w:val="000000" w:themeColor="text1"/>
                        <w14:textFill>
                          <w14:solidFill>
                            <w14:schemeClr w14:val="tx1"/>
                          </w14:solidFill>
                        </w14:textFill>
                      </w:rPr>
                    </m:ctrlPr>
                  </m:sub>
                </m:sSub>
                <m:r>
                  <m:rPr>
                    <m:sty m:val="p"/>
                  </m:rPr>
                  <w:rPr>
                    <w:rFonts w:hint="default" w:ascii="Cambria Math" w:hAnsi="Cambria Math" w:cs="Times New Roman"/>
                    <w:color w:val="000000" w:themeColor="text1"/>
                    <w14:textFill>
                      <w14:solidFill>
                        <w14:schemeClr w14:val="tx1"/>
                      </w14:solidFill>
                    </w14:textFill>
                  </w:rPr>
                  <m:t>=∑</m:t>
                </m:r>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Q</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消</m:t>
                    </m:r>
                    <m:ctrlPr>
                      <w:rPr>
                        <w:rFonts w:hint="default" w:ascii="Cambria Math" w:hAnsi="Cambria Math" w:cs="Times New Roman"/>
                        <w:color w:val="000000" w:themeColor="text1"/>
                        <w14:textFill>
                          <w14:solidFill>
                            <w14:schemeClr w14:val="tx1"/>
                          </w14:solidFill>
                        </w14:textFill>
                      </w:rPr>
                    </m:ctrlPr>
                  </m:sub>
                </m:sSub>
                <m:r>
                  <m:rPr>
                    <m:sty m:val="p"/>
                  </m:rPr>
                  <w:rPr>
                    <w:rFonts w:hint="default" w:ascii="Cambria Math" w:hAnsi="Cambria Math" w:cs="Times New Roman"/>
                    <w:color w:val="000000" w:themeColor="text1"/>
                    <w14:textFill>
                      <w14:solidFill>
                        <w14:schemeClr w14:val="tx1"/>
                      </w14:solidFill>
                    </w14:textFill>
                  </w:rPr>
                  <m:t>.</m:t>
                </m:r>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t</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消</m:t>
                    </m:r>
                    <m:ctrlPr>
                      <w:rPr>
                        <w:rFonts w:hint="default" w:ascii="Cambria Math" w:hAnsi="Cambria Math" w:cs="Times New Roman"/>
                        <w:color w:val="000000" w:themeColor="text1"/>
                        <w14:textFill>
                          <w14:solidFill>
                            <w14:schemeClr w14:val="tx1"/>
                          </w14:solidFill>
                        </w14:textFill>
                      </w:rPr>
                    </m:ctrlPr>
                  </m:sub>
                </m:sSub>
              </m:oMath>
            </m:oMathPara>
          </w:p>
          <w:p w14:paraId="5E697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themeColor="text1"/>
                <w14:textFill>
                  <w14:solidFill>
                    <w14:schemeClr w14:val="tx1"/>
                  </w14:solidFill>
                </w14:textFill>
              </w:rPr>
            </w:pPr>
            <m:oMathPara>
              <m:oMath>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V</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5</m:t>
                    </m:r>
                    <m:ctrlPr>
                      <w:rPr>
                        <w:rFonts w:hint="default" w:ascii="Cambria Math" w:hAnsi="Cambria Math" w:cs="Times New Roman"/>
                        <w:color w:val="000000" w:themeColor="text1"/>
                        <w14:textFill>
                          <w14:solidFill>
                            <w14:schemeClr w14:val="tx1"/>
                          </w14:solidFill>
                        </w14:textFill>
                      </w:rPr>
                    </m:ctrlPr>
                  </m:sub>
                </m:sSub>
                <m:r>
                  <m:rPr>
                    <m:sty m:val="p"/>
                  </m:rPr>
                  <w:rPr>
                    <w:rFonts w:hint="default" w:ascii="Cambria Math" w:hAnsi="Cambria Math" w:cs="Times New Roman"/>
                    <w:color w:val="000000" w:themeColor="text1"/>
                    <w14:textFill>
                      <w14:solidFill>
                        <w14:schemeClr w14:val="tx1"/>
                      </w14:solidFill>
                    </w14:textFill>
                  </w:rPr>
                  <m:t>=10q.f</m:t>
                </m:r>
              </m:oMath>
            </m:oMathPara>
          </w:p>
          <w:p w14:paraId="67B42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themeColor="text1"/>
                <w14:textFill>
                  <w14:solidFill>
                    <w14:schemeClr w14:val="tx1"/>
                  </w14:solidFill>
                </w14:textFill>
              </w:rPr>
            </w:pPr>
            <m:oMathPara>
              <m:oMath>
                <m:r>
                  <m:rPr>
                    <m:sty m:val="p"/>
                  </m:rPr>
                  <w:rPr>
                    <w:rFonts w:hint="default" w:ascii="Cambria Math" w:hAnsi="Cambria Math" w:cs="Times New Roman"/>
                    <w:color w:val="000000" w:themeColor="text1"/>
                    <w14:textFill>
                      <w14:solidFill>
                        <w14:schemeClr w14:val="tx1"/>
                      </w14:solidFill>
                    </w14:textFill>
                  </w:rPr>
                  <m:t>q=</m:t>
                </m:r>
                <m:f>
                  <m:fPr>
                    <m:ctrlPr>
                      <w:rPr>
                        <w:rFonts w:hint="default" w:ascii="Cambria Math" w:hAnsi="Cambria Math" w:cs="Times New Roman"/>
                        <w:color w:val="000000" w:themeColor="text1"/>
                        <w14:textFill>
                          <w14:solidFill>
                            <w14:schemeClr w14:val="tx1"/>
                          </w14:solidFill>
                        </w14:textFill>
                      </w:rPr>
                    </m:ctrlPr>
                  </m:fPr>
                  <m:num>
                    <m:sSub>
                      <m:sSubPr>
                        <m:ctrlPr>
                          <w:rPr>
                            <w:rFonts w:hint="default" w:ascii="Cambria Math" w:hAnsi="Cambria Math" w:cs="Times New Roman"/>
                            <w:color w:val="000000" w:themeColor="text1"/>
                            <w14:textFill>
                              <w14:solidFill>
                                <w14:schemeClr w14:val="tx1"/>
                              </w14:solidFill>
                            </w14:textFill>
                          </w:rPr>
                        </m:ctrlPr>
                      </m:sSubPr>
                      <m:e>
                        <m:r>
                          <m:rPr>
                            <m:sty m:val="p"/>
                          </m:rPr>
                          <w:rPr>
                            <w:rFonts w:hint="default" w:ascii="Cambria Math" w:hAnsi="Cambria Math" w:cs="Times New Roman"/>
                            <w:color w:val="000000" w:themeColor="text1"/>
                            <w14:textFill>
                              <w14:solidFill>
                                <w14:schemeClr w14:val="tx1"/>
                              </w14:solidFill>
                            </w14:textFill>
                          </w:rPr>
                          <m:t>q</m:t>
                        </m:r>
                        <m:ctrlPr>
                          <w:rPr>
                            <w:rFonts w:hint="default" w:ascii="Cambria Math" w:hAnsi="Cambria Math" w:cs="Times New Roman"/>
                            <w:color w:val="000000" w:themeColor="text1"/>
                            <w14:textFill>
                              <w14:solidFill>
                                <w14:schemeClr w14:val="tx1"/>
                              </w14:solidFill>
                            </w14:textFill>
                          </w:rPr>
                        </m:ctrlPr>
                      </m:e>
                      <m:sub>
                        <m:r>
                          <m:rPr>
                            <m:sty m:val="p"/>
                          </m:rPr>
                          <w:rPr>
                            <w:rFonts w:hint="default" w:ascii="Cambria Math" w:hAnsi="Cambria Math" w:cs="Times New Roman"/>
                            <w:color w:val="000000" w:themeColor="text1"/>
                            <w14:textFill>
                              <w14:solidFill>
                                <w14:schemeClr w14:val="tx1"/>
                              </w14:solidFill>
                            </w14:textFill>
                          </w:rPr>
                          <m:t>a</m:t>
                        </m:r>
                        <m:ctrlPr>
                          <w:rPr>
                            <w:rFonts w:hint="default" w:ascii="Cambria Math" w:hAnsi="Cambria Math" w:cs="Times New Roman"/>
                            <w:color w:val="000000" w:themeColor="text1"/>
                            <w14:textFill>
                              <w14:solidFill>
                                <w14:schemeClr w14:val="tx1"/>
                              </w14:solidFill>
                            </w14:textFill>
                          </w:rPr>
                        </m:ctrlPr>
                      </m:sub>
                    </m:sSub>
                    <m:ctrlPr>
                      <w:rPr>
                        <w:rFonts w:hint="default" w:ascii="Cambria Math" w:hAnsi="Cambria Math" w:cs="Times New Roman"/>
                        <w:color w:val="000000" w:themeColor="text1"/>
                        <w14:textFill>
                          <w14:solidFill>
                            <w14:schemeClr w14:val="tx1"/>
                          </w14:solidFill>
                        </w14:textFill>
                      </w:rPr>
                    </m:ctrlPr>
                  </m:num>
                  <m:den>
                    <m:r>
                      <m:rPr>
                        <m:sty m:val="p"/>
                      </m:rPr>
                      <w:rPr>
                        <w:rFonts w:hint="default" w:ascii="Cambria Math" w:hAnsi="Cambria Math" w:cs="Times New Roman"/>
                        <w:color w:val="000000" w:themeColor="text1"/>
                        <w14:textFill>
                          <w14:solidFill>
                            <w14:schemeClr w14:val="tx1"/>
                          </w14:solidFill>
                        </w14:textFill>
                      </w:rPr>
                      <m:t>n</m:t>
                    </m:r>
                    <m:ctrlPr>
                      <w:rPr>
                        <w:rFonts w:hint="default" w:ascii="Cambria Math" w:hAnsi="Cambria Math" w:cs="Times New Roman"/>
                        <w:color w:val="000000" w:themeColor="text1"/>
                        <w14:textFill>
                          <w14:solidFill>
                            <w14:schemeClr w14:val="tx1"/>
                          </w14:solidFill>
                        </w14:textFill>
                      </w:rPr>
                    </m:ctrlPr>
                  </m:den>
                </m:f>
              </m:oMath>
            </m:oMathPara>
          </w:p>
          <w:p w14:paraId="31871889">
            <w:pPr>
              <w:spacing w:line="360" w:lineRule="auto"/>
              <w:ind w:firstLine="420" w:firstLineChars="20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---收集系统范围内发生事故的一个罐组或一套装置的物料量（注：储存相同物料的罐组按一个最大储罐计，装置物料量按存留最大物料量的一台反应器或中间储罐计）；</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本项目V1取0m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14:paraId="5CEF4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--发生事故的储罐或装置的消防水量，m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根据《消防给水及消火栓系统技术规范》（GB50974-2014）等技术规范，本项目室内消防水量为</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L/s，废水量为</w:t>
            </w:r>
            <w:r>
              <w:rPr>
                <w:rFonts w:hint="eastAsia" w:ascii="Times New Roman" w:hAnsi="Times New Roman" w:cs="Times New Roman"/>
                <w:color w:val="000000" w:themeColor="text1"/>
                <w:lang w:val="en-US" w:eastAsia="zh-CN"/>
                <w14:textFill>
                  <w14:solidFill>
                    <w14:schemeClr w14:val="tx1"/>
                  </w14:solidFill>
                </w14:textFill>
              </w:rPr>
              <w:t>54</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/次，室外消防水量为</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0L/s，火灾延续时间为3h，废水量为</w:t>
            </w:r>
            <w:r>
              <w:rPr>
                <w:rFonts w:hint="eastAsia" w:ascii="Times New Roman" w:hAnsi="Times New Roman" w:cs="Times New Roman"/>
                <w:color w:val="000000" w:themeColor="text1"/>
                <w:lang w:val="en-US" w:eastAsia="zh-CN"/>
                <w14:textFill>
                  <w14:solidFill>
                    <w14:schemeClr w14:val="tx1"/>
                  </w14:solidFill>
                </w14:textFill>
              </w:rPr>
              <w:t>108</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/次，则废水总量为</w:t>
            </w:r>
            <w:r>
              <w:rPr>
                <w:rFonts w:hint="eastAsia" w:ascii="Times New Roman" w:hAnsi="Times New Roman" w:cs="Times New Roman"/>
                <w:color w:val="000000" w:themeColor="text1"/>
                <w:lang w:val="en-US" w:eastAsia="zh-CN"/>
                <w14:textFill>
                  <w14:solidFill>
                    <w14:schemeClr w14:val="tx1"/>
                  </w14:solidFill>
                </w14:textFill>
              </w:rPr>
              <w:t>162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14:paraId="2AFDE8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---发生事故时可以传输到其他储存或处理设施的物料量，m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本项目V3取0m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14:paraId="0CC19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---发生事故时仍必须进入该收集系统的生产废水量，</w:t>
            </w:r>
            <w:r>
              <w:rPr>
                <w:rFonts w:hint="default" w:ascii="Times New Roman" w:hAnsi="Times New Roman" w:cs="Times New Roman"/>
                <w:color w:val="000000" w:themeColor="text1"/>
                <w:lang w:val="en-US" w:eastAsia="zh-CN"/>
                <w14:textFill>
                  <w14:solidFill>
                    <w14:schemeClr w14:val="tx1"/>
                  </w14:solidFill>
                </w14:textFill>
              </w:rPr>
              <w:t>生产废水经事故应急</w:t>
            </w:r>
            <w:r>
              <w:rPr>
                <w:rFonts w:hint="eastAsia" w:cs="Times New Roman"/>
                <w:color w:val="000000" w:themeColor="text1"/>
                <w:lang w:val="en-US" w:eastAsia="zh-CN"/>
                <w14:textFill>
                  <w14:solidFill>
                    <w14:schemeClr w14:val="tx1"/>
                  </w14:solidFill>
                </w14:textFill>
              </w:rPr>
              <w:t>池</w:t>
            </w:r>
            <w:r>
              <w:rPr>
                <w:rFonts w:hint="default" w:ascii="Times New Roman" w:hAnsi="Times New Roman" w:cs="Times New Roman"/>
                <w:color w:val="000000" w:themeColor="text1"/>
                <w:lang w:val="en-US" w:eastAsia="zh-CN"/>
                <w14:textFill>
                  <w14:solidFill>
                    <w14:schemeClr w14:val="tx1"/>
                  </w14:solidFill>
                </w14:textFill>
              </w:rPr>
              <w:t>收集，故发生事故时仍必须进入该系统的废水量V4＝0。</w:t>
            </w:r>
          </w:p>
          <w:p w14:paraId="5728D233">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---发生事故时可能进入该收集系统的降雨量，</w:t>
            </w:r>
            <w:r>
              <w:rPr>
                <w:rFonts w:hint="eastAsia" w:ascii="Times New Roman" w:hAnsi="Times New Roman" w:eastAsia="宋体" w:cs="Times New Roman"/>
                <w:color w:val="000000" w:themeColor="text1"/>
                <w:sz w:val="21"/>
                <w:szCs w:val="21"/>
                <w14:textFill>
                  <w14:solidFill>
                    <w14:schemeClr w14:val="tx1"/>
                  </w14:solidFill>
                </w14:textFill>
              </w:rPr>
              <w:t>设计雨水量根据《室外排水设计规范》</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GB50014-2006）（2016年版</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提供的计算公式计算，计算公式如下：</w:t>
            </w:r>
          </w:p>
          <w:p w14:paraId="15D2F1A8">
            <w:pPr>
              <w:adjustRightInd w:val="0"/>
              <w:snapToGrid w:val="0"/>
              <w:spacing w:line="360" w:lineRule="auto"/>
              <w:ind w:firstLine="420" w:firstLineChars="200"/>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3807460" cy="1117600"/>
                  <wp:effectExtent l="0" t="0" r="2540" b="6350"/>
                  <wp:docPr id="3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2"/>
                          <pic:cNvPicPr>
                            <a:picLocks noChangeAspect="1"/>
                          </pic:cNvPicPr>
                        </pic:nvPicPr>
                        <pic:blipFill>
                          <a:blip r:embed="rId18"/>
                          <a:stretch>
                            <a:fillRect/>
                          </a:stretch>
                        </pic:blipFill>
                        <pic:spPr>
                          <a:xfrm>
                            <a:off x="0" y="0"/>
                            <a:ext cx="3807460" cy="1117600"/>
                          </a:xfrm>
                          <a:prstGeom prst="rect">
                            <a:avLst/>
                          </a:prstGeom>
                          <a:noFill/>
                          <a:ln>
                            <a:noFill/>
                          </a:ln>
                        </pic:spPr>
                      </pic:pic>
                    </a:graphicData>
                  </a:graphic>
                </wp:inline>
              </w:drawing>
            </w:r>
          </w:p>
          <w:p w14:paraId="357ABA14">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eastAsia" w:ascii="Times New Roman" w:hAnsi="Times New Roman" w:eastAsia="宋体" w:cs="Times New Roman"/>
                <w:color w:val="000000" w:themeColor="text1"/>
                <w:sz w:val="21"/>
                <w:szCs w:val="21"/>
                <w14:textFill>
                  <w14:solidFill>
                    <w14:schemeClr w14:val="tx1"/>
                  </w14:solidFill>
                </w14:textFill>
              </w:rPr>
              <w:t>厂区</w:t>
            </w:r>
            <w:r>
              <w:rPr>
                <w:rFonts w:hint="default" w:ascii="Times New Roman" w:hAnsi="Times New Roman" w:eastAsia="宋体" w:cs="Times New Roman"/>
                <w:color w:val="000000" w:themeColor="text1"/>
                <w:sz w:val="21"/>
                <w:szCs w:val="21"/>
                <w14:textFill>
                  <w14:solidFill>
                    <w14:schemeClr w14:val="tx1"/>
                  </w14:solidFill>
                </w14:textFill>
              </w:rPr>
              <w:t>总平图，</w:t>
            </w:r>
            <w:r>
              <w:rPr>
                <w:rFonts w:hint="eastAsia"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区域</w:t>
            </w:r>
            <w:r>
              <w:rPr>
                <w:rFonts w:hint="eastAsia" w:ascii="Times New Roman" w:hAnsi="Times New Roman" w:eastAsia="宋体" w:cs="Times New Roman"/>
                <w:color w:val="000000" w:themeColor="text1"/>
                <w:sz w:val="21"/>
                <w:szCs w:val="21"/>
                <w14:textFill>
                  <w14:solidFill>
                    <w14:schemeClr w14:val="tx1"/>
                  </w14:solidFill>
                </w14:textFill>
              </w:rPr>
              <w:t>汇水</w:t>
            </w:r>
            <w:r>
              <w:rPr>
                <w:rFonts w:hint="default" w:ascii="Times New Roman" w:hAnsi="Times New Roman" w:eastAsia="宋体" w:cs="Times New Roman"/>
                <w:color w:val="000000" w:themeColor="text1"/>
                <w:sz w:val="21"/>
                <w:szCs w:val="21"/>
                <w14:textFill>
                  <w14:solidFill>
                    <w14:schemeClr w14:val="tx1"/>
                  </w14:solidFill>
                </w14:textFill>
              </w:rPr>
              <w:t>面积</w:t>
            </w:r>
            <w:r>
              <w:rPr>
                <w:rFonts w:hint="eastAsia" w:ascii="Times New Roman" w:hAnsi="Times New Roman" w:eastAsia="宋体" w:cs="Times New Roman"/>
                <w:color w:val="000000" w:themeColor="text1"/>
                <w:sz w:val="21"/>
                <w:szCs w:val="21"/>
                <w:lang w:eastAsia="zh-CN"/>
                <w14:textFill>
                  <w14:solidFill>
                    <w14:schemeClr w14:val="tx1"/>
                  </w14:solidFill>
                </w14:textFill>
              </w:rPr>
              <w:t>约为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径流系数取值0.9；</w:t>
            </w:r>
          </w:p>
          <w:p w14:paraId="5AA3E9D4">
            <w:pPr>
              <w:spacing w:line="360" w:lineRule="auto"/>
              <w:ind w:firstLine="420" w:firstLineChars="200"/>
              <w:rPr>
                <w:rFonts w:hint="default" w:ascii="Times New Roman" w:hAnsi="Times New Roman"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代入暴雨强度公式</w:t>
            </w:r>
            <w:r>
              <w:rPr>
                <w:rFonts w:hint="eastAsia" w:ascii="Times New Roman" w:hAnsi="Times New Roman" w:eastAsia="宋体" w:cs="Times New Roman"/>
                <w:color w:val="000000" w:themeColor="text1"/>
                <w:sz w:val="21"/>
                <w:szCs w:val="21"/>
                <w14:textFill>
                  <w14:solidFill>
                    <w14:schemeClr w14:val="tx1"/>
                  </w14:solidFill>
                </w14:textFill>
              </w:rPr>
              <w:t>和雨水量计算公式，</w:t>
            </w:r>
            <w:r>
              <w:rPr>
                <w:rFonts w:hint="default" w:ascii="Times New Roman" w:hAnsi="Times New Roman" w:eastAsia="宋体" w:cs="Times New Roman"/>
                <w:color w:val="000000" w:themeColor="text1"/>
                <w:sz w:val="21"/>
                <w:szCs w:val="21"/>
                <w14:textFill>
                  <w14:solidFill>
                    <w14:schemeClr w14:val="tx1"/>
                  </w14:solidFill>
                </w14:textFill>
              </w:rPr>
              <w:t>计算</w:t>
            </w:r>
            <w:r>
              <w:rPr>
                <w:rFonts w:hint="eastAsia" w:ascii="Times New Roman" w:hAnsi="Times New Roman" w:eastAsia="宋体" w:cs="Times New Roman"/>
                <w:color w:val="000000" w:themeColor="text1"/>
                <w:sz w:val="21"/>
                <w:szCs w:val="21"/>
                <w14:textFill>
                  <w14:solidFill>
                    <w14:schemeClr w14:val="tx1"/>
                  </w14:solidFill>
                </w14:textFill>
              </w:rPr>
              <w:t>暴雨强度</w:t>
            </w:r>
            <w:r>
              <w:rPr>
                <w:rFonts w:hint="default" w:ascii="Times New Roman" w:hAnsi="Times New Roman" w:eastAsia="宋体" w:cs="Times New Roman"/>
                <w:color w:val="000000" w:themeColor="text1"/>
                <w:sz w:val="21"/>
                <w:szCs w:val="21"/>
                <w14:textFill>
                  <w14:solidFill>
                    <w14:schemeClr w14:val="tx1"/>
                  </w14:solidFill>
                </w14:textFill>
              </w:rPr>
              <w:t>为</w:t>
            </w:r>
            <w:r>
              <w:rPr>
                <w:rFonts w:hint="eastAsia" w:ascii="Times New Roman" w:hAnsi="Times New Roman" w:cs="Times New Roman"/>
                <w:color w:val="000000" w:themeColor="text1"/>
                <w:sz w:val="21"/>
                <w:szCs w:val="21"/>
                <w:lang w:val="en-US" w:eastAsia="zh-CN"/>
                <w14:textFill>
                  <w14:solidFill>
                    <w14:schemeClr w14:val="tx1"/>
                  </w14:solidFill>
                </w14:textFill>
              </w:rPr>
              <w:t>79</w:t>
            </w:r>
            <w:r>
              <w:rPr>
                <w:rFonts w:hint="default" w:ascii="Times New Roman" w:hAnsi="Times New Roman" w:eastAsia="宋体" w:cs="Times New Roman"/>
                <w:color w:val="000000" w:themeColor="text1"/>
                <w:sz w:val="21"/>
                <w:szCs w:val="21"/>
                <w14:textFill>
                  <w14:solidFill>
                    <w14:schemeClr w14:val="tx1"/>
                  </w14:solidFill>
                </w14:textFill>
              </w:rPr>
              <w:t>L/</w:t>
            </w:r>
            <w:r>
              <w:rPr>
                <w:rFonts w:hint="eastAsia" w:ascii="Times New Roman" w:hAnsi="Times New Roman" w:eastAsia="宋体" w:cs="Times New Roman"/>
                <w:color w:val="000000" w:themeColor="text1"/>
                <w:sz w:val="21"/>
                <w:szCs w:val="21"/>
                <w14:textFill>
                  <w14:solidFill>
                    <w14:schemeClr w14:val="tx1"/>
                  </w14:solidFill>
                </w14:textFill>
              </w:rPr>
              <w:t>（s·h</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，取</w:t>
            </w:r>
            <w:r>
              <w:rPr>
                <w:rFonts w:hint="eastAsia" w:ascii="Times New Roman" w:hAnsi="Times New Roman" w:eastAsia="宋体" w:cs="Times New Roman"/>
                <w:color w:val="000000" w:themeColor="text1"/>
                <w:sz w:val="21"/>
                <w:szCs w:val="21"/>
                <w14:textFill>
                  <w14:solidFill>
                    <w14:schemeClr w14:val="tx1"/>
                  </w14:solidFill>
                </w14:textFill>
              </w:rPr>
              <w:t>前</w:t>
            </w:r>
            <w:r>
              <w:rPr>
                <w:rFonts w:hint="default" w:ascii="Times New Roman" w:hAnsi="Times New Roman" w:eastAsia="宋体" w:cs="Times New Roman"/>
                <w:color w:val="000000" w:themeColor="text1"/>
                <w:sz w:val="21"/>
                <w:szCs w:val="21"/>
                <w14:textFill>
                  <w14:solidFill>
                    <w14:schemeClr w14:val="tx1"/>
                  </w14:solidFill>
                </w14:textFill>
              </w:rPr>
              <w:t>15min</w:t>
            </w:r>
            <w:r>
              <w:rPr>
                <w:rFonts w:hint="eastAsia" w:ascii="Times New Roman" w:hAnsi="Times New Roman" w:eastAsia="宋体" w:cs="Times New Roman"/>
                <w:color w:val="000000" w:themeColor="text1"/>
                <w:sz w:val="21"/>
                <w:szCs w:val="21"/>
                <w14:textFill>
                  <w14:solidFill>
                    <w14:schemeClr w14:val="tx1"/>
                  </w14:solidFill>
                </w14:textFill>
              </w:rPr>
              <w:t>降雨水量为初期雨水量，即设计初期雨水量</w:t>
            </w:r>
            <w:r>
              <w:rPr>
                <w:rFonts w:hint="eastAsia" w:ascii="Times New Roman" w:hAnsi="Times New Roman" w:eastAsia="宋体" w:cs="Times New Roman"/>
                <w:color w:val="000000" w:themeColor="text1"/>
                <w:sz w:val="21"/>
                <w:szCs w:val="21"/>
                <w:lang w:eastAsia="zh-CN"/>
                <w14:textFill>
                  <w14:solidFill>
                    <w14:schemeClr w14:val="tx1"/>
                  </w14:solidFill>
                </w14:textFill>
              </w:rPr>
              <w:t>约</w:t>
            </w:r>
            <w:r>
              <w:rPr>
                <w:rFonts w:hint="eastAsia" w:ascii="Times New Roman" w:hAnsi="Times New Roman" w:eastAsia="宋体" w:cs="Times New Roman"/>
                <w:color w:val="000000" w:themeColor="text1"/>
                <w:sz w:val="21"/>
                <w:szCs w:val="21"/>
                <w14:textFill>
                  <w14:solidFill>
                    <w14:schemeClr w14:val="tx1"/>
                  </w14:solidFill>
                </w14:textFill>
              </w:rPr>
              <w:t>为</w:t>
            </w:r>
            <w:r>
              <w:rPr>
                <w:rFonts w:hint="eastAsia" w:ascii="Times New Roman" w:hAnsi="Times New Roman" w:cs="Times New Roman"/>
                <w:color w:val="000000" w:themeColor="text1"/>
                <w:sz w:val="21"/>
                <w:szCs w:val="21"/>
                <w:lang w:val="en-US" w:eastAsia="zh-CN"/>
                <w14:textFill>
                  <w14:solidFill>
                    <w14:schemeClr w14:val="tx1"/>
                  </w14:solidFill>
                </w14:textFill>
              </w:rPr>
              <w:t>41.21</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p>
          <w:p w14:paraId="7D620E72">
            <w:pPr>
              <w:spacing w:line="360" w:lineRule="auto"/>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总</w:t>
            </w:r>
            <w:r>
              <w:rPr>
                <w:rFonts w:hint="default" w:ascii="Times New Roman" w:hAnsi="Times New Roman" w:eastAsia="宋体" w:cs="Times New Roman"/>
                <w:color w:val="000000" w:themeColor="text1"/>
                <w:sz w:val="21"/>
                <w:szCs w:val="21"/>
                <w:highlight w:val="none"/>
                <w14:textFill>
                  <w14:solidFill>
                    <w14:schemeClr w14:val="tx1"/>
                  </w14:solidFill>
                </w14:textFill>
              </w:rPr>
              <w:t>核算结果为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162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41.21</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203.21</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6B6ED269">
            <w:pPr>
              <w:spacing w:line="360" w:lineRule="auto"/>
              <w:ind w:firstLine="380" w:firstLineChars="20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lang w:val="zh-CN" w:eastAsia="zh-CN"/>
                <w14:textFill>
                  <w14:solidFill>
                    <w14:schemeClr w14:val="tx1"/>
                  </w14:solidFill>
                </w14:textFill>
              </w:rPr>
              <w:t>本项目</w:t>
            </w: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拟建</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1座</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205</w:t>
            </w: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m</w:t>
            </w:r>
            <w:r>
              <w:rPr>
                <w:rFonts w:hint="default" w:ascii="Times New Roman" w:hAnsi="Times New Roman" w:cs="Times New Roman"/>
                <w:b w:val="0"/>
                <w:bCs w:val="0"/>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事故应急池</w:t>
            </w:r>
            <w:r>
              <w:rPr>
                <w:rFonts w:hint="default" w:ascii="Times New Roman" w:hAnsi="Times New Roman" w:eastAsia="宋体" w:cs="Times New Roman"/>
                <w:color w:val="000000" w:themeColor="text1"/>
                <w:spacing w:val="-10"/>
                <w:sz w:val="21"/>
                <w:szCs w:val="21"/>
                <w:lang w:val="zh-CN"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可满足对</w:t>
            </w: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技改后全厂</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事故废液和事故废水的收集。</w:t>
            </w:r>
            <w:r>
              <w:rPr>
                <w:snapToGrid w:val="0"/>
                <w:color w:val="000000" w:themeColor="text1"/>
                <w:kern w:val="0"/>
                <w:szCs w:val="28"/>
                <w14:textFill>
                  <w14:solidFill>
                    <w14:schemeClr w14:val="tx1"/>
                  </w14:solidFill>
                </w14:textFill>
              </w:rPr>
              <w:t>在事故状态下，雨水排口关闭，确保消防尾水进入事故应急池，不外排。</w:t>
            </w:r>
            <w:r>
              <w:rPr>
                <w:color w:val="000000" w:themeColor="text1"/>
                <w:szCs w:val="28"/>
                <w14:textFill>
                  <w14:solidFill>
                    <w14:schemeClr w14:val="tx1"/>
                  </w14:solidFill>
                </w14:textFill>
              </w:rPr>
              <w:t>事故应急池设置采样口，当事故废水监测水质不能达污水接管标准时，通过外接泵、槽罐车送入有能力处理单位处理。</w:t>
            </w:r>
          </w:p>
          <w:p w14:paraId="2F21D6DB">
            <w:pPr>
              <w:adjustRightInd w:val="0"/>
              <w:snapToGrid w:val="0"/>
              <w:spacing w:line="360" w:lineRule="auto"/>
              <w:ind w:firstLine="420" w:firstLineChars="20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⑥应急监测</w:t>
            </w:r>
          </w:p>
          <w:p w14:paraId="5C493F1D">
            <w:pPr>
              <w:spacing w:line="360" w:lineRule="auto"/>
              <w:ind w:firstLine="420" w:firstLineChars="20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项目生产过程中，若发生废气处理装置故障，或发生火灾事故，应进行应急监测，以判断事故情况对周边环境的影响程度，并采取相应的应急措施。</w:t>
            </w:r>
          </w:p>
          <w:p w14:paraId="156AB701">
            <w:pPr>
              <w:spacing w:line="360" w:lineRule="auto"/>
              <w:ind w:firstLine="420" w:firstLineChars="20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大气应急监测：厂界、厂界上风向和下风向敏感目标设置采样点，监测因子为</w:t>
            </w:r>
            <w:r>
              <w:rPr>
                <w:rFonts w:hint="default" w:ascii="Times New Roman" w:hAnsi="Times New Roman" w:cs="Times New Roman"/>
                <w:color w:val="000000" w:themeColor="text1"/>
                <w:kern w:val="0"/>
                <w:sz w:val="21"/>
                <w:szCs w:val="21"/>
                <w:lang w:val="en-US" w:eastAsia="zh-CN"/>
                <w14:textFill>
                  <w14:solidFill>
                    <w14:schemeClr w14:val="tx1"/>
                  </w14:solidFill>
                </w14:textFill>
              </w:rPr>
              <w:t>颗粒物、二氧化硫、氮氧化物</w:t>
            </w:r>
            <w:r>
              <w:rPr>
                <w:rFonts w:hint="default" w:ascii="Times New Roman" w:hAnsi="Times New Roman" w:eastAsia="宋体" w:cs="Times New Roman"/>
                <w:color w:val="000000" w:themeColor="text1"/>
                <w:kern w:val="0"/>
                <w:sz w:val="21"/>
                <w:szCs w:val="21"/>
                <w14:textFill>
                  <w14:solidFill>
                    <w14:schemeClr w14:val="tx1"/>
                  </w14:solidFill>
                </w14:textFill>
              </w:rPr>
              <w:t>。</w:t>
            </w:r>
          </w:p>
          <w:p w14:paraId="0021B9F9">
            <w:pPr>
              <w:spacing w:line="360" w:lineRule="auto"/>
              <w:ind w:firstLine="420" w:firstLineChars="20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水应急监测：厂区污水总排口、雨水排口、雨水接纳河流设置采样点，监测因子为pH、COD</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BOD</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14:textFill>
                  <w14:solidFill>
                    <w14:schemeClr w14:val="tx1"/>
                  </w14:solidFill>
                </w14:textFill>
              </w:rPr>
              <w:t>、SS、氨氮、总磷、</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总氮</w:t>
            </w:r>
            <w:r>
              <w:rPr>
                <w:rFonts w:hint="default" w:ascii="Times New Roman" w:hAnsi="Times New Roman" w:cs="Times New Roman"/>
                <w:color w:val="000000" w:themeColor="text1"/>
                <w:kern w:val="0"/>
                <w:sz w:val="21"/>
                <w:szCs w:val="21"/>
                <w:lang w:val="en-US" w:eastAsia="zh-CN"/>
                <w14:textFill>
                  <w14:solidFill>
                    <w14:schemeClr w14:val="tx1"/>
                  </w14:solidFill>
                </w14:textFill>
              </w:rPr>
              <w:t>、石油类</w:t>
            </w:r>
            <w:r>
              <w:rPr>
                <w:rFonts w:hint="default" w:ascii="Times New Roman" w:hAnsi="Times New Roman" w:eastAsia="宋体" w:cs="Times New Roman"/>
                <w:color w:val="000000" w:themeColor="text1"/>
                <w:kern w:val="0"/>
                <w:sz w:val="21"/>
                <w:szCs w:val="21"/>
                <w14:textFill>
                  <w14:solidFill>
                    <w14:schemeClr w14:val="tx1"/>
                  </w14:solidFill>
                </w14:textFill>
              </w:rPr>
              <w:t>。</w:t>
            </w:r>
          </w:p>
          <w:p w14:paraId="2887C9FE">
            <w:pPr>
              <w:ind w:firstLine="422" w:firstLineChars="20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4-2</w:t>
            </w: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b/>
                <w:bCs/>
                <w:color w:val="000000" w:themeColor="text1"/>
                <w:kern w:val="0"/>
                <w:sz w:val="21"/>
                <w:szCs w:val="21"/>
                <w14:textFill>
                  <w14:solidFill>
                    <w14:schemeClr w14:val="tx1"/>
                  </w14:solidFill>
                </w14:textFill>
              </w:rPr>
              <w:t xml:space="preserve"> 应急监测计划表</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21"/>
              <w:gridCol w:w="3319"/>
              <w:gridCol w:w="924"/>
              <w:gridCol w:w="2804"/>
            </w:tblGrid>
            <w:tr w14:paraId="280CC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jc w:val="center"/>
              </w:trPr>
              <w:tc>
                <w:tcPr>
                  <w:tcW w:w="738" w:type="pct"/>
                  <w:noWrap w:val="0"/>
                  <w:vAlign w:val="center"/>
                </w:tcPr>
                <w:p w14:paraId="2EB388F0">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类别</w:t>
                  </w:r>
                </w:p>
              </w:tc>
              <w:tc>
                <w:tcPr>
                  <w:tcW w:w="2007" w:type="pct"/>
                  <w:noWrap w:val="0"/>
                  <w:vAlign w:val="center"/>
                </w:tcPr>
                <w:p w14:paraId="74CD65DE">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监测位置</w:t>
                  </w:r>
                </w:p>
              </w:tc>
              <w:tc>
                <w:tcPr>
                  <w:tcW w:w="558" w:type="pct"/>
                  <w:noWrap w:val="0"/>
                  <w:vAlign w:val="center"/>
                </w:tcPr>
                <w:p w14:paraId="142FA6EB">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测点数</w:t>
                  </w:r>
                </w:p>
              </w:tc>
              <w:tc>
                <w:tcPr>
                  <w:tcW w:w="1695" w:type="pct"/>
                  <w:noWrap w:val="0"/>
                  <w:vAlign w:val="center"/>
                </w:tcPr>
                <w:p w14:paraId="1C41B88B">
                  <w:pPr>
                    <w:ind w:right="6"/>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监测因子</w:t>
                  </w:r>
                </w:p>
              </w:tc>
            </w:tr>
            <w:tr w14:paraId="1B2C1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jc w:val="center"/>
              </w:trPr>
              <w:tc>
                <w:tcPr>
                  <w:tcW w:w="738" w:type="pct"/>
                  <w:noWrap w:val="0"/>
                  <w:vAlign w:val="center"/>
                </w:tcPr>
                <w:p w14:paraId="71DD5413">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环境空气</w:t>
                  </w:r>
                </w:p>
              </w:tc>
              <w:tc>
                <w:tcPr>
                  <w:tcW w:w="2007" w:type="pct"/>
                  <w:noWrap w:val="0"/>
                  <w:vAlign w:val="center"/>
                </w:tcPr>
                <w:p w14:paraId="7817843B">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厂界、厂界上风向和下风向敏感目标</w:t>
                  </w:r>
                </w:p>
              </w:tc>
              <w:tc>
                <w:tcPr>
                  <w:tcW w:w="558" w:type="pct"/>
                  <w:noWrap w:val="0"/>
                  <w:vAlign w:val="center"/>
                </w:tcPr>
                <w:p w14:paraId="64027DC4">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1695" w:type="pct"/>
                  <w:noWrap w:val="0"/>
                  <w:vAlign w:val="center"/>
                </w:tcPr>
                <w:p w14:paraId="569E8294">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颗粒物、二氧化硫、氮氧化物</w:t>
                  </w:r>
                </w:p>
              </w:tc>
            </w:tr>
            <w:tr w14:paraId="3B74C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jc w:val="center"/>
              </w:trPr>
              <w:tc>
                <w:tcPr>
                  <w:tcW w:w="738" w:type="pct"/>
                  <w:noWrap w:val="0"/>
                  <w:vAlign w:val="center"/>
                </w:tcPr>
                <w:p w14:paraId="58E95047">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地表水</w:t>
                  </w:r>
                </w:p>
              </w:tc>
              <w:tc>
                <w:tcPr>
                  <w:tcW w:w="2007" w:type="pct"/>
                  <w:noWrap w:val="0"/>
                  <w:vAlign w:val="center"/>
                </w:tcPr>
                <w:p w14:paraId="650067B5">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厂区污水总排口、雨水排口、雨水接纳河流</w:t>
                  </w:r>
                </w:p>
              </w:tc>
              <w:tc>
                <w:tcPr>
                  <w:tcW w:w="558" w:type="pct"/>
                  <w:noWrap w:val="0"/>
                  <w:vAlign w:val="center"/>
                </w:tcPr>
                <w:p w14:paraId="520FA738">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1695" w:type="pct"/>
                  <w:noWrap w:val="0"/>
                  <w:vAlign w:val="center"/>
                </w:tcPr>
                <w:p w14:paraId="3D683097">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pH、COD</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BOD</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、SS、氨氮、总磷、</w:t>
                  </w:r>
                  <w:r>
                    <w:rPr>
                      <w:rFonts w:hint="default" w:ascii="Times New Roman" w:hAnsi="Times New Roman" w:cs="Times New Roman"/>
                      <w:color w:val="000000" w:themeColor="text1"/>
                      <w:kern w:val="0"/>
                      <w:sz w:val="21"/>
                      <w:szCs w:val="21"/>
                      <w:lang w:val="en-US" w:eastAsia="zh-CN"/>
                      <w14:textFill>
                        <w14:solidFill>
                          <w14:schemeClr w14:val="tx1"/>
                        </w14:solidFill>
                      </w14:textFill>
                    </w:rPr>
                    <w:t>总氮、石油类</w:t>
                  </w:r>
                </w:p>
              </w:tc>
            </w:tr>
          </w:tbl>
          <w:p w14:paraId="0E336B0B">
            <w:pPr>
              <w:spacing w:line="360" w:lineRule="auto"/>
              <w:ind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由于企业不具备监测条件，上述污染源监测及应急监测拟委托当地有监测能力的环境监测部门进行监测。</w:t>
            </w:r>
          </w:p>
          <w:p w14:paraId="60635EB9">
            <w:pPr>
              <w:adjustRightInd w:val="0"/>
              <w:snapToGrid w:val="0"/>
              <w:spacing w:line="360" w:lineRule="auto"/>
              <w:ind w:firstLine="422" w:firstLineChars="20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7</w:t>
            </w:r>
            <w:r>
              <w:rPr>
                <w:rFonts w:hint="default" w:ascii="Times New Roman" w:hAnsi="Times New Roman" w:cs="Times New Roman"/>
                <w:b/>
                <w:color w:val="000000" w:themeColor="text1"/>
                <w:sz w:val="21"/>
                <w:szCs w:val="21"/>
                <w14:textFill>
                  <w14:solidFill>
                    <w14:schemeClr w14:val="tx1"/>
                  </w14:solidFill>
                </w14:textFill>
              </w:rPr>
              <w:t>、电磁辐射</w:t>
            </w:r>
          </w:p>
          <w:p w14:paraId="255E25AA">
            <w:pPr>
              <w:adjustRightInd w:val="0"/>
              <w:snapToGrid w:val="0"/>
              <w:spacing w:line="360" w:lineRule="auto"/>
              <w:ind w:firstLine="420" w:firstLineChars="200"/>
              <w:rPr>
                <w:rFonts w:hint="default" w:ascii="Times New Roman" w:hAnsi="Times New Roman" w:eastAsia="宋体" w:cs="Times New Roman"/>
                <w:bCs/>
                <w:color w:val="000000" w:themeColor="text1"/>
                <w:spacing w:val="-1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本项目不涉及电磁辐射。</w:t>
            </w:r>
          </w:p>
        </w:tc>
      </w:tr>
    </w:tbl>
    <w:p w14:paraId="5B6E78D6">
      <w:pPr>
        <w:adjustRightInd w:val="0"/>
        <w:snapToGrid w:val="0"/>
        <w:spacing w:line="360" w:lineRule="auto"/>
        <w:rPr>
          <w:rFonts w:hint="default" w:ascii="Times New Roman" w:hAnsi="Times New Roman" w:cs="Times New Roman"/>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6A950CD">
      <w:pPr>
        <w:pStyle w:val="37"/>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五、</w:t>
      </w:r>
      <w:bookmarkStart w:id="19" w:name="_Hlk54167917"/>
      <w:r>
        <w:rPr>
          <w:rFonts w:hint="default" w:ascii="Times New Roman" w:hAnsi="Times New Roman" w:eastAsia="黑体" w:cs="Times New Roman"/>
          <w:snapToGrid w:val="0"/>
          <w:color w:val="000000" w:themeColor="text1"/>
          <w:sz w:val="30"/>
          <w:szCs w:val="30"/>
          <w14:textFill>
            <w14:solidFill>
              <w14:schemeClr w14:val="tx1"/>
            </w14:solidFill>
          </w14:textFill>
        </w:rPr>
        <w:t>环境保护措施监督检查清单</w:t>
      </w:r>
      <w:bookmarkEnd w:id="19"/>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0"/>
        <w:gridCol w:w="928"/>
        <w:gridCol w:w="1550"/>
        <w:gridCol w:w="1285"/>
        <w:gridCol w:w="1234"/>
        <w:gridCol w:w="1212"/>
        <w:gridCol w:w="1987"/>
      </w:tblGrid>
      <w:tr w14:paraId="53CD5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gridSpan w:val="2"/>
            <w:tcBorders>
              <w:tl2br w:val="single" w:color="auto" w:sz="4" w:space="0"/>
            </w:tcBorders>
            <w:noWrap w:val="0"/>
            <w:vAlign w:val="top"/>
          </w:tcPr>
          <w:p w14:paraId="7C9263B3">
            <w:pPr>
              <w:adjustRightInd w:val="0"/>
              <w:snapToGrid w:val="0"/>
              <w:ind w:firstLine="84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内容</w:t>
            </w:r>
          </w:p>
          <w:p w14:paraId="35FB2589">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要素</w:t>
            </w:r>
          </w:p>
        </w:tc>
        <w:tc>
          <w:tcPr>
            <w:tcW w:w="1550" w:type="dxa"/>
            <w:noWrap w:val="0"/>
            <w:vAlign w:val="center"/>
          </w:tcPr>
          <w:p w14:paraId="7898605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排放口</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编号、</w:t>
            </w:r>
          </w:p>
          <w:p w14:paraId="23CB95B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/污染源</w:t>
            </w:r>
          </w:p>
        </w:tc>
        <w:tc>
          <w:tcPr>
            <w:tcW w:w="1285" w:type="dxa"/>
            <w:noWrap w:val="0"/>
            <w:vAlign w:val="center"/>
          </w:tcPr>
          <w:p w14:paraId="42A3CA2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污染物项目</w:t>
            </w:r>
          </w:p>
        </w:tc>
        <w:tc>
          <w:tcPr>
            <w:tcW w:w="1234" w:type="dxa"/>
            <w:noWrap w:val="0"/>
            <w:vAlign w:val="center"/>
          </w:tcPr>
          <w:p w14:paraId="785E321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环境保护措施</w:t>
            </w:r>
          </w:p>
        </w:tc>
        <w:tc>
          <w:tcPr>
            <w:tcW w:w="3199" w:type="dxa"/>
            <w:gridSpan w:val="2"/>
            <w:noWrap w:val="0"/>
            <w:vAlign w:val="center"/>
          </w:tcPr>
          <w:p w14:paraId="06DF2F6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执行标准</w:t>
            </w:r>
          </w:p>
        </w:tc>
      </w:tr>
      <w:tr w14:paraId="1F8D1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10" w:type="dxa"/>
            <w:vMerge w:val="restart"/>
            <w:noWrap w:val="0"/>
            <w:vAlign w:val="center"/>
          </w:tcPr>
          <w:p w14:paraId="47D96DC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928" w:type="dxa"/>
            <w:vMerge w:val="restart"/>
            <w:noWrap w:val="0"/>
            <w:vAlign w:val="center"/>
          </w:tcPr>
          <w:p w14:paraId="3272F560">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有组织</w:t>
            </w:r>
          </w:p>
        </w:tc>
        <w:tc>
          <w:tcPr>
            <w:tcW w:w="1550" w:type="dxa"/>
            <w:vMerge w:val="restart"/>
            <w:noWrap w:val="0"/>
            <w:vAlign w:val="center"/>
          </w:tcPr>
          <w:p w14:paraId="27E6C206">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排气筒DA001</w:t>
            </w:r>
          </w:p>
        </w:tc>
        <w:tc>
          <w:tcPr>
            <w:tcW w:w="1285" w:type="dxa"/>
            <w:noWrap w:val="0"/>
            <w:vAlign w:val="center"/>
          </w:tcPr>
          <w:p w14:paraId="3849ED9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1234" w:type="dxa"/>
            <w:vMerge w:val="restart"/>
            <w:noWrap w:val="0"/>
            <w:vAlign w:val="center"/>
          </w:tcPr>
          <w:p w14:paraId="6606A683">
            <w:pPr>
              <w:adjustRightInd w:val="0"/>
              <w:snapToGrid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低氮燃烧+</w:t>
            </w:r>
            <w:r>
              <w:rPr>
                <w:rFonts w:hint="default" w:ascii="Times New Roman" w:hAnsi="Times New Roman" w:eastAsia="宋体" w:cs="Times New Roman"/>
                <w:color w:val="000000" w:themeColor="text1"/>
                <w:sz w:val="21"/>
                <w:szCs w:val="21"/>
                <w14:textFill>
                  <w14:solidFill>
                    <w14:schemeClr w14:val="tx1"/>
                  </w14:solidFill>
                </w14:textFill>
              </w:rPr>
              <w:t>排气筒</w:t>
            </w: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1212" w:type="dxa"/>
            <w:noWrap w:val="0"/>
            <w:vAlign w:val="center"/>
          </w:tcPr>
          <w:p w14:paraId="57C7E244">
            <w:pPr>
              <w:pStyle w:val="239"/>
              <w:spacing w:before="11"/>
              <w:ind w:left="98" w:leftChars="0" w:right="38"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1987" w:type="dxa"/>
            <w:vMerge w:val="restart"/>
            <w:noWrap w:val="0"/>
            <w:vAlign w:val="center"/>
          </w:tcPr>
          <w:p w14:paraId="3036AF4C">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锅炉大气污染物排放标准</w:t>
            </w:r>
            <w:r>
              <w:rPr>
                <w:rFonts w:hint="default" w:ascii="Times New Roman" w:hAnsi="Times New Roman" w:cs="Times New Roman"/>
                <w:color w:val="000000" w:themeColor="text1"/>
                <w:szCs w:val="21"/>
                <w14:textFill>
                  <w14:solidFill>
                    <w14:schemeClr w14:val="tx1"/>
                  </w14:solidFill>
                </w14:textFill>
              </w:rPr>
              <w:t xml:space="preserve">》（DB32/ </w:t>
            </w:r>
            <w:r>
              <w:rPr>
                <w:rFonts w:hint="default" w:ascii="Times New Roman" w:hAnsi="Times New Roman" w:cs="Times New Roman"/>
                <w:color w:val="000000" w:themeColor="text1"/>
                <w:szCs w:val="21"/>
                <w:lang w:val="en-US" w:eastAsia="zh-CN"/>
                <w14:textFill>
                  <w14:solidFill>
                    <w14:schemeClr w14:val="tx1"/>
                  </w14:solidFill>
                </w14:textFill>
              </w:rPr>
              <w:t>204385</w:t>
            </w:r>
            <w:r>
              <w:rPr>
                <w:rFonts w:hint="default" w:ascii="Times New Roman" w:hAnsi="Times New Roman" w:cs="Times New Roman"/>
                <w:color w:val="000000" w:themeColor="text1"/>
                <w:szCs w:val="21"/>
                <w14:textFill>
                  <w14:solidFill>
                    <w14:schemeClr w14:val="tx1"/>
                  </w14:solidFill>
                </w14:textFill>
              </w:rPr>
              <w:t>-202</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w:t>
            </w:r>
          </w:p>
        </w:tc>
      </w:tr>
      <w:tr w14:paraId="0FF95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10" w:type="dxa"/>
            <w:vMerge w:val="continue"/>
            <w:noWrap w:val="0"/>
            <w:vAlign w:val="center"/>
          </w:tcPr>
          <w:p w14:paraId="04549E7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8" w:type="dxa"/>
            <w:vMerge w:val="continue"/>
            <w:noWrap w:val="0"/>
            <w:vAlign w:val="center"/>
          </w:tcPr>
          <w:p w14:paraId="79549B59">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50" w:type="dxa"/>
            <w:vMerge w:val="continue"/>
            <w:noWrap w:val="0"/>
            <w:vAlign w:val="center"/>
          </w:tcPr>
          <w:p w14:paraId="03B4D778">
            <w:pPr>
              <w:spacing w:line="32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noWrap w:val="0"/>
            <w:vAlign w:val="center"/>
          </w:tcPr>
          <w:p w14:paraId="54ACA3C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氮氧化物</w:t>
            </w:r>
          </w:p>
        </w:tc>
        <w:tc>
          <w:tcPr>
            <w:tcW w:w="1234" w:type="dxa"/>
            <w:vMerge w:val="continue"/>
            <w:noWrap w:val="0"/>
            <w:vAlign w:val="center"/>
          </w:tcPr>
          <w:p w14:paraId="1D74AB19">
            <w:pPr>
              <w:adjustRightInd w:val="0"/>
              <w:snapToGrid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12" w:type="dxa"/>
            <w:noWrap w:val="0"/>
            <w:vAlign w:val="center"/>
          </w:tcPr>
          <w:p w14:paraId="2154D5A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1987" w:type="dxa"/>
            <w:vMerge w:val="continue"/>
            <w:noWrap w:val="0"/>
            <w:vAlign w:val="center"/>
          </w:tcPr>
          <w:p w14:paraId="5BE56E57">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9000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10" w:type="dxa"/>
            <w:vMerge w:val="continue"/>
            <w:noWrap w:val="0"/>
            <w:vAlign w:val="center"/>
          </w:tcPr>
          <w:p w14:paraId="79B7412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8" w:type="dxa"/>
            <w:vMerge w:val="continue"/>
            <w:noWrap w:val="0"/>
            <w:vAlign w:val="center"/>
          </w:tcPr>
          <w:p w14:paraId="25B0FD98">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50" w:type="dxa"/>
            <w:vMerge w:val="continue"/>
            <w:noWrap w:val="0"/>
            <w:vAlign w:val="center"/>
          </w:tcPr>
          <w:p w14:paraId="3BAEF1FA">
            <w:pPr>
              <w:spacing w:line="32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noWrap w:val="0"/>
            <w:vAlign w:val="center"/>
          </w:tcPr>
          <w:p w14:paraId="3359CF3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二氧化硫</w:t>
            </w:r>
          </w:p>
        </w:tc>
        <w:tc>
          <w:tcPr>
            <w:tcW w:w="1234" w:type="dxa"/>
            <w:vMerge w:val="continue"/>
            <w:noWrap w:val="0"/>
            <w:vAlign w:val="center"/>
          </w:tcPr>
          <w:p w14:paraId="3F707B83">
            <w:pPr>
              <w:adjustRightInd w:val="0"/>
              <w:snapToGrid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12" w:type="dxa"/>
            <w:noWrap w:val="0"/>
            <w:vAlign w:val="center"/>
          </w:tcPr>
          <w:p w14:paraId="4EDC4D2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35</w:t>
            </w:r>
            <w:r>
              <w:rPr>
                <w:rFonts w:hint="default" w:ascii="Times New Roman" w:hAnsi="Times New Roman" w:cs="Times New Roman"/>
                <w:color w:val="000000" w:themeColor="text1"/>
                <w:sz w:val="21"/>
                <w:szCs w:val="21"/>
                <w:lang w:val="en-US" w:eastAsia="zh-CN"/>
                <w14:textFill>
                  <w14:solidFill>
                    <w14:schemeClr w14:val="tx1"/>
                  </w14:solidFill>
                </w14:textFill>
              </w:rPr>
              <w:t>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1987" w:type="dxa"/>
            <w:vMerge w:val="continue"/>
            <w:noWrap w:val="0"/>
            <w:vAlign w:val="center"/>
          </w:tcPr>
          <w:p w14:paraId="101C0A2F">
            <w:pPr>
              <w:jc w:val="center"/>
              <w:rPr>
                <w:rFonts w:hint="default" w:ascii="Times New Roman" w:hAnsi="Times New Roman" w:cs="Times New Roman"/>
                <w:color w:val="000000" w:themeColor="text1"/>
                <w:sz w:val="21"/>
                <w:szCs w:val="21"/>
                <w14:textFill>
                  <w14:solidFill>
                    <w14:schemeClr w14:val="tx1"/>
                  </w14:solidFill>
                </w14:textFill>
              </w:rPr>
            </w:pPr>
          </w:p>
        </w:tc>
      </w:tr>
      <w:tr w14:paraId="33E7D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10" w:type="dxa"/>
            <w:vMerge w:val="continue"/>
            <w:noWrap w:val="0"/>
            <w:vAlign w:val="center"/>
          </w:tcPr>
          <w:p w14:paraId="12652E5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8" w:type="dxa"/>
            <w:vMerge w:val="continue"/>
            <w:noWrap w:val="0"/>
            <w:vAlign w:val="center"/>
          </w:tcPr>
          <w:p w14:paraId="07F5F6CA">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550" w:type="dxa"/>
            <w:vMerge w:val="continue"/>
            <w:noWrap w:val="0"/>
            <w:vAlign w:val="center"/>
          </w:tcPr>
          <w:p w14:paraId="1CDF5A7B">
            <w:pPr>
              <w:spacing w:line="32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noWrap w:val="0"/>
            <w:vAlign w:val="center"/>
          </w:tcPr>
          <w:p w14:paraId="41ADFE6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林格曼黑度</w:t>
            </w:r>
          </w:p>
        </w:tc>
        <w:tc>
          <w:tcPr>
            <w:tcW w:w="1234" w:type="dxa"/>
            <w:vMerge w:val="continue"/>
            <w:noWrap w:val="0"/>
            <w:vAlign w:val="center"/>
          </w:tcPr>
          <w:p w14:paraId="7A10A324">
            <w:pPr>
              <w:adjustRightInd w:val="0"/>
              <w:snapToGrid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12" w:type="dxa"/>
            <w:noWrap w:val="0"/>
            <w:vAlign w:val="center"/>
          </w:tcPr>
          <w:p w14:paraId="65441D5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1级</w:t>
            </w:r>
          </w:p>
        </w:tc>
        <w:tc>
          <w:tcPr>
            <w:tcW w:w="1987" w:type="dxa"/>
            <w:vMerge w:val="continue"/>
            <w:noWrap w:val="0"/>
            <w:vAlign w:val="center"/>
          </w:tcPr>
          <w:p w14:paraId="49559B26">
            <w:pPr>
              <w:jc w:val="center"/>
              <w:rPr>
                <w:rFonts w:hint="default" w:ascii="Times New Roman" w:hAnsi="Times New Roman" w:cs="Times New Roman"/>
                <w:color w:val="000000" w:themeColor="text1"/>
                <w:sz w:val="21"/>
                <w:szCs w:val="21"/>
                <w14:textFill>
                  <w14:solidFill>
                    <w14:schemeClr w14:val="tx1"/>
                  </w14:solidFill>
                </w14:textFill>
              </w:rPr>
            </w:pPr>
          </w:p>
        </w:tc>
      </w:tr>
      <w:tr w14:paraId="00963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gridSpan w:val="2"/>
            <w:vMerge w:val="restart"/>
            <w:noWrap w:val="0"/>
            <w:vAlign w:val="center"/>
          </w:tcPr>
          <w:p w14:paraId="0B2027B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w:t>
            </w:r>
          </w:p>
        </w:tc>
        <w:tc>
          <w:tcPr>
            <w:tcW w:w="1550" w:type="dxa"/>
            <w:vMerge w:val="restart"/>
            <w:noWrap w:val="0"/>
            <w:vAlign w:val="center"/>
          </w:tcPr>
          <w:p w14:paraId="02E22FEB">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锅炉废水</w:t>
            </w:r>
          </w:p>
        </w:tc>
        <w:tc>
          <w:tcPr>
            <w:tcW w:w="1285" w:type="dxa"/>
            <w:noWrap w:val="0"/>
            <w:vAlign w:val="center"/>
          </w:tcPr>
          <w:p w14:paraId="657DFDC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1234" w:type="dxa"/>
            <w:vMerge w:val="restart"/>
            <w:noWrap w:val="0"/>
            <w:vAlign w:val="center"/>
          </w:tcPr>
          <w:p w14:paraId="3206EF2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212" w:type="dxa"/>
            <w:noWrap w:val="0"/>
            <w:vAlign w:val="center"/>
          </w:tcPr>
          <w:p w14:paraId="40082D8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4"/>
                <w:lang w:val="en-US" w:eastAsia="zh-CN"/>
                <w14:textFill>
                  <w14:solidFill>
                    <w14:schemeClr w14:val="tx1"/>
                  </w14:solidFill>
                </w14:textFill>
              </w:rPr>
              <w:t>500mg/L</w:t>
            </w:r>
          </w:p>
        </w:tc>
        <w:tc>
          <w:tcPr>
            <w:tcW w:w="1987" w:type="dxa"/>
            <w:vMerge w:val="restart"/>
            <w:noWrap w:val="0"/>
            <w:vAlign w:val="center"/>
          </w:tcPr>
          <w:p w14:paraId="1DD9D58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污水处理厂设计</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进水</w:t>
            </w:r>
            <w:r>
              <w:rPr>
                <w:rFonts w:hint="default" w:ascii="Times New Roman" w:hAnsi="Times New Roman" w:cs="Times New Roman"/>
                <w:color w:val="000000" w:themeColor="text1"/>
                <w:sz w:val="21"/>
                <w:szCs w:val="21"/>
                <w:highlight w:val="none"/>
                <w14:textFill>
                  <w14:solidFill>
                    <w14:schemeClr w14:val="tx1"/>
                  </w14:solidFill>
                </w14:textFill>
              </w:rPr>
              <w:t>水质</w:t>
            </w:r>
          </w:p>
        </w:tc>
      </w:tr>
      <w:tr w14:paraId="08CA1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gridSpan w:val="2"/>
            <w:vMerge w:val="continue"/>
            <w:noWrap w:val="0"/>
            <w:vAlign w:val="center"/>
          </w:tcPr>
          <w:p w14:paraId="2E14177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50" w:type="dxa"/>
            <w:vMerge w:val="continue"/>
            <w:noWrap w:val="0"/>
            <w:vAlign w:val="center"/>
          </w:tcPr>
          <w:p w14:paraId="28454989">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noWrap w:val="0"/>
            <w:vAlign w:val="center"/>
          </w:tcPr>
          <w:p w14:paraId="01072F6D">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1234" w:type="dxa"/>
            <w:vMerge w:val="continue"/>
            <w:noWrap w:val="0"/>
            <w:vAlign w:val="center"/>
          </w:tcPr>
          <w:p w14:paraId="52E4BC34">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12" w:type="dxa"/>
            <w:noWrap w:val="0"/>
            <w:vAlign w:val="center"/>
          </w:tcPr>
          <w:p w14:paraId="4C2F120B">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4"/>
                <w:lang w:val="en-US" w:eastAsia="zh-CN"/>
                <w14:textFill>
                  <w14:solidFill>
                    <w14:schemeClr w14:val="tx1"/>
                  </w14:solidFill>
                </w14:textFill>
              </w:rPr>
              <w:t>400mg/L</w:t>
            </w:r>
          </w:p>
        </w:tc>
        <w:tc>
          <w:tcPr>
            <w:tcW w:w="1987" w:type="dxa"/>
            <w:vMerge w:val="continue"/>
            <w:noWrap w:val="0"/>
            <w:vAlign w:val="center"/>
          </w:tcPr>
          <w:p w14:paraId="0E86CAA8">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F51A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1538" w:type="dxa"/>
            <w:gridSpan w:val="2"/>
            <w:noWrap w:val="0"/>
            <w:vAlign w:val="center"/>
          </w:tcPr>
          <w:p w14:paraId="72F0336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1550" w:type="dxa"/>
            <w:noWrap w:val="0"/>
            <w:vAlign w:val="center"/>
          </w:tcPr>
          <w:p w14:paraId="1724D95D">
            <w:pPr>
              <w:pStyle w:val="220"/>
              <w:tabs>
                <w:tab w:val="left" w:pos="420"/>
              </w:tabs>
              <w:ind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生产设备</w:t>
            </w:r>
          </w:p>
        </w:tc>
        <w:tc>
          <w:tcPr>
            <w:tcW w:w="1285" w:type="dxa"/>
            <w:noWrap w:val="0"/>
            <w:vAlign w:val="center"/>
          </w:tcPr>
          <w:p w14:paraId="7587CBF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2446" w:type="dxa"/>
            <w:gridSpan w:val="2"/>
            <w:noWrap w:val="0"/>
            <w:vAlign w:val="center"/>
          </w:tcPr>
          <w:p w14:paraId="52F4A7D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选用低噪声设备，隔声、建筑消声</w:t>
            </w:r>
          </w:p>
        </w:tc>
        <w:tc>
          <w:tcPr>
            <w:tcW w:w="1987" w:type="dxa"/>
            <w:noWrap w:val="0"/>
            <w:vAlign w:val="center"/>
          </w:tcPr>
          <w:p w14:paraId="5C3EB6B1">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《工业企业厂界环境噪声排放标准》（GB12348-2008）中</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昼间：6</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dB（A</w:t>
            </w:r>
            <w:bookmarkStart w:id="20" w:name="_GoBack"/>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bookmarkEnd w:id="20"/>
            <w:r>
              <w:rPr>
                <w:rFonts w:hint="default" w:ascii="Times New Roman" w:hAnsi="Times New Roman" w:cs="Times New Roman"/>
                <w:color w:val="000000" w:themeColor="text1"/>
                <w:lang w:eastAsia="zh-CN"/>
                <w14:textFill>
                  <w14:solidFill>
                    <w14:schemeClr w14:val="tx1"/>
                  </w14:solidFill>
                </w14:textFill>
              </w:rPr>
              <w:t>）</w:t>
            </w:r>
          </w:p>
        </w:tc>
      </w:tr>
      <w:tr w14:paraId="557FE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38" w:type="dxa"/>
            <w:gridSpan w:val="2"/>
            <w:noWrap w:val="0"/>
            <w:vAlign w:val="center"/>
          </w:tcPr>
          <w:p w14:paraId="2E14701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电磁辐射</w:t>
            </w:r>
          </w:p>
        </w:tc>
        <w:tc>
          <w:tcPr>
            <w:tcW w:w="1550" w:type="dxa"/>
            <w:noWrap w:val="0"/>
            <w:vAlign w:val="center"/>
          </w:tcPr>
          <w:p w14:paraId="5B4C4F7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85" w:type="dxa"/>
            <w:noWrap w:val="0"/>
            <w:vAlign w:val="center"/>
          </w:tcPr>
          <w:p w14:paraId="145206A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446" w:type="dxa"/>
            <w:gridSpan w:val="2"/>
            <w:noWrap w:val="0"/>
            <w:vAlign w:val="center"/>
          </w:tcPr>
          <w:p w14:paraId="0D744CB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987" w:type="dxa"/>
            <w:noWrap w:val="0"/>
            <w:vAlign w:val="center"/>
          </w:tcPr>
          <w:p w14:paraId="2C280F4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4A28A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538" w:type="dxa"/>
            <w:gridSpan w:val="2"/>
            <w:noWrap w:val="0"/>
            <w:vAlign w:val="center"/>
          </w:tcPr>
          <w:p w14:paraId="7607E31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w:t>
            </w:r>
          </w:p>
        </w:tc>
        <w:tc>
          <w:tcPr>
            <w:tcW w:w="1550" w:type="dxa"/>
            <w:noWrap w:val="0"/>
            <w:vAlign w:val="center"/>
          </w:tcPr>
          <w:p w14:paraId="6C0CC5AC">
            <w:pPr>
              <w:pStyle w:val="239"/>
              <w:adjustRightInd w:val="0"/>
              <w:snapToGrid w:val="0"/>
              <w:spacing w:line="240" w:lineRule="exact"/>
              <w:ind w:left="105" w:leftChars="5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1285" w:type="dxa"/>
            <w:tcBorders>
              <w:bottom w:val="single" w:color="auto" w:sz="4" w:space="0"/>
            </w:tcBorders>
            <w:noWrap w:val="0"/>
            <w:vAlign w:val="center"/>
          </w:tcPr>
          <w:p w14:paraId="6A9061DD">
            <w:pPr>
              <w:widowControl/>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2446" w:type="dxa"/>
            <w:gridSpan w:val="2"/>
            <w:noWrap w:val="0"/>
            <w:vAlign w:val="center"/>
          </w:tcPr>
          <w:p w14:paraId="45B6E888">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987" w:type="dxa"/>
            <w:noWrap w:val="0"/>
            <w:vAlign w:val="center"/>
          </w:tcPr>
          <w:p w14:paraId="7DF1F1C1">
            <w:pPr>
              <w:pStyle w:val="151"/>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3A3D6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gridSpan w:val="2"/>
            <w:noWrap w:val="0"/>
            <w:vAlign w:val="center"/>
          </w:tcPr>
          <w:p w14:paraId="761C4AE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土壤及地下水</w:t>
            </w:r>
          </w:p>
          <w:p w14:paraId="7944424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污染防治措施</w:t>
            </w:r>
          </w:p>
        </w:tc>
        <w:tc>
          <w:tcPr>
            <w:tcW w:w="7268" w:type="dxa"/>
            <w:gridSpan w:val="5"/>
            <w:noWrap w:val="0"/>
            <w:vAlign w:val="center"/>
          </w:tcPr>
          <w:p w14:paraId="293C1439">
            <w:pPr>
              <w:autoSpaceDE w:val="0"/>
              <w:autoSpaceDN w:val="0"/>
              <w:adjustRightInd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分区防控。主要包括污染区地面的防渗措施和泄漏、渗漏污染物收集措施，即在污染区地面进行防渗处理，防止洒落地面的污染物渗入地下，从而避免对地下水的污染。根据项目场地包气带防污性能、污染控制难易程度和污染物特性对项目进行分区防控。</w:t>
            </w:r>
          </w:p>
        </w:tc>
      </w:tr>
      <w:tr w14:paraId="486DB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538" w:type="dxa"/>
            <w:gridSpan w:val="2"/>
            <w:noWrap w:val="0"/>
            <w:vAlign w:val="center"/>
          </w:tcPr>
          <w:p w14:paraId="30B28A4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生态保护措施</w:t>
            </w:r>
          </w:p>
        </w:tc>
        <w:tc>
          <w:tcPr>
            <w:tcW w:w="7268" w:type="dxa"/>
            <w:gridSpan w:val="5"/>
            <w:noWrap w:val="0"/>
            <w:vAlign w:val="center"/>
          </w:tcPr>
          <w:p w14:paraId="3C41CA3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CCBA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538" w:type="dxa"/>
            <w:gridSpan w:val="2"/>
            <w:noWrap w:val="0"/>
            <w:vAlign w:val="center"/>
          </w:tcPr>
          <w:p w14:paraId="2790E641">
            <w:pPr>
              <w:adjustRightInd w:val="0"/>
              <w:snapToGrid w:val="0"/>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环境风险</w:t>
            </w:r>
          </w:p>
          <w:p w14:paraId="21EED522">
            <w:pPr>
              <w:adjustRightInd w:val="0"/>
              <w:snapToGrid w:val="0"/>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防范措施</w:t>
            </w:r>
          </w:p>
        </w:tc>
        <w:tc>
          <w:tcPr>
            <w:tcW w:w="7268" w:type="dxa"/>
            <w:gridSpan w:val="5"/>
            <w:noWrap w:val="0"/>
            <w:vAlign w:val="center"/>
          </w:tcPr>
          <w:p w14:paraId="4533934B">
            <w:pPr>
              <w:autoSpaceDE w:val="0"/>
              <w:autoSpaceDN w:val="0"/>
              <w:adjustRightInd w:val="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1、各风险物质储存点张贴醒目标志，配备灭火消防设备；消防器材周围禁止堆放杂物。</w:t>
            </w:r>
          </w:p>
          <w:p w14:paraId="4CA71911">
            <w:pPr>
              <w:autoSpaceDE w:val="0"/>
              <w:autoSpaceDN w:val="0"/>
              <w:adjustRightInd w:val="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2、对各储存点进行日常巡查，及时排查潜在的泄漏点。</w:t>
            </w:r>
          </w:p>
          <w:p w14:paraId="4589C8B4">
            <w:pPr>
              <w:autoSpaceDE w:val="0"/>
              <w:autoSpaceDN w:val="0"/>
              <w:adjustRightInd w:val="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3、风险物质尽量遵循少存放、勤清理的原则，减少厂内储存量。</w:t>
            </w:r>
          </w:p>
          <w:p w14:paraId="14D753E3">
            <w:pPr>
              <w:autoSpaceDE w:val="0"/>
              <w:autoSpaceDN w:val="0"/>
              <w:adjustRightInd w:val="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4、储存风险物质的区域，需进行地面硬化处理，旁边放置吸附棉等泄漏应急物资，确保发生泄漏时能及时处理；危废暂存间采取防渗防腐蚀处理。</w:t>
            </w:r>
          </w:p>
          <w:p w14:paraId="4B2B8350">
            <w:pPr>
              <w:autoSpaceDE w:val="0"/>
              <w:autoSpaceDN w:val="0"/>
              <w:adjustRightInd w:val="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5、制定安全操作规章制度，加强工作人员安全意识教育，要求工作人员作业时佩戴手套等个人防护用品，通过定期培训和宣传，加强自我防范意识，并熟练掌握事故发生时的自我保护措施、化学品泄漏的应急措施和正确处理方法。</w:t>
            </w:r>
          </w:p>
          <w:p w14:paraId="20A6071F">
            <w:pPr>
              <w:autoSpaceDE w:val="0"/>
              <w:autoSpaceDN w:val="0"/>
              <w:adjustRightInd w:val="0"/>
              <w:jc w:val="left"/>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6、组建专职环境管理部门或设置环保管理专员专人专岗，具体负责企业内部的日常环境管理事务，联合安全生产职能管理部门或安全生产管理人员，做好安全和环境风险防范管理。</w:t>
            </w:r>
          </w:p>
        </w:tc>
      </w:tr>
      <w:tr w14:paraId="072F7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gridSpan w:val="2"/>
            <w:noWrap w:val="0"/>
            <w:vAlign w:val="center"/>
          </w:tcPr>
          <w:p w14:paraId="7DE1C4C3">
            <w:pPr>
              <w:adjustRightInd w:val="0"/>
              <w:snapToGrid w:val="0"/>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其他环境</w:t>
            </w:r>
          </w:p>
          <w:p w14:paraId="35D4B012">
            <w:pPr>
              <w:adjustRightInd w:val="0"/>
              <w:snapToGrid w:val="0"/>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管理要求</w:t>
            </w:r>
          </w:p>
        </w:tc>
        <w:tc>
          <w:tcPr>
            <w:tcW w:w="7268" w:type="dxa"/>
            <w:gridSpan w:val="5"/>
            <w:noWrap w:val="0"/>
            <w:vAlign w:val="center"/>
          </w:tcPr>
          <w:p w14:paraId="3CB136F8">
            <w:pPr>
              <w:pStyle w:val="229"/>
              <w:jc w:val="left"/>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（1）环境管理</w:t>
            </w:r>
          </w:p>
          <w:p w14:paraId="520C2171">
            <w:pPr>
              <w:pStyle w:val="229"/>
              <w:jc w:val="left"/>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公司应设置环保专员岗位，其主要职责为：贯彻执行国家和地方的环境保护法规和标准；接受环保主管部门的检查监督，定期上报各项环境管理工作的执行情况；组织制定公司各部门的环境管理规章制度，并监督执行；负责公司环保设施的正常运转。</w:t>
            </w:r>
          </w:p>
        </w:tc>
      </w:tr>
    </w:tbl>
    <w:p w14:paraId="768A138C">
      <w:pPr>
        <w:pStyle w:val="37"/>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C4D1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09E32157">
            <w:pPr>
              <w:autoSpaceDE w:val="0"/>
              <w:autoSpaceDN w:val="0"/>
              <w:adjustRightInd w:val="0"/>
              <w:spacing w:line="360" w:lineRule="auto"/>
              <w:ind w:firstLine="482" w:firstLineChars="200"/>
              <w:jc w:val="left"/>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综上所述，本项目采用本报告表的各项污染防治措施，各项污染物实现达标排放，且不会降低评价区域原有环境质量功能级别。实施过程中要严格执行“三同时”制度，在严格执行各项环保措施的前提下，从环境角度而言，该项目是可行的。</w:t>
            </w:r>
          </w:p>
          <w:p w14:paraId="763CB067">
            <w:pPr>
              <w:pStyle w:val="23"/>
              <w:rPr>
                <w:rFonts w:hint="default" w:ascii="Times New Roman" w:hAnsi="Times New Roman" w:cs="Times New Roman"/>
                <w:color w:val="000000" w:themeColor="text1"/>
                <w:szCs w:val="22"/>
                <w14:textFill>
                  <w14:solidFill>
                    <w14:schemeClr w14:val="tx1"/>
                  </w14:solidFill>
                </w14:textFill>
              </w:rPr>
            </w:pPr>
          </w:p>
          <w:p w14:paraId="30A641B8">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p>
          <w:p w14:paraId="3CDD496E">
            <w:pPr>
              <w:spacing w:line="360" w:lineRule="auto"/>
              <w:rPr>
                <w:rFonts w:hint="default" w:ascii="Times New Roman" w:hAnsi="Times New Roman" w:cs="Times New Roman"/>
                <w:color w:val="000000" w:themeColor="text1"/>
                <w:sz w:val="24"/>
                <w14:textFill>
                  <w14:solidFill>
                    <w14:schemeClr w14:val="tx1"/>
                  </w14:solidFill>
                </w14:textFill>
              </w:rPr>
            </w:pPr>
          </w:p>
        </w:tc>
      </w:tr>
    </w:tbl>
    <w:p w14:paraId="0995EBC6">
      <w:pPr>
        <w:rPr>
          <w:rFonts w:hint="default" w:ascii="Times New Roman" w:hAnsi="Times New Roman" w:cs="Times New Roman"/>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2A7C2A8">
      <w:pPr>
        <w:pStyle w:val="3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eastAsia="黑体" w:cs="Times New Roman"/>
          <w:snapToGrid w:val="0"/>
          <w:color w:val="000000" w:themeColor="text1"/>
          <w:sz w:val="32"/>
          <w:szCs w:val="32"/>
          <w14:textFill>
            <w14:solidFill>
              <w14:schemeClr w14:val="tx1"/>
            </w14:solidFill>
          </w14:textFill>
        </w:rPr>
      </w:pPr>
      <w:r>
        <w:rPr>
          <w:rFonts w:hint="default" w:ascii="Times New Roman" w:hAnsi="Times New Roman" w:eastAsia="黑体" w:cs="Times New Roman"/>
          <w:snapToGrid w:val="0"/>
          <w:color w:val="000000" w:themeColor="text1"/>
          <w:sz w:val="32"/>
          <w:szCs w:val="32"/>
          <w14:textFill>
            <w14:solidFill>
              <w14:schemeClr w14:val="tx1"/>
            </w14:solidFill>
          </w14:textFill>
        </w:rPr>
        <w:t>附表</w:t>
      </w:r>
    </w:p>
    <w:p w14:paraId="6CE41EF5">
      <w:pPr>
        <w:pStyle w:val="37"/>
        <w:adjustRightInd w:val="0"/>
        <w:snapToGrid w:val="0"/>
        <w:spacing w:before="0" w:beforeAutospacing="0" w:after="0" w:afterAutospacing="0" w:line="240" w:lineRule="auto"/>
        <w:jc w:val="center"/>
        <w:outlineLvl w:val="0"/>
        <w:rPr>
          <w:rFonts w:hint="default" w:ascii="Times New Roman" w:hAnsi="Times New Roman" w:eastAsia="方正小标宋_GBK" w:cs="Times New Roman"/>
          <w:snapToGrid w:val="0"/>
          <w:color w:val="000000" w:themeColor="text1"/>
          <w:sz w:val="38"/>
          <w:szCs w:val="38"/>
          <w14:textFill>
            <w14:solidFill>
              <w14:schemeClr w14:val="tx1"/>
            </w14:solidFill>
          </w14:textFill>
        </w:rPr>
      </w:pPr>
      <w:r>
        <w:rPr>
          <w:rFonts w:hint="default" w:ascii="Times New Roman" w:hAnsi="Times New Roman" w:eastAsia="方正小标宋_GBK" w:cs="Times New Roman"/>
          <w:snapToGrid w:val="0"/>
          <w:color w:val="000000" w:themeColor="text1"/>
          <w:sz w:val="38"/>
          <w:szCs w:val="38"/>
          <w14:textFill>
            <w14:solidFill>
              <w14:schemeClr w14:val="tx1"/>
            </w14:solidFill>
          </w14:textFill>
        </w:rPr>
        <w:t>建设项目污染物排放量汇总表</w:t>
      </w:r>
    </w:p>
    <w:tbl>
      <w:tblPr>
        <w:tblStyle w:val="4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531"/>
        <w:gridCol w:w="886"/>
        <w:gridCol w:w="1701"/>
        <w:gridCol w:w="1276"/>
        <w:gridCol w:w="1701"/>
        <w:gridCol w:w="1559"/>
        <w:gridCol w:w="1761"/>
        <w:gridCol w:w="1641"/>
        <w:gridCol w:w="1144"/>
      </w:tblGrid>
      <w:tr w14:paraId="6149D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1CB61F6F">
            <w:pPr>
              <w:pStyle w:val="85"/>
              <w:spacing w:beforeLines="0" w:afterLines="0" w:line="240" w:lineRule="auto"/>
              <w:jc w:val="right"/>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项目</w:t>
            </w:r>
          </w:p>
          <w:p w14:paraId="23BCEE0F">
            <w:pPr>
              <w:pStyle w:val="85"/>
              <w:spacing w:beforeLines="0" w:afterLines="0" w:line="240" w:lineRule="auto"/>
              <w:jc w:val="left"/>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分类</w:t>
            </w:r>
          </w:p>
        </w:tc>
        <w:tc>
          <w:tcPr>
            <w:tcW w:w="1417" w:type="dxa"/>
            <w:gridSpan w:val="2"/>
            <w:noWrap w:val="0"/>
            <w:tcMar>
              <w:left w:w="28" w:type="dxa"/>
              <w:right w:w="28" w:type="dxa"/>
            </w:tcMar>
            <w:vAlign w:val="center"/>
          </w:tcPr>
          <w:p w14:paraId="3E383CD5">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污染物名称</w:t>
            </w:r>
          </w:p>
        </w:tc>
        <w:tc>
          <w:tcPr>
            <w:tcW w:w="1701" w:type="dxa"/>
            <w:noWrap w:val="0"/>
            <w:tcMar>
              <w:left w:w="28" w:type="dxa"/>
              <w:right w:w="28" w:type="dxa"/>
            </w:tcMar>
            <w:vAlign w:val="center"/>
          </w:tcPr>
          <w:p w14:paraId="4FBC77A8">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现有工程</w:t>
            </w:r>
          </w:p>
          <w:p w14:paraId="71CA173E">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lang w:val="en-US" w:eastAsia="zh-CN"/>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end"/>
            </w:r>
          </w:p>
        </w:tc>
        <w:tc>
          <w:tcPr>
            <w:tcW w:w="1276" w:type="dxa"/>
            <w:noWrap w:val="0"/>
            <w:tcMar>
              <w:left w:w="28" w:type="dxa"/>
              <w:right w:w="28" w:type="dxa"/>
            </w:tcMar>
            <w:vAlign w:val="center"/>
          </w:tcPr>
          <w:p w14:paraId="6C245458">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现有工程</w:t>
            </w:r>
          </w:p>
          <w:p w14:paraId="22074B07">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许可排放量</w:t>
            </w:r>
          </w:p>
          <w:p w14:paraId="4BAD3948">
            <w:pPr>
              <w:pStyle w:val="85"/>
              <w:spacing w:beforeLines="0" w:afterLines="0"/>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end"/>
            </w:r>
          </w:p>
        </w:tc>
        <w:tc>
          <w:tcPr>
            <w:tcW w:w="1701" w:type="dxa"/>
            <w:noWrap w:val="0"/>
            <w:tcMar>
              <w:left w:w="28" w:type="dxa"/>
              <w:right w:w="28" w:type="dxa"/>
            </w:tcMar>
            <w:vAlign w:val="center"/>
          </w:tcPr>
          <w:p w14:paraId="3DC56227">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在建工程</w:t>
            </w:r>
          </w:p>
          <w:p w14:paraId="153CB44B">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lang w:val="en-US" w:eastAsia="zh-CN"/>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end"/>
            </w:r>
          </w:p>
        </w:tc>
        <w:tc>
          <w:tcPr>
            <w:tcW w:w="1559" w:type="dxa"/>
            <w:noWrap w:val="0"/>
            <w:tcMar>
              <w:left w:w="28" w:type="dxa"/>
              <w:right w:w="28" w:type="dxa"/>
            </w:tcMar>
            <w:vAlign w:val="center"/>
          </w:tcPr>
          <w:p w14:paraId="1FC5B9A3">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本项目</w:t>
            </w:r>
          </w:p>
          <w:p w14:paraId="0EDEA41F">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lang w:val="en-US" w:eastAsia="zh-CN"/>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end"/>
            </w:r>
          </w:p>
        </w:tc>
        <w:tc>
          <w:tcPr>
            <w:tcW w:w="1761" w:type="dxa"/>
            <w:noWrap w:val="0"/>
            <w:tcMar>
              <w:left w:w="28" w:type="dxa"/>
              <w:right w:w="28" w:type="dxa"/>
            </w:tcMar>
            <w:vAlign w:val="center"/>
          </w:tcPr>
          <w:p w14:paraId="67A9779D">
            <w:pPr>
              <w:pStyle w:val="85"/>
              <w:spacing w:beforeLines="0" w:afterLines="0" w:line="240" w:lineRule="auto"/>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t>以新带老削减量</w:t>
            </w:r>
          </w:p>
          <w:p w14:paraId="21B7CD54">
            <w:pPr>
              <w:pStyle w:val="85"/>
              <w:spacing w:beforeLines="0" w:afterLines="0" w:line="240" w:lineRule="auto"/>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lang w:val="en-US" w:eastAsia="zh-CN"/>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fldChar w:fldCharType="end"/>
            </w:r>
          </w:p>
        </w:tc>
        <w:tc>
          <w:tcPr>
            <w:tcW w:w="1641" w:type="dxa"/>
            <w:noWrap w:val="0"/>
            <w:tcMar>
              <w:left w:w="28" w:type="dxa"/>
              <w:right w:w="28" w:type="dxa"/>
            </w:tcMar>
            <w:vAlign w:val="center"/>
          </w:tcPr>
          <w:p w14:paraId="28A04BE4">
            <w:pPr>
              <w:pStyle w:val="85"/>
              <w:spacing w:beforeLines="0" w:afterLines="0" w:line="240" w:lineRule="auto"/>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t>本项目建成后</w:t>
            </w:r>
          </w:p>
          <w:p w14:paraId="692F91DC">
            <w:pPr>
              <w:pStyle w:val="85"/>
              <w:spacing w:beforeLines="0" w:afterLines="0" w:line="240" w:lineRule="auto"/>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lang w:val="en-US" w:eastAsia="zh-CN"/>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lang w:val="en-US" w:eastAsia="zh-CN"/>
                <w14:textFill>
                  <w14:solidFill>
                    <w14:schemeClr w14:val="tx1"/>
                  </w14:solidFill>
                </w14:textFill>
              </w:rPr>
              <w:fldChar w:fldCharType="end"/>
            </w:r>
          </w:p>
        </w:tc>
        <w:tc>
          <w:tcPr>
            <w:tcW w:w="1144" w:type="dxa"/>
            <w:noWrap w:val="0"/>
            <w:tcMar>
              <w:left w:w="28" w:type="dxa"/>
              <w:right w:w="28" w:type="dxa"/>
            </w:tcMar>
            <w:vAlign w:val="center"/>
          </w:tcPr>
          <w:p w14:paraId="42040DD3">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变化量</w:t>
            </w:r>
          </w:p>
          <w:p w14:paraId="1801F726">
            <w:pPr>
              <w:pStyle w:val="85"/>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lang w:val="en-US" w:eastAsia="zh-CN"/>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fldChar w:fldCharType="end"/>
            </w:r>
          </w:p>
        </w:tc>
      </w:tr>
      <w:tr w14:paraId="108C2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588" w:type="dxa"/>
            <w:vMerge w:val="restart"/>
            <w:noWrap w:val="0"/>
            <w:vAlign w:val="center"/>
          </w:tcPr>
          <w:p w14:paraId="704A79E9">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废气</w:t>
            </w:r>
          </w:p>
        </w:tc>
        <w:tc>
          <w:tcPr>
            <w:tcW w:w="531" w:type="dxa"/>
            <w:vMerge w:val="restart"/>
            <w:noWrap w:val="0"/>
            <w:vAlign w:val="center"/>
          </w:tcPr>
          <w:p w14:paraId="54FC3D13">
            <w:pPr>
              <w:adjustRightInd w:val="0"/>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有组织</w:t>
            </w:r>
          </w:p>
        </w:tc>
        <w:tc>
          <w:tcPr>
            <w:tcW w:w="886" w:type="dxa"/>
            <w:noWrap w:val="0"/>
            <w:vAlign w:val="center"/>
          </w:tcPr>
          <w:p w14:paraId="26522280">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SO</w:t>
            </w:r>
            <w:r>
              <w:rPr>
                <w:rFonts w:hint="default" w:ascii="Times New Roman" w:hAnsi="Times New Roman" w:cs="Times New Roman"/>
                <w:snapToGrid w:val="0"/>
                <w:color w:val="000000" w:themeColor="text1"/>
                <w:kern w:val="0"/>
                <w:szCs w:val="21"/>
                <w:vertAlign w:val="subscript"/>
                <w14:textFill>
                  <w14:solidFill>
                    <w14:schemeClr w14:val="tx1"/>
                  </w14:solidFill>
                </w14:textFill>
              </w:rPr>
              <w:t>2</w:t>
            </w:r>
          </w:p>
        </w:tc>
        <w:tc>
          <w:tcPr>
            <w:tcW w:w="1701" w:type="dxa"/>
            <w:noWrap w:val="0"/>
            <w:vAlign w:val="center"/>
          </w:tcPr>
          <w:p w14:paraId="65302C29">
            <w:pPr>
              <w:widowControl/>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276" w:type="dxa"/>
            <w:noWrap w:val="0"/>
            <w:vAlign w:val="center"/>
          </w:tcPr>
          <w:p w14:paraId="28A29416">
            <w:pPr>
              <w:widowControl/>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701" w:type="dxa"/>
            <w:noWrap w:val="0"/>
            <w:vAlign w:val="center"/>
          </w:tcPr>
          <w:p w14:paraId="71665722">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7433AC27">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c>
          <w:tcPr>
            <w:tcW w:w="1761" w:type="dxa"/>
            <w:noWrap w:val="0"/>
            <w:vAlign w:val="center"/>
          </w:tcPr>
          <w:p w14:paraId="21D54A1E">
            <w:pPr>
              <w:spacing w:beforeLines="0" w:afterLines="0"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noWrap w:val="0"/>
            <w:vAlign w:val="center"/>
          </w:tcPr>
          <w:p w14:paraId="32D97459">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c>
          <w:tcPr>
            <w:tcW w:w="1144" w:type="dxa"/>
            <w:noWrap w:val="0"/>
            <w:vAlign w:val="center"/>
          </w:tcPr>
          <w:p w14:paraId="61E026CC">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+0.2</w:t>
            </w:r>
          </w:p>
        </w:tc>
      </w:tr>
      <w:tr w14:paraId="78CCE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588" w:type="dxa"/>
            <w:vMerge w:val="continue"/>
            <w:noWrap w:val="0"/>
            <w:vAlign w:val="center"/>
          </w:tcPr>
          <w:p w14:paraId="3788F1D6">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531" w:type="dxa"/>
            <w:vMerge w:val="continue"/>
            <w:noWrap w:val="0"/>
            <w:vAlign w:val="center"/>
          </w:tcPr>
          <w:p w14:paraId="3C30F62F">
            <w:pPr>
              <w:adjustRightInd w:val="0"/>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886" w:type="dxa"/>
            <w:noWrap w:val="0"/>
            <w:vAlign w:val="center"/>
          </w:tcPr>
          <w:p w14:paraId="29139B5E">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烟尘</w:t>
            </w:r>
          </w:p>
        </w:tc>
        <w:tc>
          <w:tcPr>
            <w:tcW w:w="1701" w:type="dxa"/>
            <w:noWrap w:val="0"/>
            <w:vAlign w:val="center"/>
          </w:tcPr>
          <w:p w14:paraId="265E8012">
            <w:pPr>
              <w:widowControl/>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276" w:type="dxa"/>
            <w:noWrap w:val="0"/>
            <w:vAlign w:val="center"/>
          </w:tcPr>
          <w:p w14:paraId="61768DA6">
            <w:pPr>
              <w:widowControl/>
              <w:jc w:val="center"/>
              <w:textAlignment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701" w:type="dxa"/>
            <w:noWrap w:val="0"/>
            <w:vAlign w:val="center"/>
          </w:tcPr>
          <w:p w14:paraId="361C8891">
            <w:pPr>
              <w:pStyle w:val="85"/>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7F18704D">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0.143</w:t>
            </w:r>
          </w:p>
        </w:tc>
        <w:tc>
          <w:tcPr>
            <w:tcW w:w="1761" w:type="dxa"/>
            <w:noWrap w:val="0"/>
            <w:vAlign w:val="center"/>
          </w:tcPr>
          <w:p w14:paraId="64389367">
            <w:pPr>
              <w:pStyle w:val="85"/>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noWrap w:val="0"/>
            <w:vAlign w:val="center"/>
          </w:tcPr>
          <w:p w14:paraId="523D5EED">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p>
        </w:tc>
        <w:tc>
          <w:tcPr>
            <w:tcW w:w="1144" w:type="dxa"/>
            <w:noWrap w:val="0"/>
            <w:vAlign w:val="center"/>
          </w:tcPr>
          <w:p w14:paraId="08F38B53">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+0.1</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43</w:t>
            </w:r>
          </w:p>
        </w:tc>
      </w:tr>
      <w:tr w14:paraId="4540B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588" w:type="dxa"/>
            <w:vMerge w:val="continue"/>
            <w:noWrap w:val="0"/>
            <w:vAlign w:val="center"/>
          </w:tcPr>
          <w:p w14:paraId="4A1BB9C2">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531" w:type="dxa"/>
            <w:vMerge w:val="continue"/>
            <w:noWrap w:val="0"/>
            <w:vAlign w:val="center"/>
          </w:tcPr>
          <w:p w14:paraId="095DD644">
            <w:pPr>
              <w:adjustRightInd w:val="0"/>
              <w:snapToGrid w:val="0"/>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86" w:type="dxa"/>
            <w:noWrap w:val="0"/>
            <w:vAlign w:val="center"/>
          </w:tcPr>
          <w:p w14:paraId="7CB8A685">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NOx</w:t>
            </w:r>
          </w:p>
        </w:tc>
        <w:tc>
          <w:tcPr>
            <w:tcW w:w="1701" w:type="dxa"/>
            <w:noWrap w:val="0"/>
            <w:vAlign w:val="center"/>
          </w:tcPr>
          <w:p w14:paraId="1CE8F150">
            <w:pPr>
              <w:adjustRightInd w:val="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276" w:type="dxa"/>
            <w:noWrap w:val="0"/>
            <w:vAlign w:val="center"/>
          </w:tcPr>
          <w:p w14:paraId="04723005">
            <w:pPr>
              <w:adjustRightInd w:val="0"/>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701" w:type="dxa"/>
            <w:noWrap w:val="0"/>
            <w:vAlign w:val="center"/>
          </w:tcPr>
          <w:p w14:paraId="06416F99">
            <w:pPr>
              <w:pStyle w:val="85"/>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68D5B08D">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c>
          <w:tcPr>
            <w:tcW w:w="1761" w:type="dxa"/>
            <w:noWrap w:val="0"/>
            <w:vAlign w:val="center"/>
          </w:tcPr>
          <w:p w14:paraId="0D3C7282">
            <w:pPr>
              <w:pStyle w:val="85"/>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noWrap w:val="0"/>
            <w:vAlign w:val="center"/>
          </w:tcPr>
          <w:p w14:paraId="1347DFA2">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c>
          <w:tcPr>
            <w:tcW w:w="1144" w:type="dxa"/>
            <w:noWrap w:val="0"/>
            <w:vAlign w:val="center"/>
          </w:tcPr>
          <w:p w14:paraId="265096F7">
            <w:pPr>
              <w:adjustRightInd w:val="0"/>
              <w:snapToGrid w:val="0"/>
              <w:spacing w:line="24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Cs w:val="21"/>
                <w:lang w:val="en-US" w:eastAsia="zh-CN"/>
                <w14:textFill>
                  <w14:solidFill>
                    <w14:schemeClr w14:val="tx1"/>
                  </w14:solidFill>
                </w14:textFill>
              </w:rPr>
              <w:t>+</w:t>
            </w: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0.468</w:t>
            </w:r>
          </w:p>
        </w:tc>
      </w:tr>
      <w:tr w14:paraId="401B0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653EF7FE">
            <w:pPr>
              <w:pStyle w:val="85"/>
              <w:spacing w:beforeLines="0" w:afterLines="0"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1417" w:type="dxa"/>
            <w:gridSpan w:val="2"/>
            <w:noWrap w:val="0"/>
            <w:vAlign w:val="center"/>
          </w:tcPr>
          <w:p w14:paraId="58E2FA93">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废水量</w:t>
            </w:r>
          </w:p>
        </w:tc>
        <w:tc>
          <w:tcPr>
            <w:tcW w:w="1701" w:type="dxa"/>
            <w:shd w:val="clear" w:color="auto" w:fill="auto"/>
            <w:noWrap w:val="0"/>
            <w:vAlign w:val="center"/>
          </w:tcPr>
          <w:p w14:paraId="3926D66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15292</w:t>
            </w:r>
          </w:p>
        </w:tc>
        <w:tc>
          <w:tcPr>
            <w:tcW w:w="1276" w:type="dxa"/>
            <w:shd w:val="clear" w:color="auto" w:fill="auto"/>
            <w:noWrap w:val="0"/>
            <w:vAlign w:val="center"/>
          </w:tcPr>
          <w:p w14:paraId="177F63D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15292</w:t>
            </w:r>
          </w:p>
        </w:tc>
        <w:tc>
          <w:tcPr>
            <w:tcW w:w="1701" w:type="dxa"/>
            <w:noWrap w:val="0"/>
            <w:vAlign w:val="center"/>
          </w:tcPr>
          <w:p w14:paraId="4A71681C">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0BD5F3F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770</w:t>
            </w:r>
          </w:p>
        </w:tc>
        <w:tc>
          <w:tcPr>
            <w:tcW w:w="1761" w:type="dxa"/>
            <w:noWrap w:val="0"/>
            <w:vAlign w:val="center"/>
          </w:tcPr>
          <w:p w14:paraId="0BEAC070">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shd w:val="clear" w:color="auto" w:fill="auto"/>
            <w:noWrap w:val="0"/>
            <w:vAlign w:val="center"/>
          </w:tcPr>
          <w:p w14:paraId="663EAE9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16062</w:t>
            </w:r>
          </w:p>
        </w:tc>
        <w:tc>
          <w:tcPr>
            <w:tcW w:w="1144" w:type="dxa"/>
            <w:noWrap w:val="0"/>
            <w:vAlign w:val="center"/>
          </w:tcPr>
          <w:p w14:paraId="5DBC016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770</w:t>
            </w:r>
          </w:p>
        </w:tc>
      </w:tr>
      <w:tr w14:paraId="17139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ED2E4F8">
            <w:pPr>
              <w:pStyle w:val="85"/>
              <w:spacing w:beforeLines="0" w:afterLines="0" w:line="240" w:lineRule="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1417" w:type="dxa"/>
            <w:gridSpan w:val="2"/>
            <w:noWrap w:val="0"/>
            <w:vAlign w:val="center"/>
          </w:tcPr>
          <w:p w14:paraId="23F8DE1F">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COD</w:t>
            </w:r>
          </w:p>
        </w:tc>
        <w:tc>
          <w:tcPr>
            <w:tcW w:w="1701" w:type="dxa"/>
            <w:shd w:val="clear" w:color="auto" w:fill="auto"/>
            <w:noWrap w:val="0"/>
            <w:vAlign w:val="center"/>
          </w:tcPr>
          <w:p w14:paraId="53E79136">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5.3522</w:t>
            </w:r>
          </w:p>
        </w:tc>
        <w:tc>
          <w:tcPr>
            <w:tcW w:w="1276" w:type="dxa"/>
            <w:shd w:val="clear" w:color="auto" w:fill="auto"/>
            <w:noWrap w:val="0"/>
            <w:vAlign w:val="center"/>
          </w:tcPr>
          <w:p w14:paraId="0058536F">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5.3522</w:t>
            </w:r>
          </w:p>
        </w:tc>
        <w:tc>
          <w:tcPr>
            <w:tcW w:w="1701" w:type="dxa"/>
            <w:noWrap w:val="0"/>
            <w:vAlign w:val="center"/>
          </w:tcPr>
          <w:p w14:paraId="168C1732">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3543D4D8">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0.0616</w:t>
            </w:r>
          </w:p>
        </w:tc>
        <w:tc>
          <w:tcPr>
            <w:tcW w:w="1761" w:type="dxa"/>
            <w:noWrap w:val="0"/>
            <w:vAlign w:val="center"/>
          </w:tcPr>
          <w:p w14:paraId="6577C44D">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shd w:val="clear" w:color="auto" w:fill="auto"/>
            <w:noWrap w:val="0"/>
            <w:vAlign w:val="center"/>
          </w:tcPr>
          <w:p w14:paraId="028C982A">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5.4138</w:t>
            </w:r>
          </w:p>
        </w:tc>
        <w:tc>
          <w:tcPr>
            <w:tcW w:w="1144" w:type="dxa"/>
            <w:noWrap w:val="0"/>
            <w:vAlign w:val="center"/>
          </w:tcPr>
          <w:p w14:paraId="76BEBB4C">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0.0616</w:t>
            </w:r>
          </w:p>
        </w:tc>
      </w:tr>
      <w:tr w14:paraId="072C5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2B4797C">
            <w:pPr>
              <w:pStyle w:val="85"/>
              <w:spacing w:beforeLines="0" w:afterLines="0" w:line="240" w:lineRule="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1417" w:type="dxa"/>
            <w:gridSpan w:val="2"/>
            <w:noWrap w:val="0"/>
            <w:vAlign w:val="center"/>
          </w:tcPr>
          <w:p w14:paraId="24AFE155">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SS</w:t>
            </w:r>
          </w:p>
        </w:tc>
        <w:tc>
          <w:tcPr>
            <w:tcW w:w="1701" w:type="dxa"/>
            <w:shd w:val="clear" w:color="auto" w:fill="auto"/>
            <w:noWrap w:val="0"/>
            <w:vAlign w:val="center"/>
          </w:tcPr>
          <w:p w14:paraId="7B122242">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6.1168</w:t>
            </w:r>
          </w:p>
        </w:tc>
        <w:tc>
          <w:tcPr>
            <w:tcW w:w="1276" w:type="dxa"/>
            <w:shd w:val="clear" w:color="auto" w:fill="auto"/>
            <w:noWrap w:val="0"/>
            <w:vAlign w:val="center"/>
          </w:tcPr>
          <w:p w14:paraId="7B2FD168">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6.1168</w:t>
            </w:r>
          </w:p>
        </w:tc>
        <w:tc>
          <w:tcPr>
            <w:tcW w:w="1701" w:type="dxa"/>
            <w:noWrap w:val="0"/>
            <w:vAlign w:val="center"/>
          </w:tcPr>
          <w:p w14:paraId="0E332CCC">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709AB133">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0.154</w:t>
            </w:r>
          </w:p>
        </w:tc>
        <w:tc>
          <w:tcPr>
            <w:tcW w:w="1761" w:type="dxa"/>
            <w:noWrap w:val="0"/>
            <w:vAlign w:val="center"/>
          </w:tcPr>
          <w:p w14:paraId="3D447489">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shd w:val="clear" w:color="auto" w:fill="auto"/>
            <w:noWrap w:val="0"/>
            <w:vAlign w:val="center"/>
          </w:tcPr>
          <w:p w14:paraId="2584481E">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6.2708</w:t>
            </w:r>
          </w:p>
        </w:tc>
        <w:tc>
          <w:tcPr>
            <w:tcW w:w="1144" w:type="dxa"/>
            <w:noWrap w:val="0"/>
            <w:vAlign w:val="center"/>
          </w:tcPr>
          <w:p w14:paraId="0CA5803A">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0.154</w:t>
            </w:r>
          </w:p>
        </w:tc>
      </w:tr>
      <w:tr w14:paraId="21682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E0B9F6D">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417" w:type="dxa"/>
            <w:gridSpan w:val="2"/>
            <w:noWrap w:val="0"/>
            <w:vAlign w:val="center"/>
          </w:tcPr>
          <w:p w14:paraId="79C7EED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NH</w:t>
            </w:r>
            <w:r>
              <w:rPr>
                <w:rFonts w:hint="default" w:ascii="Times New Roman" w:hAnsi="Times New Roman" w:eastAsia="宋体" w:cs="Times New Roman"/>
                <w:color w:val="000000" w:themeColor="text1"/>
                <w:vertAlign w:val="sub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-N</w:t>
            </w:r>
          </w:p>
        </w:tc>
        <w:tc>
          <w:tcPr>
            <w:tcW w:w="1701" w:type="dxa"/>
            <w:shd w:val="clear" w:color="auto" w:fill="auto"/>
            <w:noWrap w:val="0"/>
            <w:vAlign w:val="center"/>
          </w:tcPr>
          <w:p w14:paraId="0B6364F3">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1276" w:type="dxa"/>
            <w:shd w:val="clear" w:color="auto" w:fill="auto"/>
            <w:noWrap w:val="0"/>
            <w:vAlign w:val="center"/>
          </w:tcPr>
          <w:p w14:paraId="4BC296BD">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1701" w:type="dxa"/>
            <w:noWrap w:val="0"/>
            <w:vAlign w:val="center"/>
          </w:tcPr>
          <w:p w14:paraId="27A0E4B2">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7CAE2290">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761" w:type="dxa"/>
            <w:noWrap w:val="0"/>
            <w:vAlign w:val="center"/>
          </w:tcPr>
          <w:p w14:paraId="6DF87D3D">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shd w:val="clear" w:color="auto" w:fill="auto"/>
            <w:noWrap w:val="0"/>
            <w:vAlign w:val="center"/>
          </w:tcPr>
          <w:p w14:paraId="03515EBF">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1144" w:type="dxa"/>
            <w:noWrap w:val="0"/>
            <w:vAlign w:val="center"/>
          </w:tcPr>
          <w:p w14:paraId="44F66DD1">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r>
      <w:tr w14:paraId="396CF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98901C9">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417" w:type="dxa"/>
            <w:gridSpan w:val="2"/>
            <w:noWrap w:val="0"/>
            <w:vAlign w:val="center"/>
          </w:tcPr>
          <w:p w14:paraId="4839EEB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TP</w:t>
            </w:r>
          </w:p>
        </w:tc>
        <w:tc>
          <w:tcPr>
            <w:tcW w:w="1701" w:type="dxa"/>
            <w:shd w:val="clear" w:color="auto" w:fill="auto"/>
            <w:noWrap w:val="0"/>
            <w:vAlign w:val="center"/>
          </w:tcPr>
          <w:p w14:paraId="277CBB65">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p>
        </w:tc>
        <w:tc>
          <w:tcPr>
            <w:tcW w:w="1276" w:type="dxa"/>
            <w:shd w:val="clear" w:color="auto" w:fill="auto"/>
            <w:noWrap w:val="0"/>
            <w:vAlign w:val="center"/>
          </w:tcPr>
          <w:p w14:paraId="0F0F030D">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p>
        </w:tc>
        <w:tc>
          <w:tcPr>
            <w:tcW w:w="1701" w:type="dxa"/>
            <w:noWrap w:val="0"/>
            <w:vAlign w:val="center"/>
          </w:tcPr>
          <w:p w14:paraId="51172549">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0686BE9E">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761" w:type="dxa"/>
            <w:noWrap w:val="0"/>
            <w:vAlign w:val="center"/>
          </w:tcPr>
          <w:p w14:paraId="6543BEBB">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shd w:val="clear" w:color="auto" w:fill="auto"/>
            <w:noWrap w:val="0"/>
            <w:vAlign w:val="center"/>
          </w:tcPr>
          <w:p w14:paraId="47B4E4FF">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0.07</w:t>
            </w:r>
            <w:r>
              <w:rPr>
                <w:rFonts w:hint="eastAsia" w:ascii="Times New Roman" w:hAnsi="Times New Roman" w:cs="Times New Roman"/>
                <w:color w:val="000000" w:themeColor="text1"/>
                <w:sz w:val="21"/>
                <w:szCs w:val="21"/>
                <w:lang w:val="en-US" w:eastAsia="zh-CN"/>
                <w14:textFill>
                  <w14:solidFill>
                    <w14:schemeClr w14:val="tx1"/>
                  </w14:solidFill>
                </w14:textFill>
              </w:rPr>
              <w:t>646</w:t>
            </w:r>
          </w:p>
        </w:tc>
        <w:tc>
          <w:tcPr>
            <w:tcW w:w="1144" w:type="dxa"/>
            <w:noWrap w:val="0"/>
            <w:vAlign w:val="center"/>
          </w:tcPr>
          <w:p w14:paraId="6CB235E3">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r>
      <w:tr w14:paraId="3C2BA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422F3B0">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417" w:type="dxa"/>
            <w:gridSpan w:val="2"/>
            <w:noWrap w:val="0"/>
            <w:vAlign w:val="center"/>
          </w:tcPr>
          <w:p w14:paraId="5CC0095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TN</w:t>
            </w:r>
          </w:p>
        </w:tc>
        <w:tc>
          <w:tcPr>
            <w:tcW w:w="1701" w:type="dxa"/>
            <w:shd w:val="clear" w:color="auto" w:fill="auto"/>
            <w:noWrap w:val="0"/>
            <w:vAlign w:val="center"/>
          </w:tcPr>
          <w:p w14:paraId="18C1F8FF">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1276" w:type="dxa"/>
            <w:shd w:val="clear" w:color="auto" w:fill="auto"/>
            <w:noWrap w:val="0"/>
            <w:vAlign w:val="center"/>
          </w:tcPr>
          <w:p w14:paraId="10E45083">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1701" w:type="dxa"/>
            <w:noWrap w:val="0"/>
            <w:vAlign w:val="center"/>
          </w:tcPr>
          <w:p w14:paraId="40440D03">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2EDD575A">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761" w:type="dxa"/>
            <w:noWrap w:val="0"/>
            <w:vAlign w:val="center"/>
          </w:tcPr>
          <w:p w14:paraId="619FC66C">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shd w:val="clear" w:color="auto" w:fill="auto"/>
            <w:noWrap w:val="0"/>
            <w:vAlign w:val="center"/>
          </w:tcPr>
          <w:p w14:paraId="55C10BF8">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0.45876</w:t>
            </w:r>
          </w:p>
        </w:tc>
        <w:tc>
          <w:tcPr>
            <w:tcW w:w="1144" w:type="dxa"/>
            <w:noWrap w:val="0"/>
            <w:vAlign w:val="center"/>
          </w:tcPr>
          <w:p w14:paraId="23C61825">
            <w:pPr>
              <w:widowControl/>
              <w:jc w:val="center"/>
              <w:textAlignment w:val="bottom"/>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r>
      <w:tr w14:paraId="3D92B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4352313B">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一般工业</w:t>
            </w:r>
          </w:p>
          <w:p w14:paraId="260F735B">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固体废物</w:t>
            </w:r>
          </w:p>
        </w:tc>
        <w:tc>
          <w:tcPr>
            <w:tcW w:w="1417" w:type="dxa"/>
            <w:gridSpan w:val="2"/>
            <w:noWrap w:val="0"/>
            <w:vAlign w:val="center"/>
          </w:tcPr>
          <w:p w14:paraId="6555644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边角料</w:t>
            </w:r>
          </w:p>
        </w:tc>
        <w:tc>
          <w:tcPr>
            <w:tcW w:w="1701" w:type="dxa"/>
            <w:shd w:val="clear" w:color="auto" w:fill="auto"/>
            <w:noWrap w:val="0"/>
            <w:vAlign w:val="center"/>
          </w:tcPr>
          <w:p w14:paraId="2AB9B6A3">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276" w:type="dxa"/>
            <w:shd w:val="clear" w:color="auto" w:fill="auto"/>
            <w:noWrap w:val="0"/>
            <w:vAlign w:val="center"/>
          </w:tcPr>
          <w:p w14:paraId="3A3500E3">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79284096">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68D5224A">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1761" w:type="dxa"/>
            <w:noWrap w:val="0"/>
            <w:vAlign w:val="center"/>
          </w:tcPr>
          <w:p w14:paraId="7B19FF94">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noWrap w:val="0"/>
            <w:vAlign w:val="center"/>
          </w:tcPr>
          <w:p w14:paraId="1B866A05">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144" w:type="dxa"/>
            <w:noWrap w:val="0"/>
            <w:vAlign w:val="center"/>
          </w:tcPr>
          <w:p w14:paraId="5937B180">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14:paraId="12F2B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8A242C5">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417" w:type="dxa"/>
            <w:gridSpan w:val="2"/>
            <w:noWrap w:val="0"/>
            <w:vAlign w:val="center"/>
          </w:tcPr>
          <w:p w14:paraId="5DB5E1BF">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不合格品</w:t>
            </w:r>
          </w:p>
        </w:tc>
        <w:tc>
          <w:tcPr>
            <w:tcW w:w="1701" w:type="dxa"/>
            <w:shd w:val="clear" w:color="auto" w:fill="auto"/>
            <w:noWrap w:val="0"/>
            <w:vAlign w:val="center"/>
          </w:tcPr>
          <w:p w14:paraId="2062DD05">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276" w:type="dxa"/>
            <w:shd w:val="clear" w:color="auto" w:fill="auto"/>
            <w:noWrap w:val="0"/>
            <w:vAlign w:val="center"/>
          </w:tcPr>
          <w:p w14:paraId="0A2C5C08">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24561D02">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0DCF3C2C">
            <w:pPr>
              <w:adjustRightInd w:val="0"/>
              <w:snapToGrid w:val="0"/>
              <w:jc w:val="center"/>
              <w:textAlignment w:val="baseline"/>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1761" w:type="dxa"/>
            <w:noWrap w:val="0"/>
            <w:vAlign w:val="center"/>
          </w:tcPr>
          <w:p w14:paraId="0219E615">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noWrap w:val="0"/>
            <w:vAlign w:val="center"/>
          </w:tcPr>
          <w:p w14:paraId="1839528D">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144" w:type="dxa"/>
            <w:noWrap w:val="0"/>
            <w:vAlign w:val="center"/>
          </w:tcPr>
          <w:p w14:paraId="089CF0C9">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14:paraId="5239B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AD64A13">
            <w:pPr>
              <w:pStyle w:val="85"/>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417" w:type="dxa"/>
            <w:gridSpan w:val="2"/>
            <w:noWrap w:val="0"/>
            <w:vAlign w:val="center"/>
          </w:tcPr>
          <w:p w14:paraId="6C41E3D9">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生活垃圾</w:t>
            </w:r>
          </w:p>
        </w:tc>
        <w:tc>
          <w:tcPr>
            <w:tcW w:w="1701" w:type="dxa"/>
            <w:shd w:val="clear" w:color="auto" w:fill="auto"/>
            <w:noWrap w:val="0"/>
            <w:vAlign w:val="center"/>
          </w:tcPr>
          <w:p w14:paraId="79D9C589">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93</w:t>
            </w:r>
          </w:p>
        </w:tc>
        <w:tc>
          <w:tcPr>
            <w:tcW w:w="1276" w:type="dxa"/>
            <w:shd w:val="clear" w:color="auto" w:fill="auto"/>
            <w:noWrap w:val="0"/>
            <w:vAlign w:val="center"/>
          </w:tcPr>
          <w:p w14:paraId="2A62CCB8">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3EA33D29">
            <w:pPr>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7FFD944B">
            <w:pPr>
              <w:adjustRightInd w:val="0"/>
              <w:snapToGrid w:val="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c>
          <w:tcPr>
            <w:tcW w:w="1761" w:type="dxa"/>
            <w:noWrap w:val="0"/>
            <w:vAlign w:val="center"/>
          </w:tcPr>
          <w:p w14:paraId="614FEF40">
            <w:pPr>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41" w:type="dxa"/>
            <w:noWrap w:val="0"/>
            <w:vAlign w:val="center"/>
          </w:tcPr>
          <w:p w14:paraId="325E9F37">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93</w:t>
            </w:r>
          </w:p>
        </w:tc>
        <w:tc>
          <w:tcPr>
            <w:tcW w:w="1144" w:type="dxa"/>
            <w:noWrap w:val="0"/>
            <w:vAlign w:val="center"/>
          </w:tcPr>
          <w:p w14:paraId="235F9E14">
            <w:pPr>
              <w:adjustRightInd w:val="0"/>
              <w:snapToGrid w:val="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bl>
    <w:p w14:paraId="5D215EF4">
      <w:pPr>
        <w:pStyle w:val="85"/>
        <w:spacing w:before="192" w:beforeLines="80" w:after="24"/>
        <w:jc w:val="left"/>
        <w:rPr>
          <w:rFonts w:hint="default" w:ascii="Times New Roman" w:hAnsi="Times New Roman" w:eastAsia="黑体" w:cs="Times New Roman"/>
          <w:color w:val="000000" w:themeColor="text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注：</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③</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④</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⑦</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4AC83B8-72F5-4772-87EC-286A9676D9F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A73A3EC-541D-4B38-9597-2F54AF8F61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7D5F70C3-C49E-43C2-B41D-136A51E6CDC2}"/>
  </w:font>
  <w:font w:name="Calibri">
    <w:panose1 w:val="020F0502020204030204"/>
    <w:charset w:val="00"/>
    <w:family w:val="swiss"/>
    <w:pitch w:val="default"/>
    <w:sig w:usb0="E4002EFF" w:usb1="C000247B" w:usb2="00000009" w:usb3="00000000" w:csb0="200001FF" w:csb1="00000000"/>
    <w:embedRegular r:id="rId4" w:fontKey="{AB7E5FC5-767C-43E9-B9CE-1E91C4EFFD94}"/>
  </w:font>
  <w:font w:name="仿宋_GB2312">
    <w:panose1 w:val="02010609030101010101"/>
    <w:charset w:val="86"/>
    <w:family w:val="modern"/>
    <w:pitch w:val="default"/>
    <w:sig w:usb0="00000001" w:usb1="080E0000" w:usb2="00000000" w:usb3="00000000" w:csb0="00040000" w:csb1="00000000"/>
    <w:embedRegular r:id="rId5" w:fontKey="{70052634-FE10-4649-A02B-BD08E6093A89}"/>
  </w:font>
  <w:font w:name="MS Sans Serif">
    <w:altName w:val="Arial"/>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swiss"/>
    <w:pitch w:val="default"/>
    <w:sig w:usb0="00000000" w:usb1="00000000" w:usb2="0000003F" w:usb3="00000000" w:csb0="603F01FF" w:csb1="FFFF0000"/>
  </w:font>
  <w:font w:name="方正楷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6" w:fontKey="{DB770362-43F5-4EE1-B980-32D6340C20E0}"/>
  </w:font>
  <w:font w:name="TimesNewRomanPSMT">
    <w:altName w:val="Times New Roman"/>
    <w:panose1 w:val="00000000000000000000"/>
    <w:charset w:val="00"/>
    <w:family w:val="auto"/>
    <w:pitch w:val="default"/>
    <w:sig w:usb0="00000000" w:usb1="00000000" w:usb2="00000000" w:usb3="00000000" w:csb0="00040001" w:csb1="00000000"/>
  </w:font>
  <w:font w:name="方正小标宋_GBK">
    <w:panose1 w:val="02000000000000000000"/>
    <w:charset w:val="86"/>
    <w:family w:val="script"/>
    <w:pitch w:val="default"/>
    <w:sig w:usb0="A00002BF" w:usb1="38CF7CFA" w:usb2="00082016" w:usb3="00000000" w:csb0="00040001" w:csb1="00000000"/>
    <w:embedRegular r:id="rId7" w:fontKey="{8CF8C816-64C6-40E2-B6C6-E33581BC7930}"/>
  </w:font>
  <w:font w:name="楷体_GB2312">
    <w:panose1 w:val="02010609030101010101"/>
    <w:charset w:val="86"/>
    <w:family w:val="modern"/>
    <w:pitch w:val="default"/>
    <w:sig w:usb0="00000001" w:usb1="080E0000" w:usb2="00000000" w:usb3="00000000" w:csb0="00040000" w:csb1="00000000"/>
    <w:embedRegular r:id="rId8" w:fontKey="{0D67254A-C129-443A-A5DB-28EC3898A82E}"/>
  </w:font>
  <w:font w:name="华文仿宋">
    <w:panose1 w:val="02010600040101010101"/>
    <w:charset w:val="86"/>
    <w:family w:val="auto"/>
    <w:pitch w:val="default"/>
    <w:sig w:usb0="00000287" w:usb1="080F0000" w:usb2="00000000" w:usb3="00000000" w:csb0="0004009F" w:csb1="DFD70000"/>
    <w:embedRegular r:id="rId9" w:fontKey="{EE3308EA-43F9-4BB9-8B6B-DC36055E82E7}"/>
  </w:font>
  <w:font w:name="仿宋">
    <w:panose1 w:val="02010609060101010101"/>
    <w:charset w:val="86"/>
    <w:family w:val="auto"/>
    <w:pitch w:val="default"/>
    <w:sig w:usb0="800002BF" w:usb1="38CF7CFA" w:usb2="00000016" w:usb3="00000000" w:csb0="00040001" w:csb1="00000000"/>
    <w:embedRegular r:id="rId10" w:fontKey="{CBB05ACC-3442-47E2-B4C2-EC5CDB81A689}"/>
  </w:font>
  <w:font w:name="Wingdings 2">
    <w:panose1 w:val="05020102010507070707"/>
    <w:charset w:val="02"/>
    <w:family w:val="roman"/>
    <w:pitch w:val="default"/>
    <w:sig w:usb0="00000000" w:usb1="00000000" w:usb2="00000000" w:usb3="00000000" w:csb0="80000000" w:csb1="00000000"/>
    <w:embedRegular r:id="rId11" w:fontKey="{604F396D-C46D-4F9E-A96F-19B96406F2E3}"/>
  </w:font>
  <w:font w:name="新宋体">
    <w:panose1 w:val="02010609030101010101"/>
    <w:charset w:val="86"/>
    <w:family w:val="modern"/>
    <w:pitch w:val="default"/>
    <w:sig w:usb0="00000283" w:usb1="288F0000" w:usb2="00000006" w:usb3="00000000" w:csb0="00040001" w:csb1="00000000"/>
    <w:embedRegular r:id="rId12" w:fontKey="{2472E4B3-C0F1-4753-94A3-4EEAE825ED66}"/>
  </w:font>
  <w:font w:name="方正黑体_GBK">
    <w:altName w:val="微软雅黑"/>
    <w:panose1 w:val="03000509000000000000"/>
    <w:charset w:val="86"/>
    <w:family w:val="script"/>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embedRegular r:id="rId13" w:fontKey="{3AE8FCD3-EA77-423D-80FA-A4A1C9F629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2FFB">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5A486">
    <w:pPr>
      <w:pStyle w:val="25"/>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eastAsia" w:ascii="宋体" w:hAnsi="宋体"/>
        <w:sz w:val="20"/>
      </w:rPr>
      <w:t xml:space="preserve">  </w:t>
    </w:r>
    <w:r>
      <w:rPr>
        <w:rFonts w:ascii="宋体" w:hAnsi="宋体"/>
        <w:sz w:val="26"/>
        <w:szCs w:val="26"/>
      </w:rPr>
      <w:fldChar w:fldCharType="begin"/>
    </w:r>
    <w:r>
      <w:rPr>
        <w:rStyle w:val="47"/>
        <w:rFonts w:ascii="宋体" w:hAnsi="宋体"/>
        <w:sz w:val="26"/>
        <w:szCs w:val="26"/>
      </w:rPr>
      <w:instrText xml:space="preserve">PAGE  </w:instrText>
    </w:r>
    <w:r>
      <w:rPr>
        <w:rFonts w:ascii="宋体" w:hAnsi="宋体"/>
        <w:sz w:val="26"/>
        <w:szCs w:val="26"/>
      </w:rPr>
      <w:fldChar w:fldCharType="separate"/>
    </w:r>
    <w:r>
      <w:rPr>
        <w:rStyle w:val="47"/>
        <w:rFonts w:ascii="宋体" w:hAnsi="宋体"/>
        <w:sz w:val="26"/>
        <w:szCs w:val="26"/>
      </w:rPr>
      <w:t>11</w:t>
    </w:r>
    <w:r>
      <w:rPr>
        <w:rFonts w:ascii="宋体" w:hAnsi="宋体"/>
        <w:sz w:val="26"/>
        <w:szCs w:val="26"/>
      </w:rPr>
      <w:fldChar w:fldCharType="end"/>
    </w:r>
    <w:r>
      <w:rPr>
        <w:rStyle w:val="47"/>
        <w:rFonts w:hint="eastAsia" w:ascii="宋体" w:hAnsi="宋体"/>
        <w:sz w:val="20"/>
      </w:rPr>
      <w:t xml:space="preserve">  </w:t>
    </w:r>
    <w:r>
      <w:rPr>
        <w:rStyle w:val="47"/>
        <w:rFonts w:hint="eastAsia" w:ascii="宋体" w:hAnsi="宋体"/>
        <w:sz w:val="28"/>
        <w:szCs w:val="28"/>
      </w:rPr>
      <w:t>—</w:t>
    </w:r>
  </w:p>
  <w:p w14:paraId="6C982FE8">
    <w:pPr>
      <w:pStyle w:val="2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2949E">
    <w:pPr>
      <w:pStyle w:val="25"/>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eastAsia" w:ascii="宋体" w:hAnsi="宋体"/>
        <w:sz w:val="20"/>
      </w:rPr>
      <w:t xml:space="preserve">  </w:t>
    </w:r>
    <w:r>
      <w:rPr>
        <w:rFonts w:ascii="宋体" w:hAnsi="宋体"/>
        <w:sz w:val="26"/>
        <w:szCs w:val="26"/>
      </w:rPr>
      <w:fldChar w:fldCharType="begin"/>
    </w:r>
    <w:r>
      <w:rPr>
        <w:rStyle w:val="47"/>
        <w:rFonts w:ascii="宋体" w:hAnsi="宋体"/>
        <w:sz w:val="26"/>
        <w:szCs w:val="26"/>
      </w:rPr>
      <w:instrText xml:space="preserve">PAGE  </w:instrText>
    </w:r>
    <w:r>
      <w:rPr>
        <w:rFonts w:ascii="宋体" w:hAnsi="宋体"/>
        <w:sz w:val="26"/>
        <w:szCs w:val="26"/>
      </w:rPr>
      <w:fldChar w:fldCharType="separate"/>
    </w:r>
    <w:r>
      <w:rPr>
        <w:rStyle w:val="47"/>
        <w:rFonts w:ascii="宋体" w:hAnsi="宋体"/>
        <w:sz w:val="26"/>
        <w:szCs w:val="26"/>
      </w:rPr>
      <w:t>42</w:t>
    </w:r>
    <w:r>
      <w:rPr>
        <w:rFonts w:ascii="宋体" w:hAnsi="宋体"/>
        <w:sz w:val="26"/>
        <w:szCs w:val="26"/>
      </w:rPr>
      <w:fldChar w:fldCharType="end"/>
    </w:r>
    <w:r>
      <w:rPr>
        <w:rStyle w:val="47"/>
        <w:rFonts w:hint="eastAsia" w:ascii="宋体" w:hAnsi="宋体"/>
        <w:sz w:val="20"/>
      </w:rPr>
      <w:t xml:space="preserve">  </w:t>
    </w:r>
    <w:r>
      <w:rPr>
        <w:rStyle w:val="47"/>
        <w:rFonts w:hint="eastAsia" w:ascii="宋体" w:hAnsi="宋体"/>
        <w:sz w:val="28"/>
        <w:szCs w:val="28"/>
      </w:rPr>
      <w:t>—</w:t>
    </w:r>
  </w:p>
  <w:p w14:paraId="6754D37A">
    <w:pPr>
      <w:pStyle w:val="2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A4805C"/>
    <w:multiLevelType w:val="singleLevel"/>
    <w:tmpl w:val="9EA4805C"/>
    <w:lvl w:ilvl="0" w:tentative="0">
      <w:start w:val="1"/>
      <w:numFmt w:val="upperLetter"/>
      <w:suff w:val="nothing"/>
      <w:lvlText w:val="%1、"/>
      <w:lvlJc w:val="left"/>
    </w:lvl>
  </w:abstractNum>
  <w:abstractNum w:abstractNumId="1">
    <w:nsid w:val="A428F52C"/>
    <w:multiLevelType w:val="singleLevel"/>
    <w:tmpl w:val="A428F52C"/>
    <w:lvl w:ilvl="0" w:tentative="0">
      <w:start w:val="1"/>
      <w:numFmt w:val="decimal"/>
      <w:suff w:val="nothing"/>
      <w:lvlText w:val="%1、"/>
      <w:lvlJc w:val="left"/>
    </w:lvl>
  </w:abstractNum>
  <w:abstractNum w:abstractNumId="2">
    <w:nsid w:val="B0A66C38"/>
    <w:multiLevelType w:val="singleLevel"/>
    <w:tmpl w:val="B0A66C38"/>
    <w:lvl w:ilvl="0" w:tentative="0">
      <w:start w:val="1"/>
      <w:numFmt w:val="decimal"/>
      <w:lvlText w:val="%1."/>
      <w:lvlJc w:val="left"/>
      <w:pPr>
        <w:tabs>
          <w:tab w:val="left" w:pos="312"/>
        </w:tabs>
      </w:pPr>
    </w:lvl>
  </w:abstractNum>
  <w:abstractNum w:abstractNumId="3">
    <w:nsid w:val="B18E28BF"/>
    <w:multiLevelType w:val="singleLevel"/>
    <w:tmpl w:val="B18E28BF"/>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4">
    <w:nsid w:val="E343E788"/>
    <w:multiLevelType w:val="singleLevel"/>
    <w:tmpl w:val="E343E788"/>
    <w:lvl w:ilvl="0" w:tentative="0">
      <w:start w:val="1"/>
      <w:numFmt w:val="decimal"/>
      <w:suff w:val="nothing"/>
      <w:lvlText w:val="%1）"/>
      <w:lvlJc w:val="left"/>
    </w:lvl>
  </w:abstractNum>
  <w:abstractNum w:abstractNumId="5">
    <w:nsid w:val="EB8313EF"/>
    <w:multiLevelType w:val="singleLevel"/>
    <w:tmpl w:val="EB8313EF"/>
    <w:lvl w:ilvl="0" w:tentative="0">
      <w:start w:val="1"/>
      <w:numFmt w:val="decimal"/>
      <w:lvlText w:val="(%1)"/>
      <w:lvlJc w:val="left"/>
      <w:pPr>
        <w:tabs>
          <w:tab w:val="left" w:pos="312"/>
        </w:tabs>
      </w:pPr>
    </w:lvl>
  </w:abstractNum>
  <w:abstractNum w:abstractNumId="6">
    <w:nsid w:val="ED8DC5F4"/>
    <w:multiLevelType w:val="singleLevel"/>
    <w:tmpl w:val="ED8DC5F4"/>
    <w:lvl w:ilvl="0" w:tentative="0">
      <w:start w:val="1"/>
      <w:numFmt w:val="decimal"/>
      <w:suff w:val="nothing"/>
      <w:lvlText w:val="%1、"/>
      <w:lvlJc w:val="left"/>
    </w:lvl>
  </w:abstractNum>
  <w:abstractNum w:abstractNumId="7">
    <w:nsid w:val="F8A81E98"/>
    <w:multiLevelType w:val="singleLevel"/>
    <w:tmpl w:val="F8A81E98"/>
    <w:lvl w:ilvl="0" w:tentative="0">
      <w:start w:val="1"/>
      <w:numFmt w:val="upperLetter"/>
      <w:suff w:val="nothing"/>
      <w:lvlText w:val="%1、"/>
      <w:lvlJc w:val="left"/>
    </w:lvl>
  </w:abstractNum>
  <w:abstractNum w:abstractNumId="8">
    <w:nsid w:val="024A90CE"/>
    <w:multiLevelType w:val="singleLevel"/>
    <w:tmpl w:val="024A90CE"/>
    <w:lvl w:ilvl="0" w:tentative="0">
      <w:start w:val="1"/>
      <w:numFmt w:val="decimal"/>
      <w:suff w:val="nothing"/>
      <w:lvlText w:val="（%1）"/>
      <w:lvlJc w:val="left"/>
    </w:lvl>
  </w:abstractNum>
  <w:abstractNum w:abstractNumId="9">
    <w:nsid w:val="250BBFAE"/>
    <w:multiLevelType w:val="singleLevel"/>
    <w:tmpl w:val="250BBFAE"/>
    <w:lvl w:ilvl="0" w:tentative="0">
      <w:start w:val="3"/>
      <w:numFmt w:val="decimal"/>
      <w:suff w:val="nothing"/>
      <w:lvlText w:val="%1、"/>
      <w:lvlJc w:val="left"/>
    </w:lvl>
  </w:abstractNum>
  <w:abstractNum w:abstractNumId="10">
    <w:nsid w:val="47F53E4A"/>
    <w:multiLevelType w:val="singleLevel"/>
    <w:tmpl w:val="47F53E4A"/>
    <w:lvl w:ilvl="0" w:tentative="0">
      <w:start w:val="1"/>
      <w:numFmt w:val="decimal"/>
      <w:suff w:val="nothing"/>
      <w:lvlText w:val="（%1）"/>
      <w:lvlJc w:val="left"/>
    </w:lvl>
  </w:abstractNum>
  <w:abstractNum w:abstractNumId="11">
    <w:nsid w:val="5C92503B"/>
    <w:multiLevelType w:val="singleLevel"/>
    <w:tmpl w:val="5C92503B"/>
    <w:lvl w:ilvl="0" w:tentative="0">
      <w:start w:val="1"/>
      <w:numFmt w:val="decimal"/>
      <w:suff w:val="nothing"/>
      <w:lvlText w:val="（%1）"/>
      <w:lvlJc w:val="left"/>
    </w:lvl>
  </w:abstractNum>
  <w:abstractNum w:abstractNumId="12">
    <w:nsid w:val="68696026"/>
    <w:multiLevelType w:val="singleLevel"/>
    <w:tmpl w:val="68696026"/>
    <w:lvl w:ilvl="0" w:tentative="0">
      <w:start w:val="1"/>
      <w:numFmt w:val="decimal"/>
      <w:lvlText w:val="%1."/>
      <w:lvlJc w:val="left"/>
      <w:pPr>
        <w:tabs>
          <w:tab w:val="left" w:pos="312"/>
        </w:tabs>
      </w:pPr>
    </w:lvl>
  </w:abstractNum>
  <w:abstractNum w:abstractNumId="13">
    <w:nsid w:val="7691E356"/>
    <w:multiLevelType w:val="singleLevel"/>
    <w:tmpl w:val="7691E356"/>
    <w:lvl w:ilvl="0" w:tentative="0">
      <w:start w:val="1"/>
      <w:numFmt w:val="decimal"/>
      <w:lvlText w:val="%1."/>
      <w:lvlJc w:val="left"/>
      <w:pPr>
        <w:tabs>
          <w:tab w:val="left" w:pos="312"/>
        </w:tabs>
      </w:pPr>
    </w:lvl>
  </w:abstractNum>
  <w:num w:numId="1">
    <w:abstractNumId w:val="3"/>
  </w:num>
  <w:num w:numId="2">
    <w:abstractNumId w:val="9"/>
  </w:num>
  <w:num w:numId="3">
    <w:abstractNumId w:val="11"/>
  </w:num>
  <w:num w:numId="4">
    <w:abstractNumId w:val="8"/>
  </w:num>
  <w:num w:numId="5">
    <w:abstractNumId w:val="10"/>
  </w:num>
  <w:num w:numId="6">
    <w:abstractNumId w:val="5"/>
  </w:num>
  <w:num w:numId="7">
    <w:abstractNumId w:val="13"/>
  </w:num>
  <w:num w:numId="8">
    <w:abstractNumId w:val="2"/>
  </w:num>
  <w:num w:numId="9">
    <w:abstractNumId w:val="12"/>
  </w:num>
  <w:num w:numId="10">
    <w:abstractNumId w:val="6"/>
  </w:num>
  <w:num w:numId="11">
    <w:abstractNumId w:val="1"/>
  </w:num>
  <w:num w:numId="12">
    <w:abstractNumId w:val="0"/>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zNmRmZDgxODk4MDQzMTQ1ODA1MDFjOTJkMTUzODEifQ=="/>
  </w:docVars>
  <w:rsids>
    <w:rsidRoot w:val="00172A27"/>
    <w:rsid w:val="000037A9"/>
    <w:rsid w:val="000060B3"/>
    <w:rsid w:val="00017170"/>
    <w:rsid w:val="0002680D"/>
    <w:rsid w:val="000274AB"/>
    <w:rsid w:val="00030D88"/>
    <w:rsid w:val="0003488D"/>
    <w:rsid w:val="00035D56"/>
    <w:rsid w:val="0004364B"/>
    <w:rsid w:val="00047337"/>
    <w:rsid w:val="000547D5"/>
    <w:rsid w:val="00057CDD"/>
    <w:rsid w:val="00061B1F"/>
    <w:rsid w:val="000733C4"/>
    <w:rsid w:val="00074783"/>
    <w:rsid w:val="0008070B"/>
    <w:rsid w:val="000810AC"/>
    <w:rsid w:val="00081A02"/>
    <w:rsid w:val="00082231"/>
    <w:rsid w:val="000841E1"/>
    <w:rsid w:val="00087FE4"/>
    <w:rsid w:val="000901AE"/>
    <w:rsid w:val="000903B8"/>
    <w:rsid w:val="00092D38"/>
    <w:rsid w:val="0009377B"/>
    <w:rsid w:val="00094D11"/>
    <w:rsid w:val="000A10BC"/>
    <w:rsid w:val="000A20C9"/>
    <w:rsid w:val="000A2267"/>
    <w:rsid w:val="000B058F"/>
    <w:rsid w:val="000B34AE"/>
    <w:rsid w:val="000B4467"/>
    <w:rsid w:val="000B4DB9"/>
    <w:rsid w:val="000B6DD3"/>
    <w:rsid w:val="000C09AC"/>
    <w:rsid w:val="000C767F"/>
    <w:rsid w:val="000D2528"/>
    <w:rsid w:val="000D5A44"/>
    <w:rsid w:val="000E3ED2"/>
    <w:rsid w:val="000F64B2"/>
    <w:rsid w:val="001017C2"/>
    <w:rsid w:val="00103681"/>
    <w:rsid w:val="00104361"/>
    <w:rsid w:val="0011622F"/>
    <w:rsid w:val="0011656D"/>
    <w:rsid w:val="00120A3B"/>
    <w:rsid w:val="00121445"/>
    <w:rsid w:val="00121C41"/>
    <w:rsid w:val="001220A8"/>
    <w:rsid w:val="00126273"/>
    <w:rsid w:val="00131F42"/>
    <w:rsid w:val="001357F1"/>
    <w:rsid w:val="00140FA8"/>
    <w:rsid w:val="00142FEB"/>
    <w:rsid w:val="00143A2D"/>
    <w:rsid w:val="00145A41"/>
    <w:rsid w:val="00146B11"/>
    <w:rsid w:val="00151675"/>
    <w:rsid w:val="00152321"/>
    <w:rsid w:val="00154F67"/>
    <w:rsid w:val="00157435"/>
    <w:rsid w:val="0016470F"/>
    <w:rsid w:val="0017420E"/>
    <w:rsid w:val="0017504D"/>
    <w:rsid w:val="0017671A"/>
    <w:rsid w:val="00177422"/>
    <w:rsid w:val="0018099E"/>
    <w:rsid w:val="00184590"/>
    <w:rsid w:val="001861EC"/>
    <w:rsid w:val="001870D1"/>
    <w:rsid w:val="0018781E"/>
    <w:rsid w:val="0019262D"/>
    <w:rsid w:val="001945F6"/>
    <w:rsid w:val="001A1B35"/>
    <w:rsid w:val="001A344C"/>
    <w:rsid w:val="001A48A2"/>
    <w:rsid w:val="001A6F61"/>
    <w:rsid w:val="001A7BF0"/>
    <w:rsid w:val="001B72B8"/>
    <w:rsid w:val="001C573E"/>
    <w:rsid w:val="001C69B3"/>
    <w:rsid w:val="001C7924"/>
    <w:rsid w:val="001D1ED4"/>
    <w:rsid w:val="001D5595"/>
    <w:rsid w:val="001D7874"/>
    <w:rsid w:val="001D7F22"/>
    <w:rsid w:val="001E1E2A"/>
    <w:rsid w:val="001E443B"/>
    <w:rsid w:val="001F0D65"/>
    <w:rsid w:val="001F0F17"/>
    <w:rsid w:val="001F3347"/>
    <w:rsid w:val="001F69E4"/>
    <w:rsid w:val="002125B4"/>
    <w:rsid w:val="00213C38"/>
    <w:rsid w:val="002155B8"/>
    <w:rsid w:val="00224839"/>
    <w:rsid w:val="002249B2"/>
    <w:rsid w:val="00226574"/>
    <w:rsid w:val="0022729D"/>
    <w:rsid w:val="002278EC"/>
    <w:rsid w:val="0023280E"/>
    <w:rsid w:val="002340A6"/>
    <w:rsid w:val="0023743E"/>
    <w:rsid w:val="002377D1"/>
    <w:rsid w:val="00240E06"/>
    <w:rsid w:val="00240E50"/>
    <w:rsid w:val="002417C7"/>
    <w:rsid w:val="002422F6"/>
    <w:rsid w:val="00247C65"/>
    <w:rsid w:val="002506BC"/>
    <w:rsid w:val="00254345"/>
    <w:rsid w:val="0026045C"/>
    <w:rsid w:val="002633EC"/>
    <w:rsid w:val="002638C2"/>
    <w:rsid w:val="00264557"/>
    <w:rsid w:val="00265EC5"/>
    <w:rsid w:val="0027170E"/>
    <w:rsid w:val="00272F58"/>
    <w:rsid w:val="002805AB"/>
    <w:rsid w:val="00284204"/>
    <w:rsid w:val="002861F7"/>
    <w:rsid w:val="002865F8"/>
    <w:rsid w:val="00291773"/>
    <w:rsid w:val="002922B0"/>
    <w:rsid w:val="002A168C"/>
    <w:rsid w:val="002A3DC7"/>
    <w:rsid w:val="002B28F2"/>
    <w:rsid w:val="002B49E2"/>
    <w:rsid w:val="002B7B00"/>
    <w:rsid w:val="002B7C44"/>
    <w:rsid w:val="002C2B17"/>
    <w:rsid w:val="002C2FD7"/>
    <w:rsid w:val="002C4FF9"/>
    <w:rsid w:val="002D3DD0"/>
    <w:rsid w:val="002E1F3A"/>
    <w:rsid w:val="002E298A"/>
    <w:rsid w:val="002E2BEB"/>
    <w:rsid w:val="002E495D"/>
    <w:rsid w:val="002F796B"/>
    <w:rsid w:val="00301978"/>
    <w:rsid w:val="00301AED"/>
    <w:rsid w:val="0030332C"/>
    <w:rsid w:val="003051C2"/>
    <w:rsid w:val="00306540"/>
    <w:rsid w:val="0030723D"/>
    <w:rsid w:val="00312296"/>
    <w:rsid w:val="0031332F"/>
    <w:rsid w:val="00314F0E"/>
    <w:rsid w:val="00321D8E"/>
    <w:rsid w:val="00321F6E"/>
    <w:rsid w:val="00324FFD"/>
    <w:rsid w:val="00325928"/>
    <w:rsid w:val="0033110B"/>
    <w:rsid w:val="00332863"/>
    <w:rsid w:val="003328D7"/>
    <w:rsid w:val="0033684D"/>
    <w:rsid w:val="00337B42"/>
    <w:rsid w:val="00340CC0"/>
    <w:rsid w:val="00341B42"/>
    <w:rsid w:val="003432A2"/>
    <w:rsid w:val="0034348F"/>
    <w:rsid w:val="003525E6"/>
    <w:rsid w:val="00356653"/>
    <w:rsid w:val="0035743F"/>
    <w:rsid w:val="00357BE2"/>
    <w:rsid w:val="00357F85"/>
    <w:rsid w:val="0036170C"/>
    <w:rsid w:val="00365D0E"/>
    <w:rsid w:val="00366E0F"/>
    <w:rsid w:val="003745EA"/>
    <w:rsid w:val="00381A72"/>
    <w:rsid w:val="00381C91"/>
    <w:rsid w:val="0038238B"/>
    <w:rsid w:val="003828BB"/>
    <w:rsid w:val="00384676"/>
    <w:rsid w:val="00385F77"/>
    <w:rsid w:val="00386787"/>
    <w:rsid w:val="00390857"/>
    <w:rsid w:val="00392ABA"/>
    <w:rsid w:val="003A0CA1"/>
    <w:rsid w:val="003A4BF3"/>
    <w:rsid w:val="003A6969"/>
    <w:rsid w:val="003A6C2F"/>
    <w:rsid w:val="003B1C92"/>
    <w:rsid w:val="003B420D"/>
    <w:rsid w:val="003C64B9"/>
    <w:rsid w:val="003C6C16"/>
    <w:rsid w:val="003D151A"/>
    <w:rsid w:val="003D66BB"/>
    <w:rsid w:val="003D794D"/>
    <w:rsid w:val="003E3058"/>
    <w:rsid w:val="003E3255"/>
    <w:rsid w:val="003E3931"/>
    <w:rsid w:val="003E76A9"/>
    <w:rsid w:val="003F0809"/>
    <w:rsid w:val="003F209B"/>
    <w:rsid w:val="003F6A8C"/>
    <w:rsid w:val="003F755C"/>
    <w:rsid w:val="004000AC"/>
    <w:rsid w:val="0040167F"/>
    <w:rsid w:val="00406F01"/>
    <w:rsid w:val="004161EE"/>
    <w:rsid w:val="00416D50"/>
    <w:rsid w:val="00416FD5"/>
    <w:rsid w:val="00417772"/>
    <w:rsid w:val="00420E6A"/>
    <w:rsid w:val="004237B6"/>
    <w:rsid w:val="004257B9"/>
    <w:rsid w:val="00425A9E"/>
    <w:rsid w:val="00426D6B"/>
    <w:rsid w:val="00431E6C"/>
    <w:rsid w:val="00433CE7"/>
    <w:rsid w:val="004352D1"/>
    <w:rsid w:val="00450883"/>
    <w:rsid w:val="00452738"/>
    <w:rsid w:val="00456091"/>
    <w:rsid w:val="00457A92"/>
    <w:rsid w:val="00466321"/>
    <w:rsid w:val="00467D7A"/>
    <w:rsid w:val="00484B9B"/>
    <w:rsid w:val="004855F6"/>
    <w:rsid w:val="00485DBB"/>
    <w:rsid w:val="00486327"/>
    <w:rsid w:val="0048661E"/>
    <w:rsid w:val="00494670"/>
    <w:rsid w:val="004A3823"/>
    <w:rsid w:val="004A3DFF"/>
    <w:rsid w:val="004B08CD"/>
    <w:rsid w:val="004B69FC"/>
    <w:rsid w:val="004D00C1"/>
    <w:rsid w:val="004E297E"/>
    <w:rsid w:val="004E3652"/>
    <w:rsid w:val="004E6946"/>
    <w:rsid w:val="004F1AD8"/>
    <w:rsid w:val="004F3EFD"/>
    <w:rsid w:val="00500D26"/>
    <w:rsid w:val="0050208A"/>
    <w:rsid w:val="005039CB"/>
    <w:rsid w:val="0050558F"/>
    <w:rsid w:val="00506286"/>
    <w:rsid w:val="00506557"/>
    <w:rsid w:val="00510813"/>
    <w:rsid w:val="00511990"/>
    <w:rsid w:val="00511DE0"/>
    <w:rsid w:val="00514870"/>
    <w:rsid w:val="00514B9B"/>
    <w:rsid w:val="00517293"/>
    <w:rsid w:val="00517F02"/>
    <w:rsid w:val="00524303"/>
    <w:rsid w:val="005258A2"/>
    <w:rsid w:val="005401AE"/>
    <w:rsid w:val="00542E07"/>
    <w:rsid w:val="00545424"/>
    <w:rsid w:val="0054659D"/>
    <w:rsid w:val="00546A62"/>
    <w:rsid w:val="005528D4"/>
    <w:rsid w:val="00554A7B"/>
    <w:rsid w:val="0055572C"/>
    <w:rsid w:val="00557D7E"/>
    <w:rsid w:val="005607B5"/>
    <w:rsid w:val="0056106A"/>
    <w:rsid w:val="00561C00"/>
    <w:rsid w:val="00562862"/>
    <w:rsid w:val="00564BB1"/>
    <w:rsid w:val="00565892"/>
    <w:rsid w:val="005720AE"/>
    <w:rsid w:val="00574D68"/>
    <w:rsid w:val="00575922"/>
    <w:rsid w:val="00580646"/>
    <w:rsid w:val="00580C8E"/>
    <w:rsid w:val="00587706"/>
    <w:rsid w:val="0059445E"/>
    <w:rsid w:val="00594D77"/>
    <w:rsid w:val="005969E4"/>
    <w:rsid w:val="005A0149"/>
    <w:rsid w:val="005A06B7"/>
    <w:rsid w:val="005A1759"/>
    <w:rsid w:val="005A39DA"/>
    <w:rsid w:val="005A68A7"/>
    <w:rsid w:val="005B3802"/>
    <w:rsid w:val="005B3F7C"/>
    <w:rsid w:val="005B5F51"/>
    <w:rsid w:val="005C3DCB"/>
    <w:rsid w:val="005C4B5D"/>
    <w:rsid w:val="005C77E4"/>
    <w:rsid w:val="005D36AB"/>
    <w:rsid w:val="005D4D06"/>
    <w:rsid w:val="005D5BC6"/>
    <w:rsid w:val="005E5804"/>
    <w:rsid w:val="005F22F4"/>
    <w:rsid w:val="00602817"/>
    <w:rsid w:val="00603468"/>
    <w:rsid w:val="00610029"/>
    <w:rsid w:val="006105A8"/>
    <w:rsid w:val="006135B6"/>
    <w:rsid w:val="00617CC3"/>
    <w:rsid w:val="006200B6"/>
    <w:rsid w:val="00621470"/>
    <w:rsid w:val="0063077E"/>
    <w:rsid w:val="00632E25"/>
    <w:rsid w:val="006377A6"/>
    <w:rsid w:val="00637A3D"/>
    <w:rsid w:val="006411EF"/>
    <w:rsid w:val="00641BF0"/>
    <w:rsid w:val="006438DC"/>
    <w:rsid w:val="00643F2C"/>
    <w:rsid w:val="0064672A"/>
    <w:rsid w:val="00647C36"/>
    <w:rsid w:val="006537CA"/>
    <w:rsid w:val="00653EE3"/>
    <w:rsid w:val="006570E1"/>
    <w:rsid w:val="00665379"/>
    <w:rsid w:val="006665EB"/>
    <w:rsid w:val="006748B8"/>
    <w:rsid w:val="00674C82"/>
    <w:rsid w:val="006775C3"/>
    <w:rsid w:val="00680698"/>
    <w:rsid w:val="006818F0"/>
    <w:rsid w:val="00690096"/>
    <w:rsid w:val="006923F1"/>
    <w:rsid w:val="0069290A"/>
    <w:rsid w:val="00694E1D"/>
    <w:rsid w:val="0069775A"/>
    <w:rsid w:val="00697813"/>
    <w:rsid w:val="006A3EE8"/>
    <w:rsid w:val="006A72BF"/>
    <w:rsid w:val="006A7EC2"/>
    <w:rsid w:val="006B03F2"/>
    <w:rsid w:val="006B37DC"/>
    <w:rsid w:val="006B4F68"/>
    <w:rsid w:val="006B6404"/>
    <w:rsid w:val="006B72BF"/>
    <w:rsid w:val="006C0592"/>
    <w:rsid w:val="006C272E"/>
    <w:rsid w:val="006C5479"/>
    <w:rsid w:val="006C6D2B"/>
    <w:rsid w:val="006D13B5"/>
    <w:rsid w:val="006D469A"/>
    <w:rsid w:val="006D7A41"/>
    <w:rsid w:val="006E12FF"/>
    <w:rsid w:val="006E607E"/>
    <w:rsid w:val="006E6D51"/>
    <w:rsid w:val="006E7AA4"/>
    <w:rsid w:val="006F47B0"/>
    <w:rsid w:val="0070093B"/>
    <w:rsid w:val="00706536"/>
    <w:rsid w:val="00706C5D"/>
    <w:rsid w:val="00715981"/>
    <w:rsid w:val="00732791"/>
    <w:rsid w:val="00732922"/>
    <w:rsid w:val="00741BCD"/>
    <w:rsid w:val="007460E1"/>
    <w:rsid w:val="0075162E"/>
    <w:rsid w:val="00754034"/>
    <w:rsid w:val="00756556"/>
    <w:rsid w:val="007618C4"/>
    <w:rsid w:val="00763499"/>
    <w:rsid w:val="00767980"/>
    <w:rsid w:val="00770B19"/>
    <w:rsid w:val="0077463F"/>
    <w:rsid w:val="00776956"/>
    <w:rsid w:val="0078025C"/>
    <w:rsid w:val="007836EA"/>
    <w:rsid w:val="00784CDA"/>
    <w:rsid w:val="00784FEB"/>
    <w:rsid w:val="007906C4"/>
    <w:rsid w:val="00791D06"/>
    <w:rsid w:val="00792B14"/>
    <w:rsid w:val="007940EA"/>
    <w:rsid w:val="007967E8"/>
    <w:rsid w:val="00797B1E"/>
    <w:rsid w:val="007A14FE"/>
    <w:rsid w:val="007A2170"/>
    <w:rsid w:val="007A22BF"/>
    <w:rsid w:val="007A3323"/>
    <w:rsid w:val="007B70EF"/>
    <w:rsid w:val="007B72B8"/>
    <w:rsid w:val="007B7A58"/>
    <w:rsid w:val="007C21B5"/>
    <w:rsid w:val="007C39B6"/>
    <w:rsid w:val="007C51C1"/>
    <w:rsid w:val="007C7137"/>
    <w:rsid w:val="007E03B3"/>
    <w:rsid w:val="007E215C"/>
    <w:rsid w:val="007E3AAC"/>
    <w:rsid w:val="007E4BD2"/>
    <w:rsid w:val="007E6C84"/>
    <w:rsid w:val="007F0E02"/>
    <w:rsid w:val="007F10DC"/>
    <w:rsid w:val="007F7C9E"/>
    <w:rsid w:val="00801393"/>
    <w:rsid w:val="00802465"/>
    <w:rsid w:val="00802F88"/>
    <w:rsid w:val="0081293E"/>
    <w:rsid w:val="00814A82"/>
    <w:rsid w:val="00815465"/>
    <w:rsid w:val="00817E9A"/>
    <w:rsid w:val="00826637"/>
    <w:rsid w:val="008306BD"/>
    <w:rsid w:val="00830F67"/>
    <w:rsid w:val="00831A80"/>
    <w:rsid w:val="00833743"/>
    <w:rsid w:val="008340A4"/>
    <w:rsid w:val="00835215"/>
    <w:rsid w:val="00835AA5"/>
    <w:rsid w:val="00840833"/>
    <w:rsid w:val="00844D3E"/>
    <w:rsid w:val="00846B53"/>
    <w:rsid w:val="008526CD"/>
    <w:rsid w:val="0087135F"/>
    <w:rsid w:val="00872D94"/>
    <w:rsid w:val="00873482"/>
    <w:rsid w:val="00880364"/>
    <w:rsid w:val="008857CC"/>
    <w:rsid w:val="00891592"/>
    <w:rsid w:val="00891C83"/>
    <w:rsid w:val="00891E9E"/>
    <w:rsid w:val="008A2F68"/>
    <w:rsid w:val="008B4FA6"/>
    <w:rsid w:val="008B5282"/>
    <w:rsid w:val="008B7C17"/>
    <w:rsid w:val="008C2947"/>
    <w:rsid w:val="008C2D01"/>
    <w:rsid w:val="008C40E6"/>
    <w:rsid w:val="008D0F7A"/>
    <w:rsid w:val="008D506A"/>
    <w:rsid w:val="008D57F3"/>
    <w:rsid w:val="008D68E4"/>
    <w:rsid w:val="008E034E"/>
    <w:rsid w:val="008E0506"/>
    <w:rsid w:val="008E0CFF"/>
    <w:rsid w:val="008E1B01"/>
    <w:rsid w:val="008E40A3"/>
    <w:rsid w:val="008E5D6B"/>
    <w:rsid w:val="008E76F0"/>
    <w:rsid w:val="008F15FE"/>
    <w:rsid w:val="008F2D29"/>
    <w:rsid w:val="008F5187"/>
    <w:rsid w:val="008F60D8"/>
    <w:rsid w:val="00902727"/>
    <w:rsid w:val="0090312B"/>
    <w:rsid w:val="009051BF"/>
    <w:rsid w:val="009062A8"/>
    <w:rsid w:val="0091736D"/>
    <w:rsid w:val="0093037A"/>
    <w:rsid w:val="0093615E"/>
    <w:rsid w:val="0093673C"/>
    <w:rsid w:val="00936ACA"/>
    <w:rsid w:val="0094154D"/>
    <w:rsid w:val="0095155F"/>
    <w:rsid w:val="00951FEE"/>
    <w:rsid w:val="00954429"/>
    <w:rsid w:val="00955F21"/>
    <w:rsid w:val="009563CE"/>
    <w:rsid w:val="00956DE6"/>
    <w:rsid w:val="009601C7"/>
    <w:rsid w:val="009606AA"/>
    <w:rsid w:val="00964E3F"/>
    <w:rsid w:val="00974EAF"/>
    <w:rsid w:val="00976328"/>
    <w:rsid w:val="0097680D"/>
    <w:rsid w:val="00982438"/>
    <w:rsid w:val="0098404C"/>
    <w:rsid w:val="00985283"/>
    <w:rsid w:val="00985A6C"/>
    <w:rsid w:val="00995992"/>
    <w:rsid w:val="009968EE"/>
    <w:rsid w:val="00997AA8"/>
    <w:rsid w:val="009A03E5"/>
    <w:rsid w:val="009A075E"/>
    <w:rsid w:val="009A0F3B"/>
    <w:rsid w:val="009A1BB4"/>
    <w:rsid w:val="009A2628"/>
    <w:rsid w:val="009A3200"/>
    <w:rsid w:val="009A3895"/>
    <w:rsid w:val="009A7EA8"/>
    <w:rsid w:val="009B0897"/>
    <w:rsid w:val="009B7BD9"/>
    <w:rsid w:val="009C43BB"/>
    <w:rsid w:val="009C7DD5"/>
    <w:rsid w:val="009E227D"/>
    <w:rsid w:val="009E22FA"/>
    <w:rsid w:val="009E5019"/>
    <w:rsid w:val="009F6ACA"/>
    <w:rsid w:val="00A04F1B"/>
    <w:rsid w:val="00A0501B"/>
    <w:rsid w:val="00A11D51"/>
    <w:rsid w:val="00A12746"/>
    <w:rsid w:val="00A14947"/>
    <w:rsid w:val="00A14D02"/>
    <w:rsid w:val="00A2027E"/>
    <w:rsid w:val="00A32A83"/>
    <w:rsid w:val="00A36166"/>
    <w:rsid w:val="00A368DB"/>
    <w:rsid w:val="00A3698A"/>
    <w:rsid w:val="00A4131D"/>
    <w:rsid w:val="00A423AA"/>
    <w:rsid w:val="00A44B31"/>
    <w:rsid w:val="00A51280"/>
    <w:rsid w:val="00A53EC6"/>
    <w:rsid w:val="00A54D8F"/>
    <w:rsid w:val="00A55C0F"/>
    <w:rsid w:val="00A56B8A"/>
    <w:rsid w:val="00A67F19"/>
    <w:rsid w:val="00A80308"/>
    <w:rsid w:val="00A85774"/>
    <w:rsid w:val="00A86706"/>
    <w:rsid w:val="00A8713F"/>
    <w:rsid w:val="00A90BA1"/>
    <w:rsid w:val="00A97A9A"/>
    <w:rsid w:val="00AA0671"/>
    <w:rsid w:val="00AA2531"/>
    <w:rsid w:val="00AA4D68"/>
    <w:rsid w:val="00AB1E09"/>
    <w:rsid w:val="00AB5330"/>
    <w:rsid w:val="00AB7747"/>
    <w:rsid w:val="00AC14CE"/>
    <w:rsid w:val="00AC2A56"/>
    <w:rsid w:val="00AC3628"/>
    <w:rsid w:val="00AD055E"/>
    <w:rsid w:val="00AD47A7"/>
    <w:rsid w:val="00AD7196"/>
    <w:rsid w:val="00AE02CD"/>
    <w:rsid w:val="00AE6F35"/>
    <w:rsid w:val="00AF0CBF"/>
    <w:rsid w:val="00AF257F"/>
    <w:rsid w:val="00AF33CF"/>
    <w:rsid w:val="00AF4D50"/>
    <w:rsid w:val="00AF6179"/>
    <w:rsid w:val="00B017B7"/>
    <w:rsid w:val="00B01DE6"/>
    <w:rsid w:val="00B03CAA"/>
    <w:rsid w:val="00B0555D"/>
    <w:rsid w:val="00B077BD"/>
    <w:rsid w:val="00B10DDC"/>
    <w:rsid w:val="00B1199D"/>
    <w:rsid w:val="00B1295A"/>
    <w:rsid w:val="00B15F50"/>
    <w:rsid w:val="00B20A45"/>
    <w:rsid w:val="00B22C5C"/>
    <w:rsid w:val="00B24F30"/>
    <w:rsid w:val="00B26A17"/>
    <w:rsid w:val="00B31ABF"/>
    <w:rsid w:val="00B33BE3"/>
    <w:rsid w:val="00B47B12"/>
    <w:rsid w:val="00B52683"/>
    <w:rsid w:val="00B53B5D"/>
    <w:rsid w:val="00B57CCA"/>
    <w:rsid w:val="00B6055E"/>
    <w:rsid w:val="00B6317D"/>
    <w:rsid w:val="00B65CA1"/>
    <w:rsid w:val="00B70080"/>
    <w:rsid w:val="00B7723F"/>
    <w:rsid w:val="00B775D6"/>
    <w:rsid w:val="00B802BA"/>
    <w:rsid w:val="00B80534"/>
    <w:rsid w:val="00B8433C"/>
    <w:rsid w:val="00B85F48"/>
    <w:rsid w:val="00B87491"/>
    <w:rsid w:val="00B954FB"/>
    <w:rsid w:val="00B95BEB"/>
    <w:rsid w:val="00BA29E9"/>
    <w:rsid w:val="00BA6D85"/>
    <w:rsid w:val="00BA7142"/>
    <w:rsid w:val="00BB237C"/>
    <w:rsid w:val="00BB41A3"/>
    <w:rsid w:val="00BC32DC"/>
    <w:rsid w:val="00BC35B6"/>
    <w:rsid w:val="00BC59F8"/>
    <w:rsid w:val="00BD1B51"/>
    <w:rsid w:val="00BD44A4"/>
    <w:rsid w:val="00BD4596"/>
    <w:rsid w:val="00BD641A"/>
    <w:rsid w:val="00BE1405"/>
    <w:rsid w:val="00BE204F"/>
    <w:rsid w:val="00BE312D"/>
    <w:rsid w:val="00BF1C20"/>
    <w:rsid w:val="00BF4C4F"/>
    <w:rsid w:val="00BF4D3A"/>
    <w:rsid w:val="00C03BC1"/>
    <w:rsid w:val="00C046C3"/>
    <w:rsid w:val="00C100CC"/>
    <w:rsid w:val="00C10578"/>
    <w:rsid w:val="00C135BC"/>
    <w:rsid w:val="00C15C95"/>
    <w:rsid w:val="00C23F39"/>
    <w:rsid w:val="00C2496B"/>
    <w:rsid w:val="00C2596A"/>
    <w:rsid w:val="00C27537"/>
    <w:rsid w:val="00C328FE"/>
    <w:rsid w:val="00C33507"/>
    <w:rsid w:val="00C42914"/>
    <w:rsid w:val="00C4409D"/>
    <w:rsid w:val="00C44E72"/>
    <w:rsid w:val="00C45A06"/>
    <w:rsid w:val="00C475D4"/>
    <w:rsid w:val="00C47E5B"/>
    <w:rsid w:val="00C55249"/>
    <w:rsid w:val="00C61D75"/>
    <w:rsid w:val="00C61E4B"/>
    <w:rsid w:val="00C64BFF"/>
    <w:rsid w:val="00C64D25"/>
    <w:rsid w:val="00C65D0C"/>
    <w:rsid w:val="00C704E9"/>
    <w:rsid w:val="00C74FFB"/>
    <w:rsid w:val="00C756EA"/>
    <w:rsid w:val="00C763C9"/>
    <w:rsid w:val="00C7766A"/>
    <w:rsid w:val="00C80057"/>
    <w:rsid w:val="00C82232"/>
    <w:rsid w:val="00C82913"/>
    <w:rsid w:val="00C95714"/>
    <w:rsid w:val="00C972B1"/>
    <w:rsid w:val="00CA2CCE"/>
    <w:rsid w:val="00CA43FD"/>
    <w:rsid w:val="00CA7EF8"/>
    <w:rsid w:val="00CB64D4"/>
    <w:rsid w:val="00CC489B"/>
    <w:rsid w:val="00CC6175"/>
    <w:rsid w:val="00CC7FAB"/>
    <w:rsid w:val="00CD2BCD"/>
    <w:rsid w:val="00CD3A4C"/>
    <w:rsid w:val="00CE10E9"/>
    <w:rsid w:val="00CE2910"/>
    <w:rsid w:val="00CE536B"/>
    <w:rsid w:val="00CE5393"/>
    <w:rsid w:val="00CF10EF"/>
    <w:rsid w:val="00CF1E2C"/>
    <w:rsid w:val="00CF36BE"/>
    <w:rsid w:val="00CF3A41"/>
    <w:rsid w:val="00CF6000"/>
    <w:rsid w:val="00CF6198"/>
    <w:rsid w:val="00D003F3"/>
    <w:rsid w:val="00D0364F"/>
    <w:rsid w:val="00D06834"/>
    <w:rsid w:val="00D07099"/>
    <w:rsid w:val="00D120FC"/>
    <w:rsid w:val="00D1491B"/>
    <w:rsid w:val="00D16034"/>
    <w:rsid w:val="00D22141"/>
    <w:rsid w:val="00D245CF"/>
    <w:rsid w:val="00D24E7A"/>
    <w:rsid w:val="00D308ED"/>
    <w:rsid w:val="00D33A8D"/>
    <w:rsid w:val="00D36D86"/>
    <w:rsid w:val="00D428AA"/>
    <w:rsid w:val="00D44C80"/>
    <w:rsid w:val="00D45136"/>
    <w:rsid w:val="00D50A34"/>
    <w:rsid w:val="00D52F41"/>
    <w:rsid w:val="00D53EFA"/>
    <w:rsid w:val="00D658BC"/>
    <w:rsid w:val="00D65BF1"/>
    <w:rsid w:val="00D72A77"/>
    <w:rsid w:val="00D813B5"/>
    <w:rsid w:val="00D90478"/>
    <w:rsid w:val="00D906FF"/>
    <w:rsid w:val="00D91491"/>
    <w:rsid w:val="00D9286A"/>
    <w:rsid w:val="00D92F3C"/>
    <w:rsid w:val="00D94A7C"/>
    <w:rsid w:val="00D95896"/>
    <w:rsid w:val="00DA70A2"/>
    <w:rsid w:val="00DA755E"/>
    <w:rsid w:val="00DB0470"/>
    <w:rsid w:val="00DB2983"/>
    <w:rsid w:val="00DB4509"/>
    <w:rsid w:val="00DC1257"/>
    <w:rsid w:val="00DC3DC0"/>
    <w:rsid w:val="00DC5B2B"/>
    <w:rsid w:val="00DD318D"/>
    <w:rsid w:val="00DE760F"/>
    <w:rsid w:val="00DF2E12"/>
    <w:rsid w:val="00DF514A"/>
    <w:rsid w:val="00DF6690"/>
    <w:rsid w:val="00DF6804"/>
    <w:rsid w:val="00E010A4"/>
    <w:rsid w:val="00E02C3A"/>
    <w:rsid w:val="00E0358D"/>
    <w:rsid w:val="00E04323"/>
    <w:rsid w:val="00E068E1"/>
    <w:rsid w:val="00E070A2"/>
    <w:rsid w:val="00E100A7"/>
    <w:rsid w:val="00E174E9"/>
    <w:rsid w:val="00E179BA"/>
    <w:rsid w:val="00E17E10"/>
    <w:rsid w:val="00E23EC1"/>
    <w:rsid w:val="00E2656A"/>
    <w:rsid w:val="00E36C8A"/>
    <w:rsid w:val="00E37473"/>
    <w:rsid w:val="00E412D0"/>
    <w:rsid w:val="00E42FE7"/>
    <w:rsid w:val="00E4474E"/>
    <w:rsid w:val="00E45FE6"/>
    <w:rsid w:val="00E463BA"/>
    <w:rsid w:val="00E4658A"/>
    <w:rsid w:val="00E56322"/>
    <w:rsid w:val="00E60982"/>
    <w:rsid w:val="00E62C62"/>
    <w:rsid w:val="00E654C1"/>
    <w:rsid w:val="00E65D97"/>
    <w:rsid w:val="00E66BB4"/>
    <w:rsid w:val="00E66D45"/>
    <w:rsid w:val="00E71580"/>
    <w:rsid w:val="00E72A5A"/>
    <w:rsid w:val="00E73354"/>
    <w:rsid w:val="00E86274"/>
    <w:rsid w:val="00E910EB"/>
    <w:rsid w:val="00E91130"/>
    <w:rsid w:val="00E9242D"/>
    <w:rsid w:val="00EA266D"/>
    <w:rsid w:val="00EA587E"/>
    <w:rsid w:val="00EA781A"/>
    <w:rsid w:val="00EB045C"/>
    <w:rsid w:val="00EB243C"/>
    <w:rsid w:val="00EB5255"/>
    <w:rsid w:val="00EB56C6"/>
    <w:rsid w:val="00EB5C47"/>
    <w:rsid w:val="00ED0639"/>
    <w:rsid w:val="00ED2F71"/>
    <w:rsid w:val="00EE76E2"/>
    <w:rsid w:val="00EE775E"/>
    <w:rsid w:val="00EF1EAC"/>
    <w:rsid w:val="00EF4755"/>
    <w:rsid w:val="00EF59A4"/>
    <w:rsid w:val="00EF7135"/>
    <w:rsid w:val="00F027DB"/>
    <w:rsid w:val="00F05FE6"/>
    <w:rsid w:val="00F06440"/>
    <w:rsid w:val="00F067A4"/>
    <w:rsid w:val="00F0737D"/>
    <w:rsid w:val="00F13737"/>
    <w:rsid w:val="00F14A7A"/>
    <w:rsid w:val="00F201CF"/>
    <w:rsid w:val="00F22985"/>
    <w:rsid w:val="00F25208"/>
    <w:rsid w:val="00F306F5"/>
    <w:rsid w:val="00F31565"/>
    <w:rsid w:val="00F3383E"/>
    <w:rsid w:val="00F465A7"/>
    <w:rsid w:val="00F50B7C"/>
    <w:rsid w:val="00F51715"/>
    <w:rsid w:val="00F550E6"/>
    <w:rsid w:val="00F55238"/>
    <w:rsid w:val="00F64924"/>
    <w:rsid w:val="00F66B1A"/>
    <w:rsid w:val="00F67A7D"/>
    <w:rsid w:val="00F7036F"/>
    <w:rsid w:val="00F73BCE"/>
    <w:rsid w:val="00F74345"/>
    <w:rsid w:val="00F80A0A"/>
    <w:rsid w:val="00F82B19"/>
    <w:rsid w:val="00F9212D"/>
    <w:rsid w:val="00F965DA"/>
    <w:rsid w:val="00FA406A"/>
    <w:rsid w:val="00FA5B3F"/>
    <w:rsid w:val="00FB179D"/>
    <w:rsid w:val="00FB503A"/>
    <w:rsid w:val="00FB516C"/>
    <w:rsid w:val="00FB5D83"/>
    <w:rsid w:val="00FC3AC6"/>
    <w:rsid w:val="00FC53D0"/>
    <w:rsid w:val="00FC76D8"/>
    <w:rsid w:val="00FD0236"/>
    <w:rsid w:val="00FD18F4"/>
    <w:rsid w:val="00FD1AEA"/>
    <w:rsid w:val="00FD405E"/>
    <w:rsid w:val="00FD54DB"/>
    <w:rsid w:val="00FD619F"/>
    <w:rsid w:val="00FE3B9C"/>
    <w:rsid w:val="00FE3E3B"/>
    <w:rsid w:val="00FE6E2D"/>
    <w:rsid w:val="00FF008B"/>
    <w:rsid w:val="00FF0E93"/>
    <w:rsid w:val="00FF0F1F"/>
    <w:rsid w:val="00FF2B67"/>
    <w:rsid w:val="00FF462F"/>
    <w:rsid w:val="0100390C"/>
    <w:rsid w:val="0119141B"/>
    <w:rsid w:val="012610ED"/>
    <w:rsid w:val="01290F7E"/>
    <w:rsid w:val="012F2D41"/>
    <w:rsid w:val="013A1BF8"/>
    <w:rsid w:val="01453F29"/>
    <w:rsid w:val="015872EB"/>
    <w:rsid w:val="015D1E09"/>
    <w:rsid w:val="01791910"/>
    <w:rsid w:val="01795D2C"/>
    <w:rsid w:val="01827086"/>
    <w:rsid w:val="01851B4A"/>
    <w:rsid w:val="018B23AB"/>
    <w:rsid w:val="018E53BB"/>
    <w:rsid w:val="019F6F41"/>
    <w:rsid w:val="01A84F95"/>
    <w:rsid w:val="01AE2755"/>
    <w:rsid w:val="01CD685C"/>
    <w:rsid w:val="01D265B5"/>
    <w:rsid w:val="01EC3E90"/>
    <w:rsid w:val="01ED48B8"/>
    <w:rsid w:val="01F30BBC"/>
    <w:rsid w:val="01F77EB9"/>
    <w:rsid w:val="02074B0A"/>
    <w:rsid w:val="021C368D"/>
    <w:rsid w:val="02455137"/>
    <w:rsid w:val="0246079A"/>
    <w:rsid w:val="02697903"/>
    <w:rsid w:val="0276784D"/>
    <w:rsid w:val="028247F4"/>
    <w:rsid w:val="02840791"/>
    <w:rsid w:val="02954528"/>
    <w:rsid w:val="02B44AD2"/>
    <w:rsid w:val="02B56CD5"/>
    <w:rsid w:val="02CB0AFA"/>
    <w:rsid w:val="02F96569"/>
    <w:rsid w:val="03264BB6"/>
    <w:rsid w:val="03394EB3"/>
    <w:rsid w:val="033E55A8"/>
    <w:rsid w:val="03446BC5"/>
    <w:rsid w:val="034D1CF2"/>
    <w:rsid w:val="036B2F50"/>
    <w:rsid w:val="03700F8F"/>
    <w:rsid w:val="037362C2"/>
    <w:rsid w:val="037C0C1D"/>
    <w:rsid w:val="03946BD5"/>
    <w:rsid w:val="039C088F"/>
    <w:rsid w:val="03BC6BDC"/>
    <w:rsid w:val="03C70711"/>
    <w:rsid w:val="03D965BB"/>
    <w:rsid w:val="03EA7B21"/>
    <w:rsid w:val="03EC63C9"/>
    <w:rsid w:val="03EE3285"/>
    <w:rsid w:val="03F96809"/>
    <w:rsid w:val="03FC57BA"/>
    <w:rsid w:val="0405249B"/>
    <w:rsid w:val="04365896"/>
    <w:rsid w:val="044B0148"/>
    <w:rsid w:val="04511AC1"/>
    <w:rsid w:val="047D34C5"/>
    <w:rsid w:val="04953F2D"/>
    <w:rsid w:val="049D0AFA"/>
    <w:rsid w:val="04A24717"/>
    <w:rsid w:val="04A47A17"/>
    <w:rsid w:val="04B05649"/>
    <w:rsid w:val="04C26390"/>
    <w:rsid w:val="04CF5745"/>
    <w:rsid w:val="04E1792C"/>
    <w:rsid w:val="04F056DB"/>
    <w:rsid w:val="04F83E96"/>
    <w:rsid w:val="04FA7115"/>
    <w:rsid w:val="050F7E85"/>
    <w:rsid w:val="052F2643"/>
    <w:rsid w:val="05355B4E"/>
    <w:rsid w:val="053C71ED"/>
    <w:rsid w:val="054072A1"/>
    <w:rsid w:val="054F19D4"/>
    <w:rsid w:val="0580326D"/>
    <w:rsid w:val="058523FD"/>
    <w:rsid w:val="058B3D93"/>
    <w:rsid w:val="05BC5F72"/>
    <w:rsid w:val="05C82CE9"/>
    <w:rsid w:val="05D26066"/>
    <w:rsid w:val="05DD58A6"/>
    <w:rsid w:val="05E03D0C"/>
    <w:rsid w:val="05F73D59"/>
    <w:rsid w:val="05F83EAE"/>
    <w:rsid w:val="061703A4"/>
    <w:rsid w:val="061B34C6"/>
    <w:rsid w:val="061F3D74"/>
    <w:rsid w:val="063E7D85"/>
    <w:rsid w:val="06410F76"/>
    <w:rsid w:val="06694CB0"/>
    <w:rsid w:val="069516C4"/>
    <w:rsid w:val="06985D9E"/>
    <w:rsid w:val="069F2F18"/>
    <w:rsid w:val="06C62F02"/>
    <w:rsid w:val="06E23AB3"/>
    <w:rsid w:val="06EC2C1C"/>
    <w:rsid w:val="06EF559D"/>
    <w:rsid w:val="06F73010"/>
    <w:rsid w:val="070210E1"/>
    <w:rsid w:val="07097292"/>
    <w:rsid w:val="070C28DE"/>
    <w:rsid w:val="071C6FC5"/>
    <w:rsid w:val="071D689A"/>
    <w:rsid w:val="07293586"/>
    <w:rsid w:val="07295285"/>
    <w:rsid w:val="072A23D5"/>
    <w:rsid w:val="074455BF"/>
    <w:rsid w:val="07636392"/>
    <w:rsid w:val="076D7821"/>
    <w:rsid w:val="07770C56"/>
    <w:rsid w:val="078465C2"/>
    <w:rsid w:val="07935C2F"/>
    <w:rsid w:val="07CA4C73"/>
    <w:rsid w:val="07E35D35"/>
    <w:rsid w:val="07E91BD2"/>
    <w:rsid w:val="07EB0D28"/>
    <w:rsid w:val="07EF6336"/>
    <w:rsid w:val="07F0463D"/>
    <w:rsid w:val="081710BE"/>
    <w:rsid w:val="081D1247"/>
    <w:rsid w:val="08255ADB"/>
    <w:rsid w:val="08572528"/>
    <w:rsid w:val="085B1D6F"/>
    <w:rsid w:val="086664C8"/>
    <w:rsid w:val="08864A4D"/>
    <w:rsid w:val="088A7D16"/>
    <w:rsid w:val="089D1687"/>
    <w:rsid w:val="089F56E3"/>
    <w:rsid w:val="08CC4A1B"/>
    <w:rsid w:val="08F756ED"/>
    <w:rsid w:val="09012917"/>
    <w:rsid w:val="092217DD"/>
    <w:rsid w:val="09376339"/>
    <w:rsid w:val="093A7294"/>
    <w:rsid w:val="096A58DA"/>
    <w:rsid w:val="09834B42"/>
    <w:rsid w:val="0993176D"/>
    <w:rsid w:val="09B334C6"/>
    <w:rsid w:val="09BC2025"/>
    <w:rsid w:val="09C0116F"/>
    <w:rsid w:val="09C661EE"/>
    <w:rsid w:val="09C824C6"/>
    <w:rsid w:val="09D14BB0"/>
    <w:rsid w:val="09D83618"/>
    <w:rsid w:val="09D973F0"/>
    <w:rsid w:val="09DE4A01"/>
    <w:rsid w:val="09E46FBE"/>
    <w:rsid w:val="09FF496F"/>
    <w:rsid w:val="0A0D2FAB"/>
    <w:rsid w:val="0A1C49E3"/>
    <w:rsid w:val="0A263993"/>
    <w:rsid w:val="0A2D3AC2"/>
    <w:rsid w:val="0A312D88"/>
    <w:rsid w:val="0A3D3A9A"/>
    <w:rsid w:val="0A4E393A"/>
    <w:rsid w:val="0A7E7112"/>
    <w:rsid w:val="0A97787C"/>
    <w:rsid w:val="0AA755DF"/>
    <w:rsid w:val="0AAE1E79"/>
    <w:rsid w:val="0AB80DB3"/>
    <w:rsid w:val="0ADA341F"/>
    <w:rsid w:val="0AEB20D2"/>
    <w:rsid w:val="0AED3403"/>
    <w:rsid w:val="0AEF778C"/>
    <w:rsid w:val="0AFB3396"/>
    <w:rsid w:val="0B0437BC"/>
    <w:rsid w:val="0B064214"/>
    <w:rsid w:val="0B120D44"/>
    <w:rsid w:val="0B1F7084"/>
    <w:rsid w:val="0B27418B"/>
    <w:rsid w:val="0B3E5C6F"/>
    <w:rsid w:val="0B4765DB"/>
    <w:rsid w:val="0B4B4FF0"/>
    <w:rsid w:val="0B5F0A07"/>
    <w:rsid w:val="0B712BEB"/>
    <w:rsid w:val="0B757E41"/>
    <w:rsid w:val="0B9255AA"/>
    <w:rsid w:val="0BA23811"/>
    <w:rsid w:val="0BAD4DCF"/>
    <w:rsid w:val="0BC23F01"/>
    <w:rsid w:val="0BD07366"/>
    <w:rsid w:val="0BD27BF6"/>
    <w:rsid w:val="0BE357CF"/>
    <w:rsid w:val="0BEF777B"/>
    <w:rsid w:val="0BFC4ED6"/>
    <w:rsid w:val="0C197F77"/>
    <w:rsid w:val="0C1F4842"/>
    <w:rsid w:val="0C2414CF"/>
    <w:rsid w:val="0C3101BE"/>
    <w:rsid w:val="0C3B3C7D"/>
    <w:rsid w:val="0C5F3CFD"/>
    <w:rsid w:val="0C706E1E"/>
    <w:rsid w:val="0C765152"/>
    <w:rsid w:val="0C7A6A0A"/>
    <w:rsid w:val="0C85560D"/>
    <w:rsid w:val="0C992E66"/>
    <w:rsid w:val="0C9F4912"/>
    <w:rsid w:val="0CAB2EAE"/>
    <w:rsid w:val="0CC32D2B"/>
    <w:rsid w:val="0CC51EAD"/>
    <w:rsid w:val="0CE9794A"/>
    <w:rsid w:val="0D197B03"/>
    <w:rsid w:val="0D2419BC"/>
    <w:rsid w:val="0D330BC5"/>
    <w:rsid w:val="0D361575"/>
    <w:rsid w:val="0D450893"/>
    <w:rsid w:val="0D5420CD"/>
    <w:rsid w:val="0D621C7D"/>
    <w:rsid w:val="0D643474"/>
    <w:rsid w:val="0D6E7D24"/>
    <w:rsid w:val="0D9F2537"/>
    <w:rsid w:val="0DB33992"/>
    <w:rsid w:val="0DD45E9F"/>
    <w:rsid w:val="0DE20FC7"/>
    <w:rsid w:val="0DE32E0A"/>
    <w:rsid w:val="0DE50DF5"/>
    <w:rsid w:val="0DE54399"/>
    <w:rsid w:val="0DFB6335"/>
    <w:rsid w:val="0E067E5F"/>
    <w:rsid w:val="0E2A521E"/>
    <w:rsid w:val="0E4D74FF"/>
    <w:rsid w:val="0E73034D"/>
    <w:rsid w:val="0E744138"/>
    <w:rsid w:val="0E797100"/>
    <w:rsid w:val="0EA86D7E"/>
    <w:rsid w:val="0EA9449E"/>
    <w:rsid w:val="0EAE008A"/>
    <w:rsid w:val="0EBD6B0B"/>
    <w:rsid w:val="0EF77800"/>
    <w:rsid w:val="0F0514E5"/>
    <w:rsid w:val="0F0A3BA7"/>
    <w:rsid w:val="0F130B06"/>
    <w:rsid w:val="0F13775A"/>
    <w:rsid w:val="0F392184"/>
    <w:rsid w:val="0F3E7C84"/>
    <w:rsid w:val="0F487F6D"/>
    <w:rsid w:val="0F5A1F40"/>
    <w:rsid w:val="0F5F45FE"/>
    <w:rsid w:val="0F876B63"/>
    <w:rsid w:val="0F9A112B"/>
    <w:rsid w:val="0FB35FED"/>
    <w:rsid w:val="0FCD4867"/>
    <w:rsid w:val="0FCE6D16"/>
    <w:rsid w:val="0FDB7019"/>
    <w:rsid w:val="0FDE02BF"/>
    <w:rsid w:val="0FE77BA8"/>
    <w:rsid w:val="0FEF0C7C"/>
    <w:rsid w:val="0FF85258"/>
    <w:rsid w:val="1005358F"/>
    <w:rsid w:val="101F2740"/>
    <w:rsid w:val="10373B9F"/>
    <w:rsid w:val="103F51B1"/>
    <w:rsid w:val="106D2F64"/>
    <w:rsid w:val="107F5AC5"/>
    <w:rsid w:val="1089609D"/>
    <w:rsid w:val="108F55CB"/>
    <w:rsid w:val="10B63710"/>
    <w:rsid w:val="10F10820"/>
    <w:rsid w:val="1101035E"/>
    <w:rsid w:val="1102547E"/>
    <w:rsid w:val="11190A0E"/>
    <w:rsid w:val="111C2F7A"/>
    <w:rsid w:val="11254E97"/>
    <w:rsid w:val="11503847"/>
    <w:rsid w:val="11505B83"/>
    <w:rsid w:val="11665CA1"/>
    <w:rsid w:val="11845E93"/>
    <w:rsid w:val="11A337EE"/>
    <w:rsid w:val="11AC486F"/>
    <w:rsid w:val="11BA4092"/>
    <w:rsid w:val="11BF3ECF"/>
    <w:rsid w:val="11C41482"/>
    <w:rsid w:val="11D00824"/>
    <w:rsid w:val="11D95F87"/>
    <w:rsid w:val="12456648"/>
    <w:rsid w:val="124F4E29"/>
    <w:rsid w:val="12523EAB"/>
    <w:rsid w:val="127752AF"/>
    <w:rsid w:val="12933C69"/>
    <w:rsid w:val="12BD0125"/>
    <w:rsid w:val="12BD0AF8"/>
    <w:rsid w:val="12CA3D79"/>
    <w:rsid w:val="12CF6473"/>
    <w:rsid w:val="12D531EF"/>
    <w:rsid w:val="12D76485"/>
    <w:rsid w:val="12DF4BA9"/>
    <w:rsid w:val="12EB458C"/>
    <w:rsid w:val="12FE46AA"/>
    <w:rsid w:val="1304103A"/>
    <w:rsid w:val="13290778"/>
    <w:rsid w:val="13362245"/>
    <w:rsid w:val="133E0898"/>
    <w:rsid w:val="1353051C"/>
    <w:rsid w:val="137F6359"/>
    <w:rsid w:val="138561DB"/>
    <w:rsid w:val="138C54D7"/>
    <w:rsid w:val="13951726"/>
    <w:rsid w:val="139C7086"/>
    <w:rsid w:val="13D160FB"/>
    <w:rsid w:val="13DA260D"/>
    <w:rsid w:val="13E06E9E"/>
    <w:rsid w:val="13E933DF"/>
    <w:rsid w:val="14021813"/>
    <w:rsid w:val="1404150D"/>
    <w:rsid w:val="14060DE1"/>
    <w:rsid w:val="14396509"/>
    <w:rsid w:val="143F3093"/>
    <w:rsid w:val="1444190A"/>
    <w:rsid w:val="14627FE2"/>
    <w:rsid w:val="14810F5B"/>
    <w:rsid w:val="1499221F"/>
    <w:rsid w:val="149D161B"/>
    <w:rsid w:val="14A002A8"/>
    <w:rsid w:val="14B069E7"/>
    <w:rsid w:val="14C01C03"/>
    <w:rsid w:val="14C03686"/>
    <w:rsid w:val="14C34F24"/>
    <w:rsid w:val="14DD2C3C"/>
    <w:rsid w:val="14E2226E"/>
    <w:rsid w:val="14E65E40"/>
    <w:rsid w:val="14EC6DE8"/>
    <w:rsid w:val="14EF5D19"/>
    <w:rsid w:val="14F43EB4"/>
    <w:rsid w:val="15017169"/>
    <w:rsid w:val="15274AFD"/>
    <w:rsid w:val="1529040D"/>
    <w:rsid w:val="15311E8E"/>
    <w:rsid w:val="153859F2"/>
    <w:rsid w:val="15510351"/>
    <w:rsid w:val="158A5F6F"/>
    <w:rsid w:val="15AB47A0"/>
    <w:rsid w:val="15DF5D8E"/>
    <w:rsid w:val="15EA2684"/>
    <w:rsid w:val="15EF58A5"/>
    <w:rsid w:val="15FF3712"/>
    <w:rsid w:val="16087E1D"/>
    <w:rsid w:val="160E39B5"/>
    <w:rsid w:val="16225CDD"/>
    <w:rsid w:val="162977EF"/>
    <w:rsid w:val="164D719B"/>
    <w:rsid w:val="16627FB5"/>
    <w:rsid w:val="16646347"/>
    <w:rsid w:val="167069E6"/>
    <w:rsid w:val="16720BB1"/>
    <w:rsid w:val="167F4E7B"/>
    <w:rsid w:val="16CA512C"/>
    <w:rsid w:val="16CB00C0"/>
    <w:rsid w:val="16E12512"/>
    <w:rsid w:val="16E26EAB"/>
    <w:rsid w:val="172872C1"/>
    <w:rsid w:val="173B5D7C"/>
    <w:rsid w:val="174030E3"/>
    <w:rsid w:val="1745528E"/>
    <w:rsid w:val="174D4F79"/>
    <w:rsid w:val="174F093C"/>
    <w:rsid w:val="176035F0"/>
    <w:rsid w:val="17701D14"/>
    <w:rsid w:val="17735226"/>
    <w:rsid w:val="17777B62"/>
    <w:rsid w:val="17837B5A"/>
    <w:rsid w:val="178A2737"/>
    <w:rsid w:val="17B62B1E"/>
    <w:rsid w:val="17C7779A"/>
    <w:rsid w:val="17D80701"/>
    <w:rsid w:val="17D84E04"/>
    <w:rsid w:val="18005D4F"/>
    <w:rsid w:val="180535AA"/>
    <w:rsid w:val="18224AEE"/>
    <w:rsid w:val="189F624C"/>
    <w:rsid w:val="18A07DB5"/>
    <w:rsid w:val="18AC33BF"/>
    <w:rsid w:val="18BD1F0B"/>
    <w:rsid w:val="18C67398"/>
    <w:rsid w:val="18CD0120"/>
    <w:rsid w:val="18D3114A"/>
    <w:rsid w:val="18D714A8"/>
    <w:rsid w:val="18F44311"/>
    <w:rsid w:val="19122550"/>
    <w:rsid w:val="191838A8"/>
    <w:rsid w:val="19373AD9"/>
    <w:rsid w:val="19387973"/>
    <w:rsid w:val="19411A33"/>
    <w:rsid w:val="195555AC"/>
    <w:rsid w:val="195A3ED2"/>
    <w:rsid w:val="195E49E1"/>
    <w:rsid w:val="19881DB8"/>
    <w:rsid w:val="19A1335A"/>
    <w:rsid w:val="19B249F9"/>
    <w:rsid w:val="19C64799"/>
    <w:rsid w:val="19E71F84"/>
    <w:rsid w:val="19FE3760"/>
    <w:rsid w:val="1A1C66C0"/>
    <w:rsid w:val="1A211DF4"/>
    <w:rsid w:val="1A3976E8"/>
    <w:rsid w:val="1A42393B"/>
    <w:rsid w:val="1A4408B5"/>
    <w:rsid w:val="1A551BE2"/>
    <w:rsid w:val="1AAD45DE"/>
    <w:rsid w:val="1ABD0E5D"/>
    <w:rsid w:val="1ADA243A"/>
    <w:rsid w:val="1AE00EB1"/>
    <w:rsid w:val="1AEF53F6"/>
    <w:rsid w:val="1AF628A3"/>
    <w:rsid w:val="1AF916A0"/>
    <w:rsid w:val="1B021704"/>
    <w:rsid w:val="1B046F80"/>
    <w:rsid w:val="1B0B4F5E"/>
    <w:rsid w:val="1B254E44"/>
    <w:rsid w:val="1B2C2D7C"/>
    <w:rsid w:val="1B3145AC"/>
    <w:rsid w:val="1B3267B5"/>
    <w:rsid w:val="1B40161D"/>
    <w:rsid w:val="1B441859"/>
    <w:rsid w:val="1B6606B1"/>
    <w:rsid w:val="1B6C64E1"/>
    <w:rsid w:val="1B7F1479"/>
    <w:rsid w:val="1B856D32"/>
    <w:rsid w:val="1B8C7840"/>
    <w:rsid w:val="1BB43819"/>
    <w:rsid w:val="1BBD688A"/>
    <w:rsid w:val="1BD16179"/>
    <w:rsid w:val="1BD61547"/>
    <w:rsid w:val="1C1A1F34"/>
    <w:rsid w:val="1C3C0549"/>
    <w:rsid w:val="1C3F6D7C"/>
    <w:rsid w:val="1C484909"/>
    <w:rsid w:val="1C5923AB"/>
    <w:rsid w:val="1C5E7925"/>
    <w:rsid w:val="1C766D20"/>
    <w:rsid w:val="1C867463"/>
    <w:rsid w:val="1C874147"/>
    <w:rsid w:val="1C875C0C"/>
    <w:rsid w:val="1C994197"/>
    <w:rsid w:val="1CA266CE"/>
    <w:rsid w:val="1CBA6BC0"/>
    <w:rsid w:val="1CC32B1C"/>
    <w:rsid w:val="1CCB0B4C"/>
    <w:rsid w:val="1CCD16A4"/>
    <w:rsid w:val="1CFD070F"/>
    <w:rsid w:val="1CFE421A"/>
    <w:rsid w:val="1D1E53EE"/>
    <w:rsid w:val="1D4B34D5"/>
    <w:rsid w:val="1D5F6196"/>
    <w:rsid w:val="1D6132A5"/>
    <w:rsid w:val="1D756FD8"/>
    <w:rsid w:val="1D8E56D5"/>
    <w:rsid w:val="1D9427DC"/>
    <w:rsid w:val="1DAA6363"/>
    <w:rsid w:val="1DAF5021"/>
    <w:rsid w:val="1DB81243"/>
    <w:rsid w:val="1DCD61B0"/>
    <w:rsid w:val="1DE106D1"/>
    <w:rsid w:val="1DF55E7A"/>
    <w:rsid w:val="1E082697"/>
    <w:rsid w:val="1E311151"/>
    <w:rsid w:val="1E5B7B67"/>
    <w:rsid w:val="1E7526B8"/>
    <w:rsid w:val="1E7A43DA"/>
    <w:rsid w:val="1EA118FA"/>
    <w:rsid w:val="1EA20F84"/>
    <w:rsid w:val="1EAA4A5F"/>
    <w:rsid w:val="1EB06519"/>
    <w:rsid w:val="1EBC46C3"/>
    <w:rsid w:val="1EC01C5B"/>
    <w:rsid w:val="1ECB5640"/>
    <w:rsid w:val="1EFB0FDF"/>
    <w:rsid w:val="1F0979D8"/>
    <w:rsid w:val="1F1E7EEC"/>
    <w:rsid w:val="1F2C5CED"/>
    <w:rsid w:val="1F3835CB"/>
    <w:rsid w:val="1F3E2F34"/>
    <w:rsid w:val="1F3E570B"/>
    <w:rsid w:val="1F516C35"/>
    <w:rsid w:val="1F52455B"/>
    <w:rsid w:val="1F63358C"/>
    <w:rsid w:val="1F6834CB"/>
    <w:rsid w:val="1F9E2311"/>
    <w:rsid w:val="1FAB598B"/>
    <w:rsid w:val="1FAE58AE"/>
    <w:rsid w:val="1FC523DE"/>
    <w:rsid w:val="1FD4771F"/>
    <w:rsid w:val="1FE7539E"/>
    <w:rsid w:val="1FF468DA"/>
    <w:rsid w:val="1FFB5F39"/>
    <w:rsid w:val="20110550"/>
    <w:rsid w:val="20166850"/>
    <w:rsid w:val="20256A93"/>
    <w:rsid w:val="202927F4"/>
    <w:rsid w:val="203F3DB2"/>
    <w:rsid w:val="204C4020"/>
    <w:rsid w:val="204D6F7A"/>
    <w:rsid w:val="20570CD2"/>
    <w:rsid w:val="20671BE0"/>
    <w:rsid w:val="208B7348"/>
    <w:rsid w:val="2096227D"/>
    <w:rsid w:val="20963CB8"/>
    <w:rsid w:val="20A81A1B"/>
    <w:rsid w:val="20AD7B83"/>
    <w:rsid w:val="20B07FB6"/>
    <w:rsid w:val="20B646FB"/>
    <w:rsid w:val="20C20786"/>
    <w:rsid w:val="20D40C10"/>
    <w:rsid w:val="20F25F6B"/>
    <w:rsid w:val="21030387"/>
    <w:rsid w:val="210B3EDB"/>
    <w:rsid w:val="211858E0"/>
    <w:rsid w:val="213504BA"/>
    <w:rsid w:val="213571AA"/>
    <w:rsid w:val="213B74B1"/>
    <w:rsid w:val="21525EBF"/>
    <w:rsid w:val="215721B9"/>
    <w:rsid w:val="215A2310"/>
    <w:rsid w:val="21C97D7A"/>
    <w:rsid w:val="21DE318A"/>
    <w:rsid w:val="21EF5B80"/>
    <w:rsid w:val="21F060CC"/>
    <w:rsid w:val="21F157B0"/>
    <w:rsid w:val="21FD50E8"/>
    <w:rsid w:val="22054CF7"/>
    <w:rsid w:val="22166FE3"/>
    <w:rsid w:val="221C5DF2"/>
    <w:rsid w:val="22405B46"/>
    <w:rsid w:val="22576990"/>
    <w:rsid w:val="22692972"/>
    <w:rsid w:val="227B6E3E"/>
    <w:rsid w:val="229B303C"/>
    <w:rsid w:val="22BE6611"/>
    <w:rsid w:val="22D05B48"/>
    <w:rsid w:val="22E44DCB"/>
    <w:rsid w:val="22F47480"/>
    <w:rsid w:val="230A1A8F"/>
    <w:rsid w:val="230D217E"/>
    <w:rsid w:val="230E40E7"/>
    <w:rsid w:val="23120105"/>
    <w:rsid w:val="232261B6"/>
    <w:rsid w:val="235606BA"/>
    <w:rsid w:val="23564752"/>
    <w:rsid w:val="23696408"/>
    <w:rsid w:val="23726365"/>
    <w:rsid w:val="23746F7B"/>
    <w:rsid w:val="237959DC"/>
    <w:rsid w:val="237A70F6"/>
    <w:rsid w:val="237B3964"/>
    <w:rsid w:val="23867BE9"/>
    <w:rsid w:val="23A3664D"/>
    <w:rsid w:val="23DE1C48"/>
    <w:rsid w:val="23E660AE"/>
    <w:rsid w:val="23E83E17"/>
    <w:rsid w:val="23EB72B1"/>
    <w:rsid w:val="23EC35FA"/>
    <w:rsid w:val="23F17C4F"/>
    <w:rsid w:val="240210CD"/>
    <w:rsid w:val="2406091D"/>
    <w:rsid w:val="242D5F16"/>
    <w:rsid w:val="243A7142"/>
    <w:rsid w:val="244E6D15"/>
    <w:rsid w:val="244F260D"/>
    <w:rsid w:val="2453648C"/>
    <w:rsid w:val="24766CC6"/>
    <w:rsid w:val="24903952"/>
    <w:rsid w:val="24A22990"/>
    <w:rsid w:val="24BD5115"/>
    <w:rsid w:val="24BF09F7"/>
    <w:rsid w:val="24D871E6"/>
    <w:rsid w:val="24DE5462"/>
    <w:rsid w:val="2503788A"/>
    <w:rsid w:val="251315B0"/>
    <w:rsid w:val="252D53FE"/>
    <w:rsid w:val="25343ABC"/>
    <w:rsid w:val="25384C06"/>
    <w:rsid w:val="25490794"/>
    <w:rsid w:val="25496D80"/>
    <w:rsid w:val="25790273"/>
    <w:rsid w:val="25812B7C"/>
    <w:rsid w:val="25C34D40"/>
    <w:rsid w:val="25CC175F"/>
    <w:rsid w:val="25D839FD"/>
    <w:rsid w:val="25EC2D81"/>
    <w:rsid w:val="25ED39A3"/>
    <w:rsid w:val="25F66F07"/>
    <w:rsid w:val="25F96D8D"/>
    <w:rsid w:val="260A43BD"/>
    <w:rsid w:val="26120070"/>
    <w:rsid w:val="26176F9A"/>
    <w:rsid w:val="26217DC5"/>
    <w:rsid w:val="26273B2F"/>
    <w:rsid w:val="26467763"/>
    <w:rsid w:val="264D3888"/>
    <w:rsid w:val="2652435A"/>
    <w:rsid w:val="265804F9"/>
    <w:rsid w:val="265A5BA2"/>
    <w:rsid w:val="266F18D0"/>
    <w:rsid w:val="267D3C6C"/>
    <w:rsid w:val="26B9107C"/>
    <w:rsid w:val="26F56F53"/>
    <w:rsid w:val="26F66212"/>
    <w:rsid w:val="26FC392A"/>
    <w:rsid w:val="26FD42C6"/>
    <w:rsid w:val="270E7E69"/>
    <w:rsid w:val="27227FD8"/>
    <w:rsid w:val="27332CF9"/>
    <w:rsid w:val="27363334"/>
    <w:rsid w:val="27640AE5"/>
    <w:rsid w:val="27674EEA"/>
    <w:rsid w:val="277057A2"/>
    <w:rsid w:val="277F4AB0"/>
    <w:rsid w:val="27881509"/>
    <w:rsid w:val="278C389C"/>
    <w:rsid w:val="27B511A5"/>
    <w:rsid w:val="27C03141"/>
    <w:rsid w:val="27D45C2C"/>
    <w:rsid w:val="27E5768C"/>
    <w:rsid w:val="27EA402D"/>
    <w:rsid w:val="27EF6D5F"/>
    <w:rsid w:val="27F154AD"/>
    <w:rsid w:val="27F507CA"/>
    <w:rsid w:val="27F54F28"/>
    <w:rsid w:val="280335C6"/>
    <w:rsid w:val="2803474D"/>
    <w:rsid w:val="28215D92"/>
    <w:rsid w:val="28503020"/>
    <w:rsid w:val="28893937"/>
    <w:rsid w:val="2889395B"/>
    <w:rsid w:val="28986532"/>
    <w:rsid w:val="28BD52AF"/>
    <w:rsid w:val="290C6161"/>
    <w:rsid w:val="29135299"/>
    <w:rsid w:val="291C5607"/>
    <w:rsid w:val="29206EB8"/>
    <w:rsid w:val="292968F9"/>
    <w:rsid w:val="294E183C"/>
    <w:rsid w:val="29550D90"/>
    <w:rsid w:val="29595666"/>
    <w:rsid w:val="29624C73"/>
    <w:rsid w:val="2976772F"/>
    <w:rsid w:val="297A43F9"/>
    <w:rsid w:val="29874881"/>
    <w:rsid w:val="299364C9"/>
    <w:rsid w:val="29BC66ED"/>
    <w:rsid w:val="29D32BD5"/>
    <w:rsid w:val="29D628AB"/>
    <w:rsid w:val="29DA7ECF"/>
    <w:rsid w:val="29E325E0"/>
    <w:rsid w:val="2A005628"/>
    <w:rsid w:val="2A101D07"/>
    <w:rsid w:val="2A114D06"/>
    <w:rsid w:val="2A256489"/>
    <w:rsid w:val="2A35062C"/>
    <w:rsid w:val="2A3A138D"/>
    <w:rsid w:val="2A452503"/>
    <w:rsid w:val="2A796B7D"/>
    <w:rsid w:val="2A820FD6"/>
    <w:rsid w:val="2A9F0CCB"/>
    <w:rsid w:val="2ABB200C"/>
    <w:rsid w:val="2AC02700"/>
    <w:rsid w:val="2AE454C3"/>
    <w:rsid w:val="2AF73D85"/>
    <w:rsid w:val="2B104DD1"/>
    <w:rsid w:val="2B147E30"/>
    <w:rsid w:val="2B2B7AE6"/>
    <w:rsid w:val="2B345770"/>
    <w:rsid w:val="2B4D6C73"/>
    <w:rsid w:val="2B593A95"/>
    <w:rsid w:val="2BA76506"/>
    <w:rsid w:val="2BA936A8"/>
    <w:rsid w:val="2BB24DC5"/>
    <w:rsid w:val="2BBF2ED2"/>
    <w:rsid w:val="2BDB734F"/>
    <w:rsid w:val="2BE315B0"/>
    <w:rsid w:val="2BEC7E3B"/>
    <w:rsid w:val="2BF32844"/>
    <w:rsid w:val="2BFB4B4C"/>
    <w:rsid w:val="2C013648"/>
    <w:rsid w:val="2C0C0B07"/>
    <w:rsid w:val="2C2136F0"/>
    <w:rsid w:val="2C2E0A7D"/>
    <w:rsid w:val="2C315A5A"/>
    <w:rsid w:val="2C3B319A"/>
    <w:rsid w:val="2C3F7086"/>
    <w:rsid w:val="2C4604BD"/>
    <w:rsid w:val="2C49528C"/>
    <w:rsid w:val="2C4B1C25"/>
    <w:rsid w:val="2C6E3A09"/>
    <w:rsid w:val="2C741228"/>
    <w:rsid w:val="2C750DD9"/>
    <w:rsid w:val="2C772424"/>
    <w:rsid w:val="2C9A4365"/>
    <w:rsid w:val="2CA54848"/>
    <w:rsid w:val="2CA6713F"/>
    <w:rsid w:val="2CAA70E1"/>
    <w:rsid w:val="2CB3298B"/>
    <w:rsid w:val="2CC94C4A"/>
    <w:rsid w:val="2CCA541E"/>
    <w:rsid w:val="2CE83B55"/>
    <w:rsid w:val="2CEA76EF"/>
    <w:rsid w:val="2CEC4A39"/>
    <w:rsid w:val="2D0833B3"/>
    <w:rsid w:val="2D0B0083"/>
    <w:rsid w:val="2D245EB7"/>
    <w:rsid w:val="2D282586"/>
    <w:rsid w:val="2D4D3B60"/>
    <w:rsid w:val="2D825525"/>
    <w:rsid w:val="2D8C70C7"/>
    <w:rsid w:val="2D99461C"/>
    <w:rsid w:val="2D9E56F5"/>
    <w:rsid w:val="2DA16CBB"/>
    <w:rsid w:val="2DCA64C9"/>
    <w:rsid w:val="2DDD03B7"/>
    <w:rsid w:val="2DDD6BFF"/>
    <w:rsid w:val="2DEE0111"/>
    <w:rsid w:val="2DF73D32"/>
    <w:rsid w:val="2DF87595"/>
    <w:rsid w:val="2E0527A2"/>
    <w:rsid w:val="2E262354"/>
    <w:rsid w:val="2E3F0997"/>
    <w:rsid w:val="2E5561FD"/>
    <w:rsid w:val="2E667F96"/>
    <w:rsid w:val="2E81758A"/>
    <w:rsid w:val="2E8226AB"/>
    <w:rsid w:val="2E8B26F1"/>
    <w:rsid w:val="2E8D43D6"/>
    <w:rsid w:val="2E91707E"/>
    <w:rsid w:val="2EAD503C"/>
    <w:rsid w:val="2EAE5EA6"/>
    <w:rsid w:val="2ECF7C5D"/>
    <w:rsid w:val="2EDC683C"/>
    <w:rsid w:val="2EDF0755"/>
    <w:rsid w:val="2EE07091"/>
    <w:rsid w:val="2EEB004D"/>
    <w:rsid w:val="2F11556F"/>
    <w:rsid w:val="2F2148C9"/>
    <w:rsid w:val="2F300FB0"/>
    <w:rsid w:val="2F462579"/>
    <w:rsid w:val="2F487325"/>
    <w:rsid w:val="2F537022"/>
    <w:rsid w:val="2F662C24"/>
    <w:rsid w:val="2F803CE6"/>
    <w:rsid w:val="2FAA3CDA"/>
    <w:rsid w:val="2FC44FE2"/>
    <w:rsid w:val="2FC816D3"/>
    <w:rsid w:val="2FD065E6"/>
    <w:rsid w:val="2FD41AF9"/>
    <w:rsid w:val="2FD464D6"/>
    <w:rsid w:val="2FD96870"/>
    <w:rsid w:val="2FE146F9"/>
    <w:rsid w:val="2FF24BE6"/>
    <w:rsid w:val="30081567"/>
    <w:rsid w:val="30112B90"/>
    <w:rsid w:val="30244C3D"/>
    <w:rsid w:val="303A650F"/>
    <w:rsid w:val="304F36B8"/>
    <w:rsid w:val="30580BC9"/>
    <w:rsid w:val="3079144E"/>
    <w:rsid w:val="308F65C1"/>
    <w:rsid w:val="30943642"/>
    <w:rsid w:val="30A471AA"/>
    <w:rsid w:val="30AE1A8C"/>
    <w:rsid w:val="30B47F8C"/>
    <w:rsid w:val="30C85387"/>
    <w:rsid w:val="30D3310E"/>
    <w:rsid w:val="30D33D1D"/>
    <w:rsid w:val="30F30C9A"/>
    <w:rsid w:val="30FD766F"/>
    <w:rsid w:val="311E2ED7"/>
    <w:rsid w:val="31255F87"/>
    <w:rsid w:val="31323C9D"/>
    <w:rsid w:val="314308D2"/>
    <w:rsid w:val="315619EE"/>
    <w:rsid w:val="315C449C"/>
    <w:rsid w:val="317C3157"/>
    <w:rsid w:val="31921AAF"/>
    <w:rsid w:val="31B04C26"/>
    <w:rsid w:val="31B82709"/>
    <w:rsid w:val="31BA08EF"/>
    <w:rsid w:val="31BC12B6"/>
    <w:rsid w:val="31D05482"/>
    <w:rsid w:val="31EA18EB"/>
    <w:rsid w:val="32081D71"/>
    <w:rsid w:val="320E01DC"/>
    <w:rsid w:val="321275A0"/>
    <w:rsid w:val="32141876"/>
    <w:rsid w:val="321626E0"/>
    <w:rsid w:val="321E3342"/>
    <w:rsid w:val="32400B34"/>
    <w:rsid w:val="32586B3B"/>
    <w:rsid w:val="326571C3"/>
    <w:rsid w:val="32672F3B"/>
    <w:rsid w:val="327348A4"/>
    <w:rsid w:val="3291409C"/>
    <w:rsid w:val="32966601"/>
    <w:rsid w:val="329E6876"/>
    <w:rsid w:val="32AF0EA5"/>
    <w:rsid w:val="32BC38A9"/>
    <w:rsid w:val="32C13013"/>
    <w:rsid w:val="32D96EF3"/>
    <w:rsid w:val="32FC0FBD"/>
    <w:rsid w:val="331549A5"/>
    <w:rsid w:val="333015F2"/>
    <w:rsid w:val="334B6320"/>
    <w:rsid w:val="337D2302"/>
    <w:rsid w:val="33850EF2"/>
    <w:rsid w:val="338C6E17"/>
    <w:rsid w:val="33B6683A"/>
    <w:rsid w:val="33D934D4"/>
    <w:rsid w:val="33E54DB7"/>
    <w:rsid w:val="33E8669A"/>
    <w:rsid w:val="33F16F60"/>
    <w:rsid w:val="33FE2F6A"/>
    <w:rsid w:val="340E07E5"/>
    <w:rsid w:val="34235BF7"/>
    <w:rsid w:val="346E05B1"/>
    <w:rsid w:val="347F27BE"/>
    <w:rsid w:val="34AE6BFF"/>
    <w:rsid w:val="34CB2EBD"/>
    <w:rsid w:val="34D573A1"/>
    <w:rsid w:val="34E15227"/>
    <w:rsid w:val="34EC7728"/>
    <w:rsid w:val="353C06AF"/>
    <w:rsid w:val="35431CCA"/>
    <w:rsid w:val="354C01C6"/>
    <w:rsid w:val="355A3A9B"/>
    <w:rsid w:val="355D23D3"/>
    <w:rsid w:val="35630DFC"/>
    <w:rsid w:val="357522BC"/>
    <w:rsid w:val="358428AC"/>
    <w:rsid w:val="35843E04"/>
    <w:rsid w:val="358C5FA8"/>
    <w:rsid w:val="35AF55A2"/>
    <w:rsid w:val="35C15DF1"/>
    <w:rsid w:val="35CF482D"/>
    <w:rsid w:val="35F04FF6"/>
    <w:rsid w:val="35F46FD7"/>
    <w:rsid w:val="35F603F1"/>
    <w:rsid w:val="36074A7F"/>
    <w:rsid w:val="3614178D"/>
    <w:rsid w:val="36237179"/>
    <w:rsid w:val="36241417"/>
    <w:rsid w:val="362F3272"/>
    <w:rsid w:val="3641502C"/>
    <w:rsid w:val="364E4984"/>
    <w:rsid w:val="36603477"/>
    <w:rsid w:val="366C6D72"/>
    <w:rsid w:val="3673233C"/>
    <w:rsid w:val="367C2CC1"/>
    <w:rsid w:val="36923549"/>
    <w:rsid w:val="3693187C"/>
    <w:rsid w:val="36997BA6"/>
    <w:rsid w:val="36B75FBF"/>
    <w:rsid w:val="36BD0C45"/>
    <w:rsid w:val="36FB00F6"/>
    <w:rsid w:val="37004732"/>
    <w:rsid w:val="37101AAB"/>
    <w:rsid w:val="371B42F4"/>
    <w:rsid w:val="37211E2F"/>
    <w:rsid w:val="373527E2"/>
    <w:rsid w:val="37517D16"/>
    <w:rsid w:val="379C31AF"/>
    <w:rsid w:val="37A5040E"/>
    <w:rsid w:val="37CD3840"/>
    <w:rsid w:val="37D646EA"/>
    <w:rsid w:val="37E00298"/>
    <w:rsid w:val="380A3AA6"/>
    <w:rsid w:val="381063B1"/>
    <w:rsid w:val="3811408B"/>
    <w:rsid w:val="3830131A"/>
    <w:rsid w:val="38372745"/>
    <w:rsid w:val="383B5907"/>
    <w:rsid w:val="38424DE2"/>
    <w:rsid w:val="38437156"/>
    <w:rsid w:val="385F23EF"/>
    <w:rsid w:val="38AE3672"/>
    <w:rsid w:val="38B302F9"/>
    <w:rsid w:val="38C11791"/>
    <w:rsid w:val="38C31512"/>
    <w:rsid w:val="38E34AD8"/>
    <w:rsid w:val="38F12CD3"/>
    <w:rsid w:val="38F50F41"/>
    <w:rsid w:val="38F94775"/>
    <w:rsid w:val="390441B4"/>
    <w:rsid w:val="390A7CEF"/>
    <w:rsid w:val="391060DB"/>
    <w:rsid w:val="39131727"/>
    <w:rsid w:val="391F758F"/>
    <w:rsid w:val="392971ED"/>
    <w:rsid w:val="39325651"/>
    <w:rsid w:val="39452588"/>
    <w:rsid w:val="395123E3"/>
    <w:rsid w:val="395428E5"/>
    <w:rsid w:val="39615D49"/>
    <w:rsid w:val="39682C9F"/>
    <w:rsid w:val="396C6608"/>
    <w:rsid w:val="3973426B"/>
    <w:rsid w:val="3998745F"/>
    <w:rsid w:val="399B34CA"/>
    <w:rsid w:val="39AD5700"/>
    <w:rsid w:val="39B25AAC"/>
    <w:rsid w:val="39CC7C3B"/>
    <w:rsid w:val="39D23390"/>
    <w:rsid w:val="3A173499"/>
    <w:rsid w:val="3A1F1601"/>
    <w:rsid w:val="3A3A2CE3"/>
    <w:rsid w:val="3A6E356F"/>
    <w:rsid w:val="3A780230"/>
    <w:rsid w:val="3A7E59B3"/>
    <w:rsid w:val="3A872856"/>
    <w:rsid w:val="3A916DA7"/>
    <w:rsid w:val="3A9B7C26"/>
    <w:rsid w:val="3AB24F6F"/>
    <w:rsid w:val="3ACE1C71"/>
    <w:rsid w:val="3AD635B9"/>
    <w:rsid w:val="3AEC222F"/>
    <w:rsid w:val="3AFD72FA"/>
    <w:rsid w:val="3B232182"/>
    <w:rsid w:val="3B346569"/>
    <w:rsid w:val="3B3763D1"/>
    <w:rsid w:val="3B43343F"/>
    <w:rsid w:val="3B790864"/>
    <w:rsid w:val="3B8B6139"/>
    <w:rsid w:val="3B9041A1"/>
    <w:rsid w:val="3B9C1A70"/>
    <w:rsid w:val="3BBE2064"/>
    <w:rsid w:val="3BCC3E0F"/>
    <w:rsid w:val="3BE40B5C"/>
    <w:rsid w:val="3BEF42B0"/>
    <w:rsid w:val="3C2F4ACD"/>
    <w:rsid w:val="3C2F6E1E"/>
    <w:rsid w:val="3C4C18D2"/>
    <w:rsid w:val="3C4F64BA"/>
    <w:rsid w:val="3C6241E7"/>
    <w:rsid w:val="3C706D32"/>
    <w:rsid w:val="3C775710"/>
    <w:rsid w:val="3C791E9A"/>
    <w:rsid w:val="3C884A06"/>
    <w:rsid w:val="3CBB4EBE"/>
    <w:rsid w:val="3CBB7DAE"/>
    <w:rsid w:val="3CDA245A"/>
    <w:rsid w:val="3CE358B4"/>
    <w:rsid w:val="3CE4178D"/>
    <w:rsid w:val="3CF81902"/>
    <w:rsid w:val="3CF92405"/>
    <w:rsid w:val="3CFE624A"/>
    <w:rsid w:val="3D095ED2"/>
    <w:rsid w:val="3D0D26E6"/>
    <w:rsid w:val="3D195B84"/>
    <w:rsid w:val="3D1C2149"/>
    <w:rsid w:val="3D1E06B7"/>
    <w:rsid w:val="3D215A50"/>
    <w:rsid w:val="3D2F28A7"/>
    <w:rsid w:val="3D4520CB"/>
    <w:rsid w:val="3D6B76D5"/>
    <w:rsid w:val="3D8F6C90"/>
    <w:rsid w:val="3D9275CC"/>
    <w:rsid w:val="3D98205A"/>
    <w:rsid w:val="3DD845A2"/>
    <w:rsid w:val="3DF35CC4"/>
    <w:rsid w:val="3E09202B"/>
    <w:rsid w:val="3E16743A"/>
    <w:rsid w:val="3E3B1664"/>
    <w:rsid w:val="3E7A05F7"/>
    <w:rsid w:val="3E8D0A7D"/>
    <w:rsid w:val="3E9E1A93"/>
    <w:rsid w:val="3EDA0523"/>
    <w:rsid w:val="3F316DAB"/>
    <w:rsid w:val="3F3348D1"/>
    <w:rsid w:val="3F4F16E6"/>
    <w:rsid w:val="3F620576"/>
    <w:rsid w:val="3F6D1167"/>
    <w:rsid w:val="3F791C22"/>
    <w:rsid w:val="3F87489D"/>
    <w:rsid w:val="3F8C2233"/>
    <w:rsid w:val="3F8F2899"/>
    <w:rsid w:val="3F9F61A1"/>
    <w:rsid w:val="3FA402EA"/>
    <w:rsid w:val="3FF111DE"/>
    <w:rsid w:val="401B0F9E"/>
    <w:rsid w:val="401C1B87"/>
    <w:rsid w:val="40362E2E"/>
    <w:rsid w:val="404843AC"/>
    <w:rsid w:val="40523A5F"/>
    <w:rsid w:val="405D308E"/>
    <w:rsid w:val="406A27D9"/>
    <w:rsid w:val="407A6407"/>
    <w:rsid w:val="409D4C28"/>
    <w:rsid w:val="40BA2DB9"/>
    <w:rsid w:val="40CC7E52"/>
    <w:rsid w:val="40D676B4"/>
    <w:rsid w:val="40E3251D"/>
    <w:rsid w:val="40E75AD5"/>
    <w:rsid w:val="4114603C"/>
    <w:rsid w:val="411918A4"/>
    <w:rsid w:val="41401924"/>
    <w:rsid w:val="41422084"/>
    <w:rsid w:val="414C5D81"/>
    <w:rsid w:val="415475F9"/>
    <w:rsid w:val="41C23CEA"/>
    <w:rsid w:val="41D57B26"/>
    <w:rsid w:val="41D81760"/>
    <w:rsid w:val="41E067FC"/>
    <w:rsid w:val="41EC3663"/>
    <w:rsid w:val="41F30347"/>
    <w:rsid w:val="42002F43"/>
    <w:rsid w:val="4200449D"/>
    <w:rsid w:val="420F4A55"/>
    <w:rsid w:val="42134D03"/>
    <w:rsid w:val="421A33C1"/>
    <w:rsid w:val="423A3BCC"/>
    <w:rsid w:val="423F095A"/>
    <w:rsid w:val="424E57D2"/>
    <w:rsid w:val="425C11B3"/>
    <w:rsid w:val="425C4AE5"/>
    <w:rsid w:val="42807174"/>
    <w:rsid w:val="428257CC"/>
    <w:rsid w:val="428E62C2"/>
    <w:rsid w:val="42B26C49"/>
    <w:rsid w:val="42B70D74"/>
    <w:rsid w:val="42C13FA2"/>
    <w:rsid w:val="42E320C4"/>
    <w:rsid w:val="42F0276F"/>
    <w:rsid w:val="4308550E"/>
    <w:rsid w:val="433A6FE6"/>
    <w:rsid w:val="43480868"/>
    <w:rsid w:val="434C6385"/>
    <w:rsid w:val="4350713C"/>
    <w:rsid w:val="436653E0"/>
    <w:rsid w:val="437E62BA"/>
    <w:rsid w:val="43860D47"/>
    <w:rsid w:val="43A27185"/>
    <w:rsid w:val="43C4431A"/>
    <w:rsid w:val="43CA5F68"/>
    <w:rsid w:val="43D30A32"/>
    <w:rsid w:val="43EB6CEF"/>
    <w:rsid w:val="44050BA8"/>
    <w:rsid w:val="44054627"/>
    <w:rsid w:val="440E33C8"/>
    <w:rsid w:val="444E76B8"/>
    <w:rsid w:val="445A757A"/>
    <w:rsid w:val="449000D0"/>
    <w:rsid w:val="449148CA"/>
    <w:rsid w:val="44971D77"/>
    <w:rsid w:val="44AD4DE2"/>
    <w:rsid w:val="44B951CC"/>
    <w:rsid w:val="44BB7C10"/>
    <w:rsid w:val="44CD14E0"/>
    <w:rsid w:val="44E87F0C"/>
    <w:rsid w:val="44F1621F"/>
    <w:rsid w:val="44F20B0B"/>
    <w:rsid w:val="44F33748"/>
    <w:rsid w:val="452E5F4C"/>
    <w:rsid w:val="453171C5"/>
    <w:rsid w:val="45612018"/>
    <w:rsid w:val="45623C0E"/>
    <w:rsid w:val="45752C35"/>
    <w:rsid w:val="45796A8B"/>
    <w:rsid w:val="45860AB4"/>
    <w:rsid w:val="458946E9"/>
    <w:rsid w:val="45896AB0"/>
    <w:rsid w:val="458B7D2B"/>
    <w:rsid w:val="4591695C"/>
    <w:rsid w:val="459E57D7"/>
    <w:rsid w:val="45A174D8"/>
    <w:rsid w:val="45A47C0E"/>
    <w:rsid w:val="45BF449D"/>
    <w:rsid w:val="45D12A60"/>
    <w:rsid w:val="46071B0B"/>
    <w:rsid w:val="4631059A"/>
    <w:rsid w:val="463A35E5"/>
    <w:rsid w:val="46445615"/>
    <w:rsid w:val="464D7540"/>
    <w:rsid w:val="46577FD6"/>
    <w:rsid w:val="46627B45"/>
    <w:rsid w:val="46975587"/>
    <w:rsid w:val="46BE523C"/>
    <w:rsid w:val="46D225E9"/>
    <w:rsid w:val="46D955A7"/>
    <w:rsid w:val="46E42955"/>
    <w:rsid w:val="46F23687"/>
    <w:rsid w:val="470B1C8F"/>
    <w:rsid w:val="47133957"/>
    <w:rsid w:val="471D6033"/>
    <w:rsid w:val="473D304E"/>
    <w:rsid w:val="473D7C93"/>
    <w:rsid w:val="4740402F"/>
    <w:rsid w:val="474E6020"/>
    <w:rsid w:val="477261B2"/>
    <w:rsid w:val="47763EAA"/>
    <w:rsid w:val="4779309D"/>
    <w:rsid w:val="477D674C"/>
    <w:rsid w:val="4792415F"/>
    <w:rsid w:val="479F17D9"/>
    <w:rsid w:val="47A07E0C"/>
    <w:rsid w:val="47B972D2"/>
    <w:rsid w:val="47C06F1E"/>
    <w:rsid w:val="47D9517B"/>
    <w:rsid w:val="47E618F3"/>
    <w:rsid w:val="48126A4D"/>
    <w:rsid w:val="482617B1"/>
    <w:rsid w:val="484B27C1"/>
    <w:rsid w:val="48522DEE"/>
    <w:rsid w:val="485446D1"/>
    <w:rsid w:val="4870272E"/>
    <w:rsid w:val="487877F8"/>
    <w:rsid w:val="488312D8"/>
    <w:rsid w:val="48957877"/>
    <w:rsid w:val="48A87089"/>
    <w:rsid w:val="48AB3482"/>
    <w:rsid w:val="48C07DC7"/>
    <w:rsid w:val="48F40100"/>
    <w:rsid w:val="48FA57C3"/>
    <w:rsid w:val="4902502E"/>
    <w:rsid w:val="49044BE8"/>
    <w:rsid w:val="490B44F9"/>
    <w:rsid w:val="491913F0"/>
    <w:rsid w:val="49567232"/>
    <w:rsid w:val="495913D8"/>
    <w:rsid w:val="4959279C"/>
    <w:rsid w:val="495D254A"/>
    <w:rsid w:val="498521CD"/>
    <w:rsid w:val="499F0B6D"/>
    <w:rsid w:val="499F6145"/>
    <w:rsid w:val="49A43D53"/>
    <w:rsid w:val="49A64665"/>
    <w:rsid w:val="49AE31B1"/>
    <w:rsid w:val="49C7497F"/>
    <w:rsid w:val="49DC7715"/>
    <w:rsid w:val="49F10B4A"/>
    <w:rsid w:val="49FE5478"/>
    <w:rsid w:val="4A023139"/>
    <w:rsid w:val="4A0552A1"/>
    <w:rsid w:val="4A1271ED"/>
    <w:rsid w:val="4A1B607B"/>
    <w:rsid w:val="4A2D3EE0"/>
    <w:rsid w:val="4A453246"/>
    <w:rsid w:val="4A454085"/>
    <w:rsid w:val="4A6E7F88"/>
    <w:rsid w:val="4A703FE8"/>
    <w:rsid w:val="4A7B576F"/>
    <w:rsid w:val="4A9401EE"/>
    <w:rsid w:val="4AC16CB4"/>
    <w:rsid w:val="4AD470F3"/>
    <w:rsid w:val="4AEC21B4"/>
    <w:rsid w:val="4AF561A9"/>
    <w:rsid w:val="4AF931EE"/>
    <w:rsid w:val="4B0D06CC"/>
    <w:rsid w:val="4B11425C"/>
    <w:rsid w:val="4B1C3C13"/>
    <w:rsid w:val="4B266C57"/>
    <w:rsid w:val="4B4B7123"/>
    <w:rsid w:val="4B6252AD"/>
    <w:rsid w:val="4B637224"/>
    <w:rsid w:val="4B7532BD"/>
    <w:rsid w:val="4B8D35BB"/>
    <w:rsid w:val="4B9366F7"/>
    <w:rsid w:val="4B9C1A50"/>
    <w:rsid w:val="4BBC467C"/>
    <w:rsid w:val="4BDB4182"/>
    <w:rsid w:val="4BE37E70"/>
    <w:rsid w:val="4BF70535"/>
    <w:rsid w:val="4C1A13AB"/>
    <w:rsid w:val="4C4A0649"/>
    <w:rsid w:val="4C6E2F05"/>
    <w:rsid w:val="4C767EF9"/>
    <w:rsid w:val="4C7E5ECA"/>
    <w:rsid w:val="4C876AA5"/>
    <w:rsid w:val="4C8C0BFE"/>
    <w:rsid w:val="4C95377B"/>
    <w:rsid w:val="4CA37C91"/>
    <w:rsid w:val="4CBF4EF2"/>
    <w:rsid w:val="4CD31AF6"/>
    <w:rsid w:val="4D0E00FB"/>
    <w:rsid w:val="4D176606"/>
    <w:rsid w:val="4D1A0EB1"/>
    <w:rsid w:val="4D2460EC"/>
    <w:rsid w:val="4D5117AD"/>
    <w:rsid w:val="4D5F56A2"/>
    <w:rsid w:val="4D713868"/>
    <w:rsid w:val="4D94046D"/>
    <w:rsid w:val="4D9A74ED"/>
    <w:rsid w:val="4D9D560B"/>
    <w:rsid w:val="4DBC1F35"/>
    <w:rsid w:val="4DC61F9B"/>
    <w:rsid w:val="4DE17EB7"/>
    <w:rsid w:val="4DE44A70"/>
    <w:rsid w:val="4DEC4FB0"/>
    <w:rsid w:val="4E075D8A"/>
    <w:rsid w:val="4E0C49E3"/>
    <w:rsid w:val="4E0D2791"/>
    <w:rsid w:val="4E1B09B4"/>
    <w:rsid w:val="4E2704BB"/>
    <w:rsid w:val="4E3E294A"/>
    <w:rsid w:val="4E4A5ACC"/>
    <w:rsid w:val="4E4F11AE"/>
    <w:rsid w:val="4E6A7F72"/>
    <w:rsid w:val="4E8D38D2"/>
    <w:rsid w:val="4EA2381F"/>
    <w:rsid w:val="4EBF53E4"/>
    <w:rsid w:val="4EC00FAD"/>
    <w:rsid w:val="4EC55108"/>
    <w:rsid w:val="4ED2492C"/>
    <w:rsid w:val="4EE2777A"/>
    <w:rsid w:val="4F1736AA"/>
    <w:rsid w:val="4F22226C"/>
    <w:rsid w:val="4F426636"/>
    <w:rsid w:val="4F471CD3"/>
    <w:rsid w:val="4F635CE8"/>
    <w:rsid w:val="4F9843DC"/>
    <w:rsid w:val="4FB01626"/>
    <w:rsid w:val="4FB01628"/>
    <w:rsid w:val="4FC62A8C"/>
    <w:rsid w:val="4FCA2016"/>
    <w:rsid w:val="4FCC3F86"/>
    <w:rsid w:val="4FCF4E7E"/>
    <w:rsid w:val="4FE20F0D"/>
    <w:rsid w:val="4FE51552"/>
    <w:rsid w:val="4FF43C08"/>
    <w:rsid w:val="50006F99"/>
    <w:rsid w:val="500139CA"/>
    <w:rsid w:val="50211E0E"/>
    <w:rsid w:val="50447FC0"/>
    <w:rsid w:val="50504C4B"/>
    <w:rsid w:val="5051142D"/>
    <w:rsid w:val="506F6E5B"/>
    <w:rsid w:val="50715259"/>
    <w:rsid w:val="509C6E7C"/>
    <w:rsid w:val="50B43398"/>
    <w:rsid w:val="50B909AE"/>
    <w:rsid w:val="50BD049E"/>
    <w:rsid w:val="50C575B7"/>
    <w:rsid w:val="50E27F05"/>
    <w:rsid w:val="510864F4"/>
    <w:rsid w:val="510C35E0"/>
    <w:rsid w:val="5113341C"/>
    <w:rsid w:val="5115591D"/>
    <w:rsid w:val="51176BB7"/>
    <w:rsid w:val="512155F0"/>
    <w:rsid w:val="51295319"/>
    <w:rsid w:val="51333B62"/>
    <w:rsid w:val="5162104E"/>
    <w:rsid w:val="5168381A"/>
    <w:rsid w:val="516C289D"/>
    <w:rsid w:val="51752B27"/>
    <w:rsid w:val="51C32400"/>
    <w:rsid w:val="51FD2B1C"/>
    <w:rsid w:val="5214043A"/>
    <w:rsid w:val="52222D9E"/>
    <w:rsid w:val="522B1438"/>
    <w:rsid w:val="524D4648"/>
    <w:rsid w:val="52520654"/>
    <w:rsid w:val="527B181E"/>
    <w:rsid w:val="52A27E93"/>
    <w:rsid w:val="52AD27DA"/>
    <w:rsid w:val="52C14F6D"/>
    <w:rsid w:val="52EF06B7"/>
    <w:rsid w:val="530C7FAD"/>
    <w:rsid w:val="53261812"/>
    <w:rsid w:val="534F6444"/>
    <w:rsid w:val="536C7C1E"/>
    <w:rsid w:val="537C6387"/>
    <w:rsid w:val="5387419B"/>
    <w:rsid w:val="53A039CC"/>
    <w:rsid w:val="53A1505A"/>
    <w:rsid w:val="53BA2CC4"/>
    <w:rsid w:val="53BD2563"/>
    <w:rsid w:val="53C67485"/>
    <w:rsid w:val="53CF27C9"/>
    <w:rsid w:val="540548DE"/>
    <w:rsid w:val="54062925"/>
    <w:rsid w:val="54063E08"/>
    <w:rsid w:val="542A140D"/>
    <w:rsid w:val="543437E8"/>
    <w:rsid w:val="54585C2E"/>
    <w:rsid w:val="54624B91"/>
    <w:rsid w:val="547513F6"/>
    <w:rsid w:val="547F5A6B"/>
    <w:rsid w:val="54851A7F"/>
    <w:rsid w:val="54880DC3"/>
    <w:rsid w:val="54AB7EB4"/>
    <w:rsid w:val="54B74C14"/>
    <w:rsid w:val="54BE6593"/>
    <w:rsid w:val="54DA4918"/>
    <w:rsid w:val="54F73313"/>
    <w:rsid w:val="54F80955"/>
    <w:rsid w:val="54F868B5"/>
    <w:rsid w:val="550B01C3"/>
    <w:rsid w:val="551560C9"/>
    <w:rsid w:val="551911C1"/>
    <w:rsid w:val="552738E4"/>
    <w:rsid w:val="552E6137"/>
    <w:rsid w:val="553D758D"/>
    <w:rsid w:val="554D4434"/>
    <w:rsid w:val="555170A7"/>
    <w:rsid w:val="555823FD"/>
    <w:rsid w:val="55674E7D"/>
    <w:rsid w:val="55823A64"/>
    <w:rsid w:val="5587536D"/>
    <w:rsid w:val="559528AB"/>
    <w:rsid w:val="559B174B"/>
    <w:rsid w:val="55CE0CF4"/>
    <w:rsid w:val="55DA73FC"/>
    <w:rsid w:val="55E62390"/>
    <w:rsid w:val="56064695"/>
    <w:rsid w:val="561511D8"/>
    <w:rsid w:val="56187F25"/>
    <w:rsid w:val="561A1FD7"/>
    <w:rsid w:val="561F4B60"/>
    <w:rsid w:val="563625F4"/>
    <w:rsid w:val="56394843"/>
    <w:rsid w:val="564248FE"/>
    <w:rsid w:val="56447B3C"/>
    <w:rsid w:val="56574EF1"/>
    <w:rsid w:val="56580248"/>
    <w:rsid w:val="56815ACA"/>
    <w:rsid w:val="568367B8"/>
    <w:rsid w:val="569357FD"/>
    <w:rsid w:val="56996F60"/>
    <w:rsid w:val="56AF6ADB"/>
    <w:rsid w:val="56B22A9C"/>
    <w:rsid w:val="56BE0ACC"/>
    <w:rsid w:val="56C56137"/>
    <w:rsid w:val="56C836F9"/>
    <w:rsid w:val="56F02C50"/>
    <w:rsid w:val="57153F5A"/>
    <w:rsid w:val="573F4218"/>
    <w:rsid w:val="57494D92"/>
    <w:rsid w:val="57572CCF"/>
    <w:rsid w:val="57623B4D"/>
    <w:rsid w:val="57635F05"/>
    <w:rsid w:val="57760ECE"/>
    <w:rsid w:val="57A37CC2"/>
    <w:rsid w:val="57B72A76"/>
    <w:rsid w:val="57C00874"/>
    <w:rsid w:val="57C3426C"/>
    <w:rsid w:val="57CE1F93"/>
    <w:rsid w:val="57EA42D0"/>
    <w:rsid w:val="5803005A"/>
    <w:rsid w:val="581C4118"/>
    <w:rsid w:val="58233794"/>
    <w:rsid w:val="58360B36"/>
    <w:rsid w:val="583856AF"/>
    <w:rsid w:val="584410E0"/>
    <w:rsid w:val="584414A5"/>
    <w:rsid w:val="584D407C"/>
    <w:rsid w:val="58586ADD"/>
    <w:rsid w:val="586109A0"/>
    <w:rsid w:val="58782A71"/>
    <w:rsid w:val="587933EA"/>
    <w:rsid w:val="587F428B"/>
    <w:rsid w:val="58872539"/>
    <w:rsid w:val="588743D1"/>
    <w:rsid w:val="58874BEE"/>
    <w:rsid w:val="5887701A"/>
    <w:rsid w:val="589A7317"/>
    <w:rsid w:val="58B06B3A"/>
    <w:rsid w:val="58D93765"/>
    <w:rsid w:val="58DF5F0C"/>
    <w:rsid w:val="58E94F67"/>
    <w:rsid w:val="58EF1411"/>
    <w:rsid w:val="591B0458"/>
    <w:rsid w:val="592F33DF"/>
    <w:rsid w:val="593133A3"/>
    <w:rsid w:val="5937543C"/>
    <w:rsid w:val="594526FD"/>
    <w:rsid w:val="594C1EFB"/>
    <w:rsid w:val="59512B66"/>
    <w:rsid w:val="596D2F3F"/>
    <w:rsid w:val="59C0439F"/>
    <w:rsid w:val="59C71EFF"/>
    <w:rsid w:val="59CD1F4C"/>
    <w:rsid w:val="59EE2F1B"/>
    <w:rsid w:val="5A1E6CD2"/>
    <w:rsid w:val="5A4D4013"/>
    <w:rsid w:val="5A6021E6"/>
    <w:rsid w:val="5A6951F3"/>
    <w:rsid w:val="5A8010FC"/>
    <w:rsid w:val="5A856418"/>
    <w:rsid w:val="5AA52929"/>
    <w:rsid w:val="5AAC6D3A"/>
    <w:rsid w:val="5ABE2233"/>
    <w:rsid w:val="5AE61224"/>
    <w:rsid w:val="5AEB4783"/>
    <w:rsid w:val="5AFA22EF"/>
    <w:rsid w:val="5B04626D"/>
    <w:rsid w:val="5B0D110B"/>
    <w:rsid w:val="5B206281"/>
    <w:rsid w:val="5B687259"/>
    <w:rsid w:val="5B6C6C25"/>
    <w:rsid w:val="5B6D017F"/>
    <w:rsid w:val="5B7F7288"/>
    <w:rsid w:val="5B904E39"/>
    <w:rsid w:val="5B911D15"/>
    <w:rsid w:val="5B9D7D25"/>
    <w:rsid w:val="5BB86614"/>
    <w:rsid w:val="5BBB4441"/>
    <w:rsid w:val="5BCF31F5"/>
    <w:rsid w:val="5BDC53C8"/>
    <w:rsid w:val="5BDF5D95"/>
    <w:rsid w:val="5BE10DB9"/>
    <w:rsid w:val="5BE13282"/>
    <w:rsid w:val="5BE37E3B"/>
    <w:rsid w:val="5BED16FB"/>
    <w:rsid w:val="5BEE2CF8"/>
    <w:rsid w:val="5BFE7528"/>
    <w:rsid w:val="5C083CBB"/>
    <w:rsid w:val="5C21192F"/>
    <w:rsid w:val="5C5E3851"/>
    <w:rsid w:val="5C690491"/>
    <w:rsid w:val="5C8D37C7"/>
    <w:rsid w:val="5CA14256"/>
    <w:rsid w:val="5CE62B2B"/>
    <w:rsid w:val="5CFC749F"/>
    <w:rsid w:val="5D1606C3"/>
    <w:rsid w:val="5D1C109D"/>
    <w:rsid w:val="5D2D075A"/>
    <w:rsid w:val="5D35683B"/>
    <w:rsid w:val="5D487342"/>
    <w:rsid w:val="5D5553A3"/>
    <w:rsid w:val="5D7D733E"/>
    <w:rsid w:val="5D7E3CEF"/>
    <w:rsid w:val="5D8556D0"/>
    <w:rsid w:val="5D9562FF"/>
    <w:rsid w:val="5D984ACD"/>
    <w:rsid w:val="5D9D673B"/>
    <w:rsid w:val="5DA91F5E"/>
    <w:rsid w:val="5DB8110A"/>
    <w:rsid w:val="5DBB6A07"/>
    <w:rsid w:val="5DC34650"/>
    <w:rsid w:val="5DC73E77"/>
    <w:rsid w:val="5E113F2D"/>
    <w:rsid w:val="5E2467F1"/>
    <w:rsid w:val="5E2C24BE"/>
    <w:rsid w:val="5E4552CE"/>
    <w:rsid w:val="5E473F98"/>
    <w:rsid w:val="5E79352B"/>
    <w:rsid w:val="5E88248C"/>
    <w:rsid w:val="5EAE28FC"/>
    <w:rsid w:val="5EB16250"/>
    <w:rsid w:val="5EB34C8F"/>
    <w:rsid w:val="5EC56AB8"/>
    <w:rsid w:val="5EC57DB8"/>
    <w:rsid w:val="5ED74E21"/>
    <w:rsid w:val="5EE73A31"/>
    <w:rsid w:val="5EF763DA"/>
    <w:rsid w:val="5EFC4888"/>
    <w:rsid w:val="5F0B0627"/>
    <w:rsid w:val="5F103E8F"/>
    <w:rsid w:val="5F1A2B43"/>
    <w:rsid w:val="5F2600D6"/>
    <w:rsid w:val="5F2D3C78"/>
    <w:rsid w:val="5F406240"/>
    <w:rsid w:val="5F5E40ED"/>
    <w:rsid w:val="5F605781"/>
    <w:rsid w:val="5F700704"/>
    <w:rsid w:val="5F74443A"/>
    <w:rsid w:val="5F771FB3"/>
    <w:rsid w:val="5F90015F"/>
    <w:rsid w:val="5F925C5F"/>
    <w:rsid w:val="5FA61EA9"/>
    <w:rsid w:val="5FA840C8"/>
    <w:rsid w:val="5FAE5456"/>
    <w:rsid w:val="5FB837BB"/>
    <w:rsid w:val="5FCE0FA6"/>
    <w:rsid w:val="5FD21144"/>
    <w:rsid w:val="5FD3044A"/>
    <w:rsid w:val="5FD36F84"/>
    <w:rsid w:val="5FDD2886"/>
    <w:rsid w:val="60150BD4"/>
    <w:rsid w:val="601E25DC"/>
    <w:rsid w:val="604858AA"/>
    <w:rsid w:val="606965CF"/>
    <w:rsid w:val="606D60B4"/>
    <w:rsid w:val="606F4BE5"/>
    <w:rsid w:val="607F321E"/>
    <w:rsid w:val="60806DF2"/>
    <w:rsid w:val="60812FAE"/>
    <w:rsid w:val="609D79A4"/>
    <w:rsid w:val="60A05D63"/>
    <w:rsid w:val="60AB6F92"/>
    <w:rsid w:val="60B62419"/>
    <w:rsid w:val="60BB50E0"/>
    <w:rsid w:val="60BD0047"/>
    <w:rsid w:val="60CC405A"/>
    <w:rsid w:val="60E455D3"/>
    <w:rsid w:val="60EC4034"/>
    <w:rsid w:val="60EE640C"/>
    <w:rsid w:val="61120392"/>
    <w:rsid w:val="613E6964"/>
    <w:rsid w:val="613F0F94"/>
    <w:rsid w:val="61451719"/>
    <w:rsid w:val="616B7AA3"/>
    <w:rsid w:val="616D517F"/>
    <w:rsid w:val="617526CF"/>
    <w:rsid w:val="619206DD"/>
    <w:rsid w:val="61972646"/>
    <w:rsid w:val="619F05DB"/>
    <w:rsid w:val="61C04167"/>
    <w:rsid w:val="61CA2A1B"/>
    <w:rsid w:val="61CE5911"/>
    <w:rsid w:val="61DF5D9B"/>
    <w:rsid w:val="61E215D8"/>
    <w:rsid w:val="61F37131"/>
    <w:rsid w:val="61F411A7"/>
    <w:rsid w:val="6218254A"/>
    <w:rsid w:val="621B3775"/>
    <w:rsid w:val="621F3247"/>
    <w:rsid w:val="62293A4C"/>
    <w:rsid w:val="62364782"/>
    <w:rsid w:val="62456F59"/>
    <w:rsid w:val="62944598"/>
    <w:rsid w:val="62A8367A"/>
    <w:rsid w:val="62BE4E10"/>
    <w:rsid w:val="62CA4840"/>
    <w:rsid w:val="62CD5A06"/>
    <w:rsid w:val="62E01DCA"/>
    <w:rsid w:val="63043D0B"/>
    <w:rsid w:val="631752CA"/>
    <w:rsid w:val="632B69BC"/>
    <w:rsid w:val="633A5466"/>
    <w:rsid w:val="63533AD6"/>
    <w:rsid w:val="63623C96"/>
    <w:rsid w:val="63665B9D"/>
    <w:rsid w:val="63695FDF"/>
    <w:rsid w:val="63756A6A"/>
    <w:rsid w:val="637E64C5"/>
    <w:rsid w:val="63824E5B"/>
    <w:rsid w:val="638325F5"/>
    <w:rsid w:val="63931555"/>
    <w:rsid w:val="6394356A"/>
    <w:rsid w:val="63C61B2C"/>
    <w:rsid w:val="63CA0336"/>
    <w:rsid w:val="63D40BE9"/>
    <w:rsid w:val="63D4210A"/>
    <w:rsid w:val="63ED6D66"/>
    <w:rsid w:val="64102431"/>
    <w:rsid w:val="64102C85"/>
    <w:rsid w:val="6418329F"/>
    <w:rsid w:val="642808EA"/>
    <w:rsid w:val="64535A99"/>
    <w:rsid w:val="645C296C"/>
    <w:rsid w:val="646E4B6B"/>
    <w:rsid w:val="64700229"/>
    <w:rsid w:val="64915A72"/>
    <w:rsid w:val="64A5243A"/>
    <w:rsid w:val="64AD03D2"/>
    <w:rsid w:val="64B84329"/>
    <w:rsid w:val="64C84327"/>
    <w:rsid w:val="64D9797F"/>
    <w:rsid w:val="64F46001"/>
    <w:rsid w:val="64F47DAF"/>
    <w:rsid w:val="64F531DE"/>
    <w:rsid w:val="650D2C1F"/>
    <w:rsid w:val="65182897"/>
    <w:rsid w:val="65273CE0"/>
    <w:rsid w:val="65373578"/>
    <w:rsid w:val="65376450"/>
    <w:rsid w:val="653E102A"/>
    <w:rsid w:val="654E74BF"/>
    <w:rsid w:val="655223F0"/>
    <w:rsid w:val="65576BCD"/>
    <w:rsid w:val="659C39B1"/>
    <w:rsid w:val="65DD6A95"/>
    <w:rsid w:val="65E27C0D"/>
    <w:rsid w:val="660D6249"/>
    <w:rsid w:val="66342B59"/>
    <w:rsid w:val="663F4013"/>
    <w:rsid w:val="66620529"/>
    <w:rsid w:val="66654F32"/>
    <w:rsid w:val="669F4E8A"/>
    <w:rsid w:val="66AA6977"/>
    <w:rsid w:val="66AB4640"/>
    <w:rsid w:val="66C57C55"/>
    <w:rsid w:val="66C80DF2"/>
    <w:rsid w:val="66D83985"/>
    <w:rsid w:val="66E65143"/>
    <w:rsid w:val="66E70C4B"/>
    <w:rsid w:val="66F340DD"/>
    <w:rsid w:val="66F73097"/>
    <w:rsid w:val="671F124A"/>
    <w:rsid w:val="673A686D"/>
    <w:rsid w:val="67574343"/>
    <w:rsid w:val="677A33C6"/>
    <w:rsid w:val="67813030"/>
    <w:rsid w:val="67944914"/>
    <w:rsid w:val="67980A2A"/>
    <w:rsid w:val="67B05D79"/>
    <w:rsid w:val="67BB6975"/>
    <w:rsid w:val="67C14246"/>
    <w:rsid w:val="67C75CCC"/>
    <w:rsid w:val="680447AD"/>
    <w:rsid w:val="681F6961"/>
    <w:rsid w:val="68280E74"/>
    <w:rsid w:val="683C1DB5"/>
    <w:rsid w:val="68610A2F"/>
    <w:rsid w:val="686A6C2F"/>
    <w:rsid w:val="686C0D85"/>
    <w:rsid w:val="68805514"/>
    <w:rsid w:val="6898013F"/>
    <w:rsid w:val="68B13471"/>
    <w:rsid w:val="68C74E2D"/>
    <w:rsid w:val="68E359E7"/>
    <w:rsid w:val="68FF2D37"/>
    <w:rsid w:val="690042D1"/>
    <w:rsid w:val="69111E2C"/>
    <w:rsid w:val="692218F8"/>
    <w:rsid w:val="692A5054"/>
    <w:rsid w:val="692E2278"/>
    <w:rsid w:val="69316E2F"/>
    <w:rsid w:val="693D18D4"/>
    <w:rsid w:val="69495BE1"/>
    <w:rsid w:val="694E2071"/>
    <w:rsid w:val="69521DAE"/>
    <w:rsid w:val="69683DEC"/>
    <w:rsid w:val="696E0130"/>
    <w:rsid w:val="69766163"/>
    <w:rsid w:val="697A3B33"/>
    <w:rsid w:val="69830923"/>
    <w:rsid w:val="69855891"/>
    <w:rsid w:val="69AB37C4"/>
    <w:rsid w:val="69B228F7"/>
    <w:rsid w:val="69CA5566"/>
    <w:rsid w:val="69D44760"/>
    <w:rsid w:val="69DE4350"/>
    <w:rsid w:val="69F50851"/>
    <w:rsid w:val="6A07169C"/>
    <w:rsid w:val="6A340684"/>
    <w:rsid w:val="6A3D668A"/>
    <w:rsid w:val="6A520EC7"/>
    <w:rsid w:val="6A54493C"/>
    <w:rsid w:val="6A8F64E9"/>
    <w:rsid w:val="6A9652C1"/>
    <w:rsid w:val="6A967EED"/>
    <w:rsid w:val="6A972D17"/>
    <w:rsid w:val="6A9D2281"/>
    <w:rsid w:val="6AB44268"/>
    <w:rsid w:val="6AB500CF"/>
    <w:rsid w:val="6AC904BD"/>
    <w:rsid w:val="6AD02EF0"/>
    <w:rsid w:val="6ADA00FB"/>
    <w:rsid w:val="6ADA5212"/>
    <w:rsid w:val="6AF103A0"/>
    <w:rsid w:val="6AF87E20"/>
    <w:rsid w:val="6AFB5005"/>
    <w:rsid w:val="6B0A20DA"/>
    <w:rsid w:val="6B322639"/>
    <w:rsid w:val="6B3B681F"/>
    <w:rsid w:val="6B475D26"/>
    <w:rsid w:val="6B581098"/>
    <w:rsid w:val="6B5A3EA1"/>
    <w:rsid w:val="6B6C00C0"/>
    <w:rsid w:val="6B7B1AB7"/>
    <w:rsid w:val="6B884050"/>
    <w:rsid w:val="6BA16EB3"/>
    <w:rsid w:val="6BB05FC8"/>
    <w:rsid w:val="6BB51331"/>
    <w:rsid w:val="6BB64A11"/>
    <w:rsid w:val="6C060C69"/>
    <w:rsid w:val="6C10781A"/>
    <w:rsid w:val="6C1C513B"/>
    <w:rsid w:val="6C3977E1"/>
    <w:rsid w:val="6C40626B"/>
    <w:rsid w:val="6C5D4E58"/>
    <w:rsid w:val="6C636C38"/>
    <w:rsid w:val="6C721197"/>
    <w:rsid w:val="6C77331D"/>
    <w:rsid w:val="6CA2657E"/>
    <w:rsid w:val="6CBA7B30"/>
    <w:rsid w:val="6CBB1BC1"/>
    <w:rsid w:val="6CC75394"/>
    <w:rsid w:val="6CDF30F3"/>
    <w:rsid w:val="6CFA64F6"/>
    <w:rsid w:val="6D024268"/>
    <w:rsid w:val="6D060EC7"/>
    <w:rsid w:val="6D6B009C"/>
    <w:rsid w:val="6D72394D"/>
    <w:rsid w:val="6D7A68DC"/>
    <w:rsid w:val="6D923495"/>
    <w:rsid w:val="6DA54742"/>
    <w:rsid w:val="6DA661D3"/>
    <w:rsid w:val="6DA878D6"/>
    <w:rsid w:val="6DAA3701"/>
    <w:rsid w:val="6DB34098"/>
    <w:rsid w:val="6DB545B6"/>
    <w:rsid w:val="6DE02FB4"/>
    <w:rsid w:val="6DF517F1"/>
    <w:rsid w:val="6DF80860"/>
    <w:rsid w:val="6DFF6FEB"/>
    <w:rsid w:val="6E0E5A3E"/>
    <w:rsid w:val="6E4F1EFF"/>
    <w:rsid w:val="6E514CED"/>
    <w:rsid w:val="6E535B46"/>
    <w:rsid w:val="6E5B08A7"/>
    <w:rsid w:val="6E680F11"/>
    <w:rsid w:val="6E777A87"/>
    <w:rsid w:val="6EA90D68"/>
    <w:rsid w:val="6EB563D5"/>
    <w:rsid w:val="6ED565D5"/>
    <w:rsid w:val="6ED92677"/>
    <w:rsid w:val="6EE113A4"/>
    <w:rsid w:val="6EE54848"/>
    <w:rsid w:val="6EE77E7D"/>
    <w:rsid w:val="6EEB37E0"/>
    <w:rsid w:val="6EED1AF7"/>
    <w:rsid w:val="6F001311"/>
    <w:rsid w:val="6F1A27FB"/>
    <w:rsid w:val="6F206165"/>
    <w:rsid w:val="6F225983"/>
    <w:rsid w:val="6F314BA5"/>
    <w:rsid w:val="6F670488"/>
    <w:rsid w:val="6F6E0C98"/>
    <w:rsid w:val="6F9C3578"/>
    <w:rsid w:val="6FA06B69"/>
    <w:rsid w:val="6FC838FC"/>
    <w:rsid w:val="6FDE68AE"/>
    <w:rsid w:val="6FFA6132"/>
    <w:rsid w:val="6FFC5590"/>
    <w:rsid w:val="70057AB8"/>
    <w:rsid w:val="7016469B"/>
    <w:rsid w:val="701F5F3F"/>
    <w:rsid w:val="702A443E"/>
    <w:rsid w:val="702D6E7D"/>
    <w:rsid w:val="703630BC"/>
    <w:rsid w:val="7036748D"/>
    <w:rsid w:val="704003D9"/>
    <w:rsid w:val="706B71A3"/>
    <w:rsid w:val="706D1DD0"/>
    <w:rsid w:val="70785D38"/>
    <w:rsid w:val="7079557E"/>
    <w:rsid w:val="70856B87"/>
    <w:rsid w:val="708C3FEE"/>
    <w:rsid w:val="708C533F"/>
    <w:rsid w:val="7096159E"/>
    <w:rsid w:val="70AA563F"/>
    <w:rsid w:val="70C77E59"/>
    <w:rsid w:val="70D527EE"/>
    <w:rsid w:val="70DE2E58"/>
    <w:rsid w:val="70E67980"/>
    <w:rsid w:val="70E86AD4"/>
    <w:rsid w:val="70E936C8"/>
    <w:rsid w:val="70FF2DCA"/>
    <w:rsid w:val="711041C2"/>
    <w:rsid w:val="71424DB0"/>
    <w:rsid w:val="714E7255"/>
    <w:rsid w:val="714F5473"/>
    <w:rsid w:val="71554B8E"/>
    <w:rsid w:val="7155560C"/>
    <w:rsid w:val="715B5300"/>
    <w:rsid w:val="71631F45"/>
    <w:rsid w:val="719A423E"/>
    <w:rsid w:val="71A36DE5"/>
    <w:rsid w:val="71AC406A"/>
    <w:rsid w:val="71AD6A87"/>
    <w:rsid w:val="71AF2DF4"/>
    <w:rsid w:val="71B23549"/>
    <w:rsid w:val="71BF79A5"/>
    <w:rsid w:val="71D27F8A"/>
    <w:rsid w:val="71E56CF2"/>
    <w:rsid w:val="71EF552E"/>
    <w:rsid w:val="71F15DA2"/>
    <w:rsid w:val="71F80EDE"/>
    <w:rsid w:val="72083936"/>
    <w:rsid w:val="72236F2D"/>
    <w:rsid w:val="722515A8"/>
    <w:rsid w:val="722A4E10"/>
    <w:rsid w:val="72553024"/>
    <w:rsid w:val="725B146D"/>
    <w:rsid w:val="727B1163"/>
    <w:rsid w:val="727C2B53"/>
    <w:rsid w:val="72822E9E"/>
    <w:rsid w:val="729C651A"/>
    <w:rsid w:val="72CB2074"/>
    <w:rsid w:val="72D059B7"/>
    <w:rsid w:val="72D7317B"/>
    <w:rsid w:val="730353CE"/>
    <w:rsid w:val="73122968"/>
    <w:rsid w:val="731F5D5E"/>
    <w:rsid w:val="73203C77"/>
    <w:rsid w:val="7343262D"/>
    <w:rsid w:val="734B217A"/>
    <w:rsid w:val="73766D20"/>
    <w:rsid w:val="73774085"/>
    <w:rsid w:val="73A1555E"/>
    <w:rsid w:val="73A56E44"/>
    <w:rsid w:val="73A66710"/>
    <w:rsid w:val="73B16E5C"/>
    <w:rsid w:val="73C51AD5"/>
    <w:rsid w:val="73C9540C"/>
    <w:rsid w:val="73D83BE1"/>
    <w:rsid w:val="73DB23A9"/>
    <w:rsid w:val="7400407A"/>
    <w:rsid w:val="741E793C"/>
    <w:rsid w:val="74237D69"/>
    <w:rsid w:val="74281823"/>
    <w:rsid w:val="74296511"/>
    <w:rsid w:val="742C30C1"/>
    <w:rsid w:val="74381A66"/>
    <w:rsid w:val="74402CEE"/>
    <w:rsid w:val="745E3944"/>
    <w:rsid w:val="746A3BEA"/>
    <w:rsid w:val="747B1953"/>
    <w:rsid w:val="749F7D37"/>
    <w:rsid w:val="74AE3AD6"/>
    <w:rsid w:val="74B157D7"/>
    <w:rsid w:val="74CD776B"/>
    <w:rsid w:val="74F10A91"/>
    <w:rsid w:val="751D2A0A"/>
    <w:rsid w:val="7521568D"/>
    <w:rsid w:val="752D7368"/>
    <w:rsid w:val="755503F6"/>
    <w:rsid w:val="75587EE6"/>
    <w:rsid w:val="756039C1"/>
    <w:rsid w:val="75682667"/>
    <w:rsid w:val="757209CF"/>
    <w:rsid w:val="757B56C2"/>
    <w:rsid w:val="757D0B6E"/>
    <w:rsid w:val="757F5473"/>
    <w:rsid w:val="75A31161"/>
    <w:rsid w:val="75AD6F6F"/>
    <w:rsid w:val="75B23A9A"/>
    <w:rsid w:val="75B83D28"/>
    <w:rsid w:val="75BF7F65"/>
    <w:rsid w:val="75FE283B"/>
    <w:rsid w:val="7635099D"/>
    <w:rsid w:val="76454878"/>
    <w:rsid w:val="76517B15"/>
    <w:rsid w:val="76641723"/>
    <w:rsid w:val="76737E9C"/>
    <w:rsid w:val="769C07B3"/>
    <w:rsid w:val="769F76C9"/>
    <w:rsid w:val="76AA31C5"/>
    <w:rsid w:val="76AB27E7"/>
    <w:rsid w:val="76D40C75"/>
    <w:rsid w:val="76E8255C"/>
    <w:rsid w:val="77336CB8"/>
    <w:rsid w:val="773D71A0"/>
    <w:rsid w:val="77444BC6"/>
    <w:rsid w:val="77691C43"/>
    <w:rsid w:val="776C2441"/>
    <w:rsid w:val="77752E24"/>
    <w:rsid w:val="77762421"/>
    <w:rsid w:val="77826C99"/>
    <w:rsid w:val="779D63BF"/>
    <w:rsid w:val="77A0580F"/>
    <w:rsid w:val="77A60210"/>
    <w:rsid w:val="77B56B1F"/>
    <w:rsid w:val="77C30694"/>
    <w:rsid w:val="77C6382D"/>
    <w:rsid w:val="77CF26E1"/>
    <w:rsid w:val="77D71596"/>
    <w:rsid w:val="77E2470B"/>
    <w:rsid w:val="77F37B81"/>
    <w:rsid w:val="780F09F4"/>
    <w:rsid w:val="78155EF8"/>
    <w:rsid w:val="78232A2D"/>
    <w:rsid w:val="782D2DA3"/>
    <w:rsid w:val="78623556"/>
    <w:rsid w:val="78650950"/>
    <w:rsid w:val="78835E1A"/>
    <w:rsid w:val="78870457"/>
    <w:rsid w:val="788D6345"/>
    <w:rsid w:val="7897365A"/>
    <w:rsid w:val="78973CF5"/>
    <w:rsid w:val="789B30D4"/>
    <w:rsid w:val="78A90480"/>
    <w:rsid w:val="78CD22D3"/>
    <w:rsid w:val="78D62616"/>
    <w:rsid w:val="78DD1773"/>
    <w:rsid w:val="78F716EF"/>
    <w:rsid w:val="78F9553C"/>
    <w:rsid w:val="793271EE"/>
    <w:rsid w:val="79416FF3"/>
    <w:rsid w:val="79434123"/>
    <w:rsid w:val="79460A68"/>
    <w:rsid w:val="794F0FE4"/>
    <w:rsid w:val="7954009B"/>
    <w:rsid w:val="79611E6B"/>
    <w:rsid w:val="79863274"/>
    <w:rsid w:val="79866E02"/>
    <w:rsid w:val="79905EA0"/>
    <w:rsid w:val="79954AEE"/>
    <w:rsid w:val="79973311"/>
    <w:rsid w:val="79A00FFF"/>
    <w:rsid w:val="79BC4EE7"/>
    <w:rsid w:val="79BC5841"/>
    <w:rsid w:val="79DC34B8"/>
    <w:rsid w:val="7A1270FD"/>
    <w:rsid w:val="7A1E16FE"/>
    <w:rsid w:val="7A364017"/>
    <w:rsid w:val="7A431165"/>
    <w:rsid w:val="7A434CC1"/>
    <w:rsid w:val="7A55093A"/>
    <w:rsid w:val="7A661013"/>
    <w:rsid w:val="7A692A98"/>
    <w:rsid w:val="7A742B8F"/>
    <w:rsid w:val="7A8265E1"/>
    <w:rsid w:val="7A9049C1"/>
    <w:rsid w:val="7A97325F"/>
    <w:rsid w:val="7A9C055A"/>
    <w:rsid w:val="7AB23C81"/>
    <w:rsid w:val="7AC322A6"/>
    <w:rsid w:val="7AC804AC"/>
    <w:rsid w:val="7AD16358"/>
    <w:rsid w:val="7ADE49EA"/>
    <w:rsid w:val="7AEA338E"/>
    <w:rsid w:val="7AED637A"/>
    <w:rsid w:val="7AFD2A82"/>
    <w:rsid w:val="7B0A57DF"/>
    <w:rsid w:val="7B322A49"/>
    <w:rsid w:val="7B4909FD"/>
    <w:rsid w:val="7B564EC8"/>
    <w:rsid w:val="7B686D42"/>
    <w:rsid w:val="7B811F29"/>
    <w:rsid w:val="7B841746"/>
    <w:rsid w:val="7B95704A"/>
    <w:rsid w:val="7BA73FD9"/>
    <w:rsid w:val="7BB2453E"/>
    <w:rsid w:val="7BBA69FD"/>
    <w:rsid w:val="7BC372F4"/>
    <w:rsid w:val="7C030BAC"/>
    <w:rsid w:val="7C0E57A2"/>
    <w:rsid w:val="7C195595"/>
    <w:rsid w:val="7C397506"/>
    <w:rsid w:val="7C640510"/>
    <w:rsid w:val="7C651F0B"/>
    <w:rsid w:val="7C6C5AC7"/>
    <w:rsid w:val="7C80044E"/>
    <w:rsid w:val="7C8739C7"/>
    <w:rsid w:val="7CA92FF3"/>
    <w:rsid w:val="7CBB1486"/>
    <w:rsid w:val="7CC222E2"/>
    <w:rsid w:val="7CC6544B"/>
    <w:rsid w:val="7CC9488C"/>
    <w:rsid w:val="7CD662C0"/>
    <w:rsid w:val="7CDB38D7"/>
    <w:rsid w:val="7CE729E7"/>
    <w:rsid w:val="7D0239FF"/>
    <w:rsid w:val="7D0D3E09"/>
    <w:rsid w:val="7D252DA4"/>
    <w:rsid w:val="7D272678"/>
    <w:rsid w:val="7D2B765C"/>
    <w:rsid w:val="7D2F3C22"/>
    <w:rsid w:val="7D3D6655"/>
    <w:rsid w:val="7D5176F5"/>
    <w:rsid w:val="7D565D1B"/>
    <w:rsid w:val="7D5E40CD"/>
    <w:rsid w:val="7D8373D0"/>
    <w:rsid w:val="7D851A94"/>
    <w:rsid w:val="7D857577"/>
    <w:rsid w:val="7D913F95"/>
    <w:rsid w:val="7DBC11BE"/>
    <w:rsid w:val="7DC011AC"/>
    <w:rsid w:val="7DC425BD"/>
    <w:rsid w:val="7DCD56F2"/>
    <w:rsid w:val="7DD71BA7"/>
    <w:rsid w:val="7E04380F"/>
    <w:rsid w:val="7E084A8D"/>
    <w:rsid w:val="7E176B90"/>
    <w:rsid w:val="7E2272E3"/>
    <w:rsid w:val="7E5C0A47"/>
    <w:rsid w:val="7E6F4EBA"/>
    <w:rsid w:val="7E725B75"/>
    <w:rsid w:val="7E865892"/>
    <w:rsid w:val="7E8E6727"/>
    <w:rsid w:val="7EC42A09"/>
    <w:rsid w:val="7ED61BA0"/>
    <w:rsid w:val="7EEF4EF0"/>
    <w:rsid w:val="7EF377C6"/>
    <w:rsid w:val="7F001CE7"/>
    <w:rsid w:val="7F0471B9"/>
    <w:rsid w:val="7F3909EF"/>
    <w:rsid w:val="7F3948E4"/>
    <w:rsid w:val="7F4F5DB3"/>
    <w:rsid w:val="7F6033C1"/>
    <w:rsid w:val="7F676DCE"/>
    <w:rsid w:val="7F6A425D"/>
    <w:rsid w:val="7F9D55DA"/>
    <w:rsid w:val="7FBA2DBB"/>
    <w:rsid w:val="7FDD61A0"/>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qFormat="1"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qFormat="1"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8"/>
    <w:autoRedefine/>
    <w:qFormat/>
    <w:locked/>
    <w:uiPriority w:val="0"/>
    <w:pPr>
      <w:keepNext/>
      <w:keepLines/>
      <w:spacing w:before="260" w:after="260" w:line="416" w:lineRule="auto"/>
      <w:outlineLvl w:val="1"/>
    </w:pPr>
    <w:rPr>
      <w:rFonts w:ascii="Calibri" w:hAnsi="Calibri" w:eastAsia="仿宋_GB2312"/>
      <w:b/>
      <w:bCs/>
      <w:sz w:val="28"/>
      <w:szCs w:val="32"/>
    </w:rPr>
  </w:style>
  <w:style w:type="paragraph" w:styleId="4">
    <w:name w:val="heading 3"/>
    <w:basedOn w:val="1"/>
    <w:next w:val="5"/>
    <w:link w:val="92"/>
    <w:autoRedefine/>
    <w:qFormat/>
    <w:locked/>
    <w:uiPriority w:val="0"/>
    <w:pPr>
      <w:keepNext/>
      <w:keepLines/>
      <w:spacing w:before="260" w:after="260" w:line="416" w:lineRule="auto"/>
      <w:outlineLvl w:val="2"/>
    </w:pPr>
    <w:rPr>
      <w:rFonts w:ascii="Calibri" w:hAnsi="Calibri"/>
      <w:b/>
      <w:bCs/>
      <w:sz w:val="32"/>
      <w:szCs w:val="32"/>
    </w:rPr>
  </w:style>
  <w:style w:type="paragraph" w:styleId="6">
    <w:name w:val="heading 4"/>
    <w:basedOn w:val="1"/>
    <w:next w:val="1"/>
    <w:link w:val="118"/>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99"/>
    <w:autoRedefine/>
    <w:qFormat/>
    <w:locked/>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102"/>
    <w:autoRedefine/>
    <w:qFormat/>
    <w:locked/>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89"/>
    <w:autoRedefine/>
    <w:qFormat/>
    <w:locked/>
    <w:uiPriority w:val="0"/>
    <w:pPr>
      <w:keepNext/>
      <w:keepLines/>
      <w:spacing w:before="240" w:after="64" w:line="320" w:lineRule="auto"/>
      <w:outlineLvl w:val="6"/>
    </w:pPr>
    <w:rPr>
      <w:rFonts w:ascii="Calibri" w:hAnsi="Calibri"/>
      <w:b/>
      <w:bCs/>
      <w:sz w:val="24"/>
    </w:rPr>
  </w:style>
  <w:style w:type="paragraph" w:styleId="10">
    <w:name w:val="heading 8"/>
    <w:basedOn w:val="1"/>
    <w:next w:val="1"/>
    <w:link w:val="129"/>
    <w:autoRedefine/>
    <w:qFormat/>
    <w:locked/>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60"/>
    <w:autoRedefine/>
    <w:qFormat/>
    <w:locked/>
    <w:uiPriority w:val="0"/>
    <w:pPr>
      <w:keepNext/>
      <w:keepLines/>
      <w:spacing w:before="240" w:after="64" w:line="320" w:lineRule="auto"/>
      <w:outlineLvl w:val="8"/>
    </w:pPr>
    <w:rPr>
      <w:rFonts w:ascii="Arial" w:hAnsi="Arial" w:eastAsia="黑体"/>
      <w:szCs w:val="21"/>
    </w:rPr>
  </w:style>
  <w:style w:type="character" w:default="1" w:styleId="45">
    <w:name w:val="Default Paragraph Font"/>
    <w:autoRedefine/>
    <w:semiHidden/>
    <w:qFormat/>
    <w:uiPriority w:val="0"/>
  </w:style>
  <w:style w:type="table" w:default="1" w:styleId="42">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link w:val="56"/>
    <w:autoRedefine/>
    <w:qFormat/>
    <w:locked/>
    <w:uiPriority w:val="0"/>
    <w:pPr>
      <w:ind w:firstLine="200" w:firstLineChars="200"/>
    </w:pPr>
    <w:rPr>
      <w:sz w:val="28"/>
    </w:rPr>
  </w:style>
  <w:style w:type="paragraph" w:styleId="12">
    <w:name w:val="caption"/>
    <w:basedOn w:val="1"/>
    <w:next w:val="1"/>
    <w:autoRedefine/>
    <w:qFormat/>
    <w:locked/>
    <w:uiPriority w:val="35"/>
    <w:pPr>
      <w:keepNext/>
      <w:spacing w:before="50" w:beforeLines="50"/>
      <w:jc w:val="center"/>
    </w:pPr>
    <w:rPr>
      <w:rFonts w:ascii="Calibri" w:hAnsi="Calibri" w:eastAsia="黑体"/>
      <w:szCs w:val="20"/>
    </w:rPr>
  </w:style>
  <w:style w:type="paragraph" w:styleId="13">
    <w:name w:val="Document Map"/>
    <w:basedOn w:val="1"/>
    <w:link w:val="136"/>
    <w:autoRedefine/>
    <w:qFormat/>
    <w:locked/>
    <w:uiPriority w:val="0"/>
    <w:pPr>
      <w:shd w:val="clear" w:color="auto" w:fill="000080"/>
    </w:pPr>
    <w:rPr>
      <w:rFonts w:ascii="Calibri" w:hAnsi="Calibri"/>
      <w:szCs w:val="20"/>
    </w:rPr>
  </w:style>
  <w:style w:type="paragraph" w:styleId="14">
    <w:name w:val="annotation text"/>
    <w:basedOn w:val="1"/>
    <w:link w:val="76"/>
    <w:autoRedefine/>
    <w:qFormat/>
    <w:uiPriority w:val="0"/>
    <w:pPr>
      <w:jc w:val="left"/>
    </w:pPr>
    <w:rPr>
      <w:kern w:val="0"/>
      <w:sz w:val="24"/>
      <w:szCs w:val="20"/>
    </w:rPr>
  </w:style>
  <w:style w:type="paragraph" w:styleId="15">
    <w:name w:val="Body Text 3"/>
    <w:basedOn w:val="1"/>
    <w:link w:val="82"/>
    <w:autoRedefine/>
    <w:qFormat/>
    <w:locked/>
    <w:uiPriority w:val="0"/>
    <w:rPr>
      <w:rFonts w:ascii="宋体" w:hAnsi="Calibri"/>
      <w:szCs w:val="20"/>
    </w:rPr>
  </w:style>
  <w:style w:type="paragraph" w:styleId="16">
    <w:name w:val="Body Text"/>
    <w:basedOn w:val="1"/>
    <w:next w:val="1"/>
    <w:link w:val="112"/>
    <w:autoRedefine/>
    <w:qFormat/>
    <w:uiPriority w:val="0"/>
    <w:pPr>
      <w:widowControl/>
      <w:snapToGrid w:val="0"/>
      <w:spacing w:before="60" w:after="160" w:line="259" w:lineRule="auto"/>
      <w:ind w:right="113"/>
    </w:pPr>
    <w:rPr>
      <w:kern w:val="0"/>
      <w:sz w:val="18"/>
      <w:szCs w:val="20"/>
    </w:rPr>
  </w:style>
  <w:style w:type="paragraph" w:styleId="17">
    <w:name w:val="Body Text Indent"/>
    <w:basedOn w:val="1"/>
    <w:next w:val="1"/>
    <w:link w:val="122"/>
    <w:autoRedefine/>
    <w:qFormat/>
    <w:uiPriority w:val="0"/>
    <w:pPr>
      <w:spacing w:after="120"/>
      <w:ind w:left="420" w:leftChars="200"/>
    </w:pPr>
    <w:rPr>
      <w:kern w:val="0"/>
      <w:sz w:val="24"/>
      <w:szCs w:val="20"/>
    </w:rPr>
  </w:style>
  <w:style w:type="paragraph" w:styleId="18">
    <w:name w:val="List 2"/>
    <w:basedOn w:val="1"/>
    <w:autoRedefine/>
    <w:qFormat/>
    <w:locked/>
    <w:uiPriority w:val="0"/>
    <w:pPr>
      <w:ind w:left="100" w:leftChars="200" w:hanging="200" w:hangingChars="200"/>
    </w:pPr>
    <w:rPr>
      <w:rFonts w:ascii="Calibri" w:hAnsi="Calibri"/>
      <w:szCs w:val="20"/>
    </w:rPr>
  </w:style>
  <w:style w:type="paragraph" w:styleId="19">
    <w:name w:val="Block Text"/>
    <w:basedOn w:val="1"/>
    <w:autoRedefine/>
    <w:qFormat/>
    <w:locked/>
    <w:uiPriority w:val="0"/>
    <w:pPr>
      <w:ind w:left="-57" w:right="-57"/>
      <w:jc w:val="center"/>
    </w:pPr>
    <w:rPr>
      <w:rFonts w:ascii="宋体" w:hAnsi="MS Sans Serif"/>
      <w:color w:val="000000"/>
      <w:sz w:val="24"/>
    </w:rPr>
  </w:style>
  <w:style w:type="paragraph" w:styleId="20">
    <w:name w:val="Plain Text"/>
    <w:basedOn w:val="1"/>
    <w:link w:val="55"/>
    <w:autoRedefine/>
    <w:qFormat/>
    <w:locked/>
    <w:uiPriority w:val="0"/>
    <w:rPr>
      <w:rFonts w:ascii="宋体" w:hAnsi="Courier New"/>
      <w:szCs w:val="20"/>
    </w:rPr>
  </w:style>
  <w:style w:type="paragraph" w:styleId="21">
    <w:name w:val="List Bullet 5"/>
    <w:basedOn w:val="1"/>
    <w:autoRedefine/>
    <w:qFormat/>
    <w:locked/>
    <w:uiPriority w:val="0"/>
    <w:pPr>
      <w:numPr>
        <w:ilvl w:val="0"/>
        <w:numId w:val="1"/>
      </w:numPr>
    </w:pPr>
  </w:style>
  <w:style w:type="paragraph" w:styleId="22">
    <w:name w:val="Date"/>
    <w:basedOn w:val="1"/>
    <w:next w:val="1"/>
    <w:link w:val="96"/>
    <w:autoRedefine/>
    <w:qFormat/>
    <w:uiPriority w:val="0"/>
    <w:pPr>
      <w:ind w:left="100" w:leftChars="2500"/>
    </w:pPr>
    <w:rPr>
      <w:kern w:val="0"/>
      <w:sz w:val="24"/>
      <w:szCs w:val="20"/>
    </w:rPr>
  </w:style>
  <w:style w:type="paragraph" w:styleId="23">
    <w:name w:val="Body Text Indent 2"/>
    <w:basedOn w:val="1"/>
    <w:link w:val="66"/>
    <w:autoRedefine/>
    <w:qFormat/>
    <w:locked/>
    <w:uiPriority w:val="0"/>
    <w:pPr>
      <w:spacing w:line="360" w:lineRule="auto"/>
      <w:ind w:firstLine="480" w:firstLineChars="200"/>
    </w:pPr>
    <w:rPr>
      <w:color w:val="000000"/>
      <w:sz w:val="24"/>
      <w:szCs w:val="20"/>
    </w:rPr>
  </w:style>
  <w:style w:type="paragraph" w:styleId="24">
    <w:name w:val="Balloon Text"/>
    <w:basedOn w:val="1"/>
    <w:link w:val="75"/>
    <w:autoRedefine/>
    <w:qFormat/>
    <w:uiPriority w:val="0"/>
    <w:rPr>
      <w:kern w:val="0"/>
      <w:sz w:val="18"/>
      <w:szCs w:val="20"/>
    </w:rPr>
  </w:style>
  <w:style w:type="paragraph" w:styleId="25">
    <w:name w:val="footer"/>
    <w:basedOn w:val="1"/>
    <w:link w:val="67"/>
    <w:autoRedefine/>
    <w:qFormat/>
    <w:uiPriority w:val="0"/>
    <w:pPr>
      <w:tabs>
        <w:tab w:val="center" w:pos="4153"/>
        <w:tab w:val="right" w:pos="8306"/>
      </w:tabs>
      <w:snapToGrid w:val="0"/>
      <w:jc w:val="left"/>
    </w:pPr>
    <w:rPr>
      <w:kern w:val="0"/>
      <w:sz w:val="18"/>
      <w:szCs w:val="20"/>
    </w:rPr>
  </w:style>
  <w:style w:type="paragraph" w:styleId="26">
    <w:name w:val="header"/>
    <w:basedOn w:val="1"/>
    <w:link w:val="120"/>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7">
    <w:name w:val="toc 1"/>
    <w:basedOn w:val="1"/>
    <w:next w:val="1"/>
    <w:autoRedefine/>
    <w:qFormat/>
    <w:locked/>
    <w:uiPriority w:val="0"/>
    <w:pPr>
      <w:tabs>
        <w:tab w:val="left" w:pos="420"/>
        <w:tab w:val="right" w:leader="dot" w:pos="8303"/>
      </w:tabs>
    </w:pPr>
    <w:rPr>
      <w:rFonts w:ascii="仿宋_GB2312" w:hAnsi="Arial Black" w:eastAsia="仿宋_GB2312"/>
      <w:sz w:val="28"/>
      <w:szCs w:val="20"/>
    </w:rPr>
  </w:style>
  <w:style w:type="paragraph" w:styleId="28">
    <w:name w:val="toc 4"/>
    <w:basedOn w:val="1"/>
    <w:next w:val="1"/>
    <w:autoRedefine/>
    <w:qFormat/>
    <w:locked/>
    <w:uiPriority w:val="0"/>
    <w:pPr>
      <w:ind w:left="1260" w:leftChars="600"/>
    </w:pPr>
    <w:rPr>
      <w:rFonts w:ascii="Calibri" w:hAnsi="Calibri"/>
      <w:szCs w:val="20"/>
    </w:rPr>
  </w:style>
  <w:style w:type="paragraph" w:styleId="29">
    <w:name w:val="index heading"/>
    <w:basedOn w:val="1"/>
    <w:next w:val="30"/>
    <w:autoRedefine/>
    <w:qFormat/>
    <w:locked/>
    <w:uiPriority w:val="0"/>
    <w:rPr>
      <w:rFonts w:ascii="仿宋_GB2312" w:hAnsi="宋体" w:eastAsia="仿宋_GB2312"/>
      <w:b/>
      <w:bCs/>
      <w:sz w:val="28"/>
      <w:szCs w:val="20"/>
    </w:rPr>
  </w:style>
  <w:style w:type="paragraph" w:styleId="30">
    <w:name w:val="index 1"/>
    <w:basedOn w:val="1"/>
    <w:next w:val="1"/>
    <w:autoRedefine/>
    <w:qFormat/>
    <w:locked/>
    <w:uiPriority w:val="0"/>
  </w:style>
  <w:style w:type="paragraph" w:styleId="31">
    <w:name w:val="List"/>
    <w:basedOn w:val="1"/>
    <w:autoRedefine/>
    <w:qFormat/>
    <w:locked/>
    <w:uiPriority w:val="0"/>
    <w:pPr>
      <w:ind w:left="200" w:hanging="200" w:hangingChars="200"/>
    </w:pPr>
    <w:rPr>
      <w:rFonts w:ascii="Calibri" w:hAnsi="Calibri"/>
      <w:szCs w:val="20"/>
    </w:rPr>
  </w:style>
  <w:style w:type="paragraph" w:styleId="32">
    <w:name w:val="Body Text Indent 3"/>
    <w:basedOn w:val="1"/>
    <w:link w:val="65"/>
    <w:autoRedefine/>
    <w:qFormat/>
    <w:locked/>
    <w:uiPriority w:val="0"/>
    <w:pPr>
      <w:tabs>
        <w:tab w:val="left" w:pos="604"/>
      </w:tabs>
      <w:spacing w:line="360" w:lineRule="auto"/>
      <w:ind w:firstLine="600"/>
    </w:pPr>
    <w:rPr>
      <w:rFonts w:ascii="Calibri" w:hAnsi="Calibri"/>
      <w:sz w:val="24"/>
    </w:rPr>
  </w:style>
  <w:style w:type="paragraph" w:styleId="33">
    <w:name w:val="toc 2"/>
    <w:basedOn w:val="1"/>
    <w:next w:val="1"/>
    <w:autoRedefine/>
    <w:qFormat/>
    <w:locked/>
    <w:uiPriority w:val="0"/>
    <w:pPr>
      <w:ind w:left="420"/>
    </w:pPr>
    <w:rPr>
      <w:rFonts w:ascii="Calibri" w:hAnsi="Calibri"/>
      <w:szCs w:val="20"/>
    </w:rPr>
  </w:style>
  <w:style w:type="paragraph" w:styleId="34">
    <w:name w:val="toc 9"/>
    <w:basedOn w:val="1"/>
    <w:next w:val="1"/>
    <w:qFormat/>
    <w:locked/>
    <w:uiPriority w:val="0"/>
    <w:pPr>
      <w:widowControl/>
      <w:wordWrap w:val="0"/>
      <w:ind w:left="2975"/>
    </w:pPr>
    <w:rPr>
      <w:szCs w:val="22"/>
    </w:rPr>
  </w:style>
  <w:style w:type="paragraph" w:styleId="35">
    <w:name w:val="Body Text 2"/>
    <w:basedOn w:val="1"/>
    <w:link w:val="72"/>
    <w:autoRedefine/>
    <w:qFormat/>
    <w:locked/>
    <w:uiPriority w:val="0"/>
    <w:rPr>
      <w:rFonts w:ascii="Calibri" w:hAnsi="Calibri"/>
      <w:b/>
      <w:bCs/>
      <w:sz w:val="24"/>
      <w:szCs w:val="20"/>
    </w:rPr>
  </w:style>
  <w:style w:type="paragraph" w:styleId="36">
    <w:name w:val="HTML Preformatted"/>
    <w:basedOn w:val="1"/>
    <w:link w:val="59"/>
    <w:autoRedefine/>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7">
    <w:name w:val="Normal (Web)"/>
    <w:basedOn w:val="1"/>
    <w:link w:val="81"/>
    <w:autoRedefine/>
    <w:qFormat/>
    <w:uiPriority w:val="99"/>
    <w:pPr>
      <w:widowControl/>
      <w:spacing w:before="100" w:beforeAutospacing="1" w:after="100" w:afterAutospacing="1"/>
      <w:jc w:val="left"/>
    </w:pPr>
    <w:rPr>
      <w:rFonts w:ascii="宋体" w:hAnsi="宋体"/>
      <w:kern w:val="0"/>
      <w:sz w:val="24"/>
      <w:szCs w:val="20"/>
    </w:rPr>
  </w:style>
  <w:style w:type="paragraph" w:styleId="38">
    <w:name w:val="Title"/>
    <w:basedOn w:val="1"/>
    <w:link w:val="71"/>
    <w:autoRedefine/>
    <w:qFormat/>
    <w:locked/>
    <w:uiPriority w:val="0"/>
    <w:pPr>
      <w:adjustRightInd w:val="0"/>
      <w:snapToGrid w:val="0"/>
      <w:spacing w:before="240" w:after="240" w:line="300" w:lineRule="auto"/>
      <w:jc w:val="left"/>
      <w:outlineLvl w:val="0"/>
    </w:pPr>
    <w:rPr>
      <w:rFonts w:ascii="仿宋_GB2312" w:hAnsi="Arial" w:eastAsia="仿宋_GB2312"/>
      <w:b/>
      <w:bCs/>
      <w:sz w:val="32"/>
      <w:szCs w:val="32"/>
    </w:rPr>
  </w:style>
  <w:style w:type="paragraph" w:styleId="39">
    <w:name w:val="annotation subject"/>
    <w:basedOn w:val="14"/>
    <w:next w:val="14"/>
    <w:link w:val="88"/>
    <w:autoRedefine/>
    <w:qFormat/>
    <w:uiPriority w:val="0"/>
    <w:rPr>
      <w:b/>
      <w:kern w:val="2"/>
    </w:rPr>
  </w:style>
  <w:style w:type="paragraph" w:styleId="40">
    <w:name w:val="Body Text First Indent"/>
    <w:basedOn w:val="16"/>
    <w:next w:val="1"/>
    <w:link w:val="97"/>
    <w:autoRedefine/>
    <w:qFormat/>
    <w:locked/>
    <w:uiPriority w:val="0"/>
    <w:pPr>
      <w:widowControl w:val="0"/>
      <w:snapToGrid/>
      <w:spacing w:before="0" w:after="120" w:line="240" w:lineRule="auto"/>
      <w:ind w:right="0" w:firstLine="420" w:firstLineChars="100"/>
    </w:pPr>
    <w:rPr>
      <w:kern w:val="2"/>
      <w:sz w:val="21"/>
    </w:rPr>
  </w:style>
  <w:style w:type="paragraph" w:styleId="41">
    <w:name w:val="Body Text First Indent 2"/>
    <w:basedOn w:val="17"/>
    <w:next w:val="40"/>
    <w:link w:val="74"/>
    <w:autoRedefine/>
    <w:qFormat/>
    <w:locked/>
    <w:uiPriority w:val="0"/>
    <w:pPr>
      <w:ind w:firstLine="420" w:firstLineChars="200"/>
    </w:pPr>
    <w:rPr>
      <w:rFonts w:ascii="Calibri" w:hAnsi="Calibri"/>
      <w:kern w:val="2"/>
      <w:sz w:val="21"/>
    </w:rPr>
  </w:style>
  <w:style w:type="table" w:styleId="43">
    <w:name w:val="Table Grid"/>
    <w:basedOn w:val="42"/>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4">
    <w:name w:val="Table Theme"/>
    <w:basedOn w:val="42"/>
    <w:qFormat/>
    <w:locked/>
    <w:uiPriority w:val="0"/>
    <w:pPr>
      <w:widowControl w:val="0"/>
      <w:jc w:val="center"/>
    </w:pPr>
    <w:tblPr>
      <w:jc w:val="center"/>
      <w:tblBorders>
        <w:top w:val="single" w:color="auto" w:sz="12" w:space="0"/>
        <w:bottom w:val="single" w:color="auto" w:sz="12" w:space="0"/>
        <w:insideH w:val="single" w:color="auto" w:sz="6" w:space="0"/>
        <w:insideV w:val="single" w:color="auto" w:sz="6" w:space="0"/>
      </w:tblBorders>
    </w:tblPr>
    <w:trPr>
      <w:jc w:val="center"/>
    </w:trPr>
    <w:tcPr>
      <w:vAlign w:val="center"/>
    </w:tcPr>
  </w:style>
  <w:style w:type="character" w:styleId="46">
    <w:name w:val="Strong"/>
    <w:basedOn w:val="45"/>
    <w:autoRedefine/>
    <w:qFormat/>
    <w:locked/>
    <w:uiPriority w:val="0"/>
    <w:rPr>
      <w:b/>
      <w:bCs/>
      <w:sz w:val="24"/>
      <w:szCs w:val="24"/>
    </w:rPr>
  </w:style>
  <w:style w:type="character" w:styleId="47">
    <w:name w:val="page number"/>
    <w:autoRedefine/>
    <w:qFormat/>
    <w:locked/>
    <w:uiPriority w:val="0"/>
  </w:style>
  <w:style w:type="character" w:styleId="48">
    <w:name w:val="FollowedHyperlink"/>
    <w:autoRedefine/>
    <w:qFormat/>
    <w:locked/>
    <w:uiPriority w:val="0"/>
    <w:rPr>
      <w:color w:val="800080"/>
      <w:u w:val="single"/>
    </w:rPr>
  </w:style>
  <w:style w:type="character" w:styleId="49">
    <w:name w:val="Hyperlink"/>
    <w:basedOn w:val="45"/>
    <w:autoRedefine/>
    <w:qFormat/>
    <w:locked/>
    <w:uiPriority w:val="0"/>
    <w:rPr>
      <w:color w:val="0000FF"/>
      <w:u w:val="single"/>
    </w:rPr>
  </w:style>
  <w:style w:type="character" w:styleId="50">
    <w:name w:val="annotation reference"/>
    <w:autoRedefine/>
    <w:qFormat/>
    <w:uiPriority w:val="0"/>
    <w:rPr>
      <w:sz w:val="21"/>
    </w:rPr>
  </w:style>
  <w:style w:type="paragraph" w:customStyle="1" w:styleId="51">
    <w:name w:val="Default"/>
    <w:autoRedefine/>
    <w:qFormat/>
    <w:uiPriority w:val="0"/>
    <w:pPr>
      <w:autoSpaceDE w:val="0"/>
      <w:autoSpaceDN w:val="0"/>
      <w:adjustRightInd w:val="0"/>
    </w:pPr>
    <w:rPr>
      <w:rFonts w:ascii="宋体" w:hAnsi="Calibri" w:eastAsia="宋体" w:cs="Times New Roman"/>
      <w:color w:val="000000"/>
      <w:sz w:val="24"/>
      <w:szCs w:val="24"/>
      <w:lang w:val="en-US" w:eastAsia="en-US" w:bidi="ar-SA"/>
    </w:rPr>
  </w:style>
  <w:style w:type="paragraph" w:customStyle="1" w:styleId="52">
    <w:name w:val="样式1"/>
    <w:basedOn w:val="4"/>
    <w:next w:val="1"/>
    <w:autoRedefine/>
    <w:qFormat/>
    <w:uiPriority w:val="0"/>
    <w:pPr>
      <w:tabs>
        <w:tab w:val="left" w:pos="1740"/>
      </w:tabs>
      <w:adjustRightInd w:val="0"/>
      <w:snapToGrid w:val="0"/>
      <w:spacing w:before="120" w:after="120" w:line="300" w:lineRule="auto"/>
      <w:ind w:left="720" w:hanging="720"/>
    </w:pPr>
    <w:rPr>
      <w:rFonts w:eastAsia="仿宋_GB2312"/>
      <w:b w:val="0"/>
      <w:bCs w:val="0"/>
      <w:color w:val="0000FF"/>
      <w:sz w:val="28"/>
      <w:szCs w:val="28"/>
    </w:rPr>
  </w:style>
  <w:style w:type="character" w:customStyle="1" w:styleId="53">
    <w:name w:val="apple-converted-space"/>
    <w:autoRedefine/>
    <w:qFormat/>
    <w:uiPriority w:val="0"/>
    <w:rPr>
      <w:sz w:val="24"/>
      <w:szCs w:val="24"/>
    </w:rPr>
  </w:style>
  <w:style w:type="character" w:customStyle="1" w:styleId="54">
    <w:name w:val="正文缩进1"/>
    <w:autoRedefine/>
    <w:qFormat/>
    <w:uiPriority w:val="0"/>
    <w:rPr>
      <w:rFonts w:eastAsia="宋体"/>
      <w:kern w:val="2"/>
      <w:sz w:val="28"/>
      <w:szCs w:val="24"/>
      <w:lang w:val="en-US" w:eastAsia="zh-CN" w:bidi="ar-SA"/>
    </w:rPr>
  </w:style>
  <w:style w:type="character" w:customStyle="1" w:styleId="55">
    <w:name w:val="纯文本 Char"/>
    <w:link w:val="20"/>
    <w:autoRedefine/>
    <w:qFormat/>
    <w:uiPriority w:val="0"/>
    <w:rPr>
      <w:rFonts w:ascii="宋体" w:hAnsi="Courier New"/>
      <w:kern w:val="2"/>
      <w:sz w:val="21"/>
    </w:rPr>
  </w:style>
  <w:style w:type="character" w:customStyle="1" w:styleId="56">
    <w:name w:val="正文缩进 Char"/>
    <w:link w:val="5"/>
    <w:autoRedefine/>
    <w:qFormat/>
    <w:uiPriority w:val="0"/>
    <w:rPr>
      <w:kern w:val="2"/>
      <w:sz w:val="28"/>
      <w:szCs w:val="24"/>
    </w:rPr>
  </w:style>
  <w:style w:type="character" w:customStyle="1" w:styleId="57">
    <w:name w:val="新正文 Char Char"/>
    <w:link w:val="58"/>
    <w:autoRedefine/>
    <w:qFormat/>
    <w:uiPriority w:val="0"/>
    <w:rPr>
      <w:rFonts w:ascii="仿宋_GB2312" w:eastAsia="仿宋_GB2312"/>
      <w:bCs/>
      <w:sz w:val="28"/>
    </w:rPr>
  </w:style>
  <w:style w:type="paragraph" w:customStyle="1" w:styleId="58">
    <w:name w:val="新正文"/>
    <w:basedOn w:val="1"/>
    <w:link w:val="57"/>
    <w:autoRedefine/>
    <w:qFormat/>
    <w:uiPriority w:val="0"/>
    <w:pPr>
      <w:spacing w:line="500" w:lineRule="exact"/>
      <w:ind w:firstLine="510"/>
    </w:pPr>
    <w:rPr>
      <w:rFonts w:ascii="仿宋_GB2312" w:eastAsia="仿宋_GB2312"/>
      <w:bCs/>
      <w:kern w:val="0"/>
      <w:sz w:val="28"/>
      <w:szCs w:val="20"/>
    </w:rPr>
  </w:style>
  <w:style w:type="character" w:customStyle="1" w:styleId="59">
    <w:name w:val="HTML 预设格式 Char"/>
    <w:link w:val="36"/>
    <w:autoRedefine/>
    <w:qFormat/>
    <w:uiPriority w:val="0"/>
    <w:rPr>
      <w:rFonts w:ascii="宋体" w:hAnsi="宋体" w:cs="宋体"/>
      <w:sz w:val="24"/>
      <w:szCs w:val="24"/>
    </w:rPr>
  </w:style>
  <w:style w:type="character" w:customStyle="1" w:styleId="60">
    <w:name w:val="标题 9 Char"/>
    <w:link w:val="11"/>
    <w:autoRedefine/>
    <w:qFormat/>
    <w:uiPriority w:val="0"/>
    <w:rPr>
      <w:rFonts w:ascii="Arial" w:hAnsi="Arial" w:eastAsia="黑体"/>
      <w:kern w:val="2"/>
      <w:sz w:val="21"/>
      <w:szCs w:val="21"/>
    </w:rPr>
  </w:style>
  <w:style w:type="character" w:customStyle="1" w:styleId="61">
    <w:name w:val="hangg"/>
    <w:autoRedefine/>
    <w:qFormat/>
    <w:uiPriority w:val="0"/>
    <w:rPr>
      <w:sz w:val="24"/>
      <w:szCs w:val="24"/>
    </w:rPr>
  </w:style>
  <w:style w:type="character" w:customStyle="1" w:styleId="62">
    <w:name w:val="by12h1"/>
    <w:autoRedefine/>
    <w:qFormat/>
    <w:uiPriority w:val="0"/>
    <w:rPr>
      <w:rFonts w:hint="eastAsia" w:ascii="宋体" w:hAnsi="宋体" w:eastAsia="宋体"/>
      <w:sz w:val="18"/>
      <w:szCs w:val="18"/>
    </w:rPr>
  </w:style>
  <w:style w:type="character" w:customStyle="1" w:styleId="63">
    <w:name w:val="页脚 字符"/>
    <w:autoRedefine/>
    <w:qFormat/>
    <w:uiPriority w:val="99"/>
  </w:style>
  <w:style w:type="character" w:customStyle="1" w:styleId="64">
    <w:name w:val="font21"/>
    <w:autoRedefine/>
    <w:qFormat/>
    <w:uiPriority w:val="0"/>
    <w:rPr>
      <w:rFonts w:hint="default" w:ascii="Times New Roman" w:hAnsi="Times New Roman" w:cs="Times New Roman"/>
      <w:color w:val="000000"/>
      <w:sz w:val="24"/>
      <w:szCs w:val="24"/>
      <w:u w:val="none"/>
    </w:rPr>
  </w:style>
  <w:style w:type="character" w:customStyle="1" w:styleId="65">
    <w:name w:val="正文文本缩进 3 Char"/>
    <w:link w:val="32"/>
    <w:autoRedefine/>
    <w:qFormat/>
    <w:uiPriority w:val="0"/>
    <w:rPr>
      <w:rFonts w:ascii="Calibri" w:hAnsi="Calibri"/>
      <w:kern w:val="2"/>
      <w:sz w:val="24"/>
      <w:szCs w:val="24"/>
    </w:rPr>
  </w:style>
  <w:style w:type="character" w:customStyle="1" w:styleId="66">
    <w:name w:val="正文文本缩进 2 Char"/>
    <w:link w:val="23"/>
    <w:autoRedefine/>
    <w:qFormat/>
    <w:uiPriority w:val="0"/>
    <w:rPr>
      <w:color w:val="000000"/>
      <w:kern w:val="2"/>
      <w:sz w:val="24"/>
    </w:rPr>
  </w:style>
  <w:style w:type="character" w:customStyle="1" w:styleId="67">
    <w:name w:val="页脚 Char"/>
    <w:link w:val="25"/>
    <w:autoRedefine/>
    <w:qFormat/>
    <w:locked/>
    <w:uiPriority w:val="0"/>
    <w:rPr>
      <w:sz w:val="18"/>
    </w:rPr>
  </w:style>
  <w:style w:type="character" w:customStyle="1" w:styleId="68">
    <w:name w:val="head121"/>
    <w:autoRedefine/>
    <w:qFormat/>
    <w:uiPriority w:val="0"/>
    <w:rPr>
      <w:sz w:val="22"/>
      <w:szCs w:val="22"/>
    </w:rPr>
  </w:style>
  <w:style w:type="character" w:customStyle="1" w:styleId="69">
    <w:name w:val="headline-content2"/>
    <w:autoRedefine/>
    <w:qFormat/>
    <w:uiPriority w:val="0"/>
    <w:rPr>
      <w:sz w:val="24"/>
      <w:szCs w:val="24"/>
    </w:rPr>
  </w:style>
  <w:style w:type="character" w:customStyle="1" w:styleId="70">
    <w:name w:val="12b1"/>
    <w:autoRedefine/>
    <w:qFormat/>
    <w:uiPriority w:val="0"/>
    <w:rPr>
      <w:sz w:val="18"/>
      <w:szCs w:val="18"/>
    </w:rPr>
  </w:style>
  <w:style w:type="character" w:customStyle="1" w:styleId="71">
    <w:name w:val="标题 Char"/>
    <w:link w:val="38"/>
    <w:autoRedefine/>
    <w:qFormat/>
    <w:uiPriority w:val="0"/>
    <w:rPr>
      <w:rFonts w:ascii="仿宋_GB2312" w:hAnsi="Arial" w:eastAsia="仿宋_GB2312" w:cs="Arial"/>
      <w:b/>
      <w:bCs/>
      <w:kern w:val="2"/>
      <w:sz w:val="32"/>
      <w:szCs w:val="32"/>
    </w:rPr>
  </w:style>
  <w:style w:type="character" w:customStyle="1" w:styleId="72">
    <w:name w:val="正文文本 2 Char"/>
    <w:link w:val="35"/>
    <w:autoRedefine/>
    <w:qFormat/>
    <w:uiPriority w:val="0"/>
    <w:rPr>
      <w:rFonts w:ascii="Calibri" w:hAnsi="Calibri"/>
      <w:b/>
      <w:bCs/>
      <w:kern w:val="2"/>
      <w:sz w:val="24"/>
    </w:rPr>
  </w:style>
  <w:style w:type="character" w:customStyle="1" w:styleId="73">
    <w:name w:val="HTML 预设格式 Char1"/>
    <w:autoRedefine/>
    <w:qFormat/>
    <w:uiPriority w:val="0"/>
    <w:rPr>
      <w:rFonts w:ascii="Courier New" w:hAnsi="Courier New" w:cs="Courier New"/>
      <w:kern w:val="2"/>
    </w:rPr>
  </w:style>
  <w:style w:type="character" w:customStyle="1" w:styleId="74">
    <w:name w:val="正文首行缩进 2 Char"/>
    <w:link w:val="41"/>
    <w:autoRedefine/>
    <w:qFormat/>
    <w:uiPriority w:val="0"/>
    <w:rPr>
      <w:rFonts w:ascii="Calibri" w:hAnsi="Calibri" w:eastAsia="宋体"/>
      <w:kern w:val="2"/>
      <w:sz w:val="21"/>
    </w:rPr>
  </w:style>
  <w:style w:type="character" w:customStyle="1" w:styleId="75">
    <w:name w:val="批注框文本 Char"/>
    <w:link w:val="24"/>
    <w:autoRedefine/>
    <w:semiHidden/>
    <w:qFormat/>
    <w:locked/>
    <w:uiPriority w:val="0"/>
    <w:rPr>
      <w:rFonts w:ascii="Times New Roman" w:hAnsi="Times New Roman" w:eastAsia="宋体"/>
      <w:sz w:val="18"/>
    </w:rPr>
  </w:style>
  <w:style w:type="character" w:customStyle="1" w:styleId="76">
    <w:name w:val="批注文字 Char"/>
    <w:link w:val="14"/>
    <w:autoRedefine/>
    <w:qFormat/>
    <w:locked/>
    <w:uiPriority w:val="0"/>
    <w:rPr>
      <w:rFonts w:ascii="Times New Roman" w:hAnsi="Times New Roman" w:eastAsia="宋体"/>
      <w:sz w:val="24"/>
    </w:rPr>
  </w:style>
  <w:style w:type="character" w:customStyle="1" w:styleId="77">
    <w:name w:val="纯文本 Char2"/>
    <w:autoRedefine/>
    <w:qFormat/>
    <w:uiPriority w:val="0"/>
    <w:rPr>
      <w:rFonts w:ascii="宋体" w:hAnsi="Courier New" w:cs="Courier New"/>
      <w:kern w:val="2"/>
      <w:sz w:val="21"/>
      <w:szCs w:val="21"/>
    </w:rPr>
  </w:style>
  <w:style w:type="character" w:customStyle="1" w:styleId="78">
    <w:name w:val="标题 2 Char"/>
    <w:link w:val="3"/>
    <w:autoRedefine/>
    <w:qFormat/>
    <w:uiPriority w:val="0"/>
    <w:rPr>
      <w:rFonts w:ascii="Calibri" w:hAnsi="Calibri" w:eastAsia="仿宋_GB2312"/>
      <w:b/>
      <w:bCs/>
      <w:kern w:val="2"/>
      <w:sz w:val="28"/>
      <w:szCs w:val="32"/>
    </w:rPr>
  </w:style>
  <w:style w:type="character" w:customStyle="1" w:styleId="79">
    <w:name w:val="表格文字 Char Char"/>
    <w:link w:val="80"/>
    <w:autoRedefine/>
    <w:qFormat/>
    <w:uiPriority w:val="0"/>
    <w:rPr>
      <w:rFonts w:ascii="仿宋_GB2312" w:hAnsi="Arial Black" w:eastAsia="仿宋_GB2312"/>
      <w:kern w:val="44"/>
      <w:sz w:val="24"/>
    </w:rPr>
  </w:style>
  <w:style w:type="paragraph" w:customStyle="1" w:styleId="80">
    <w:name w:val="表格文字"/>
    <w:basedOn w:val="1"/>
    <w:link w:val="79"/>
    <w:autoRedefine/>
    <w:qFormat/>
    <w:uiPriority w:val="0"/>
    <w:pPr>
      <w:jc w:val="center"/>
    </w:pPr>
    <w:rPr>
      <w:rFonts w:ascii="仿宋_GB2312" w:hAnsi="Arial Black" w:eastAsia="仿宋_GB2312"/>
      <w:kern w:val="44"/>
      <w:sz w:val="24"/>
      <w:szCs w:val="20"/>
    </w:rPr>
  </w:style>
  <w:style w:type="character" w:customStyle="1" w:styleId="81">
    <w:name w:val="普通(网站) Char"/>
    <w:link w:val="37"/>
    <w:autoRedefine/>
    <w:qFormat/>
    <w:locked/>
    <w:uiPriority w:val="0"/>
    <w:rPr>
      <w:rFonts w:ascii="宋体" w:hAnsi="宋体" w:eastAsia="宋体"/>
      <w:sz w:val="24"/>
    </w:rPr>
  </w:style>
  <w:style w:type="character" w:customStyle="1" w:styleId="82">
    <w:name w:val="正文文本 3 Char"/>
    <w:link w:val="15"/>
    <w:autoRedefine/>
    <w:qFormat/>
    <w:uiPriority w:val="0"/>
    <w:rPr>
      <w:rFonts w:ascii="宋体" w:hAnsi="Calibri"/>
      <w:kern w:val="2"/>
      <w:sz w:val="21"/>
    </w:rPr>
  </w:style>
  <w:style w:type="character" w:customStyle="1" w:styleId="83">
    <w:name w:val="样式 表格 + 黑色 Char Char"/>
    <w:link w:val="84"/>
    <w:autoRedefine/>
    <w:qFormat/>
    <w:uiPriority w:val="0"/>
    <w:rPr>
      <w:color w:val="000000"/>
      <w:spacing w:val="-4"/>
      <w:kern w:val="2"/>
      <w:sz w:val="21"/>
      <w:szCs w:val="21"/>
    </w:rPr>
  </w:style>
  <w:style w:type="paragraph" w:customStyle="1" w:styleId="84">
    <w:name w:val="样式 表格 + 黑色"/>
    <w:basedOn w:val="85"/>
    <w:link w:val="83"/>
    <w:autoRedefine/>
    <w:qFormat/>
    <w:uiPriority w:val="0"/>
    <w:pPr>
      <w:spacing w:beforeLines="0" w:afterLines="0" w:line="240" w:lineRule="auto"/>
    </w:pPr>
    <w:rPr>
      <w:rFonts w:ascii="Times New Roman"/>
      <w:color w:val="000000"/>
      <w:spacing w:val="-4"/>
      <w:kern w:val="2"/>
      <w:szCs w:val="21"/>
    </w:rPr>
  </w:style>
  <w:style w:type="paragraph" w:customStyle="1" w:styleId="85">
    <w:name w:val="表格"/>
    <w:basedOn w:val="1"/>
    <w:next w:val="1"/>
    <w:link w:val="100"/>
    <w:autoRedefine/>
    <w:qFormat/>
    <w:uiPriority w:val="0"/>
    <w:pPr>
      <w:adjustRightInd w:val="0"/>
      <w:snapToGrid w:val="0"/>
      <w:spacing w:beforeLines="10" w:afterLines="10" w:line="259" w:lineRule="auto"/>
      <w:jc w:val="center"/>
    </w:pPr>
    <w:rPr>
      <w:rFonts w:ascii="宋体"/>
      <w:kern w:val="0"/>
      <w:szCs w:val="20"/>
    </w:rPr>
  </w:style>
  <w:style w:type="character" w:customStyle="1" w:styleId="86">
    <w:name w:val="文字 Char"/>
    <w:link w:val="87"/>
    <w:autoRedefine/>
    <w:qFormat/>
    <w:uiPriority w:val="99"/>
    <w:rPr>
      <w:kern w:val="2"/>
      <w:sz w:val="24"/>
      <w:szCs w:val="24"/>
    </w:rPr>
  </w:style>
  <w:style w:type="paragraph" w:customStyle="1" w:styleId="87">
    <w:name w:val="文字"/>
    <w:basedOn w:val="1"/>
    <w:link w:val="86"/>
    <w:autoRedefine/>
    <w:qFormat/>
    <w:uiPriority w:val="99"/>
    <w:pPr>
      <w:spacing w:line="360" w:lineRule="auto"/>
      <w:ind w:firstLine="200" w:firstLineChars="200"/>
    </w:pPr>
    <w:rPr>
      <w:sz w:val="24"/>
    </w:rPr>
  </w:style>
  <w:style w:type="character" w:customStyle="1" w:styleId="88">
    <w:name w:val="批注主题 Char"/>
    <w:link w:val="39"/>
    <w:autoRedefine/>
    <w:qFormat/>
    <w:locked/>
    <w:uiPriority w:val="0"/>
    <w:rPr>
      <w:rFonts w:ascii="Times New Roman" w:hAnsi="Times New Roman" w:eastAsia="宋体"/>
      <w:b/>
      <w:kern w:val="2"/>
      <w:sz w:val="24"/>
    </w:rPr>
  </w:style>
  <w:style w:type="character" w:customStyle="1" w:styleId="89">
    <w:name w:val="标题 7 Char"/>
    <w:link w:val="9"/>
    <w:autoRedefine/>
    <w:qFormat/>
    <w:uiPriority w:val="0"/>
    <w:rPr>
      <w:rFonts w:ascii="Calibri" w:hAnsi="Calibri"/>
      <w:b/>
      <w:bCs/>
      <w:kern w:val="2"/>
      <w:sz w:val="24"/>
      <w:szCs w:val="24"/>
    </w:rPr>
  </w:style>
  <w:style w:type="character" w:customStyle="1" w:styleId="90">
    <w:name w:val="谏壁正文chen Char Char"/>
    <w:link w:val="91"/>
    <w:autoRedefine/>
    <w:qFormat/>
    <w:uiPriority w:val="0"/>
    <w:rPr>
      <w:kern w:val="2"/>
      <w:sz w:val="24"/>
      <w:szCs w:val="24"/>
    </w:rPr>
  </w:style>
  <w:style w:type="paragraph" w:customStyle="1" w:styleId="91">
    <w:name w:val="谏壁正文chen"/>
    <w:basedOn w:val="1"/>
    <w:link w:val="90"/>
    <w:autoRedefine/>
    <w:qFormat/>
    <w:uiPriority w:val="0"/>
    <w:pPr>
      <w:spacing w:line="360" w:lineRule="auto"/>
      <w:ind w:firstLine="200" w:firstLineChars="200"/>
    </w:pPr>
    <w:rPr>
      <w:sz w:val="24"/>
    </w:rPr>
  </w:style>
  <w:style w:type="character" w:customStyle="1" w:styleId="92">
    <w:name w:val="标题 3 Char"/>
    <w:link w:val="4"/>
    <w:autoRedefine/>
    <w:qFormat/>
    <w:uiPriority w:val="0"/>
    <w:rPr>
      <w:rFonts w:ascii="Calibri" w:hAnsi="Calibri"/>
      <w:b/>
      <w:bCs/>
      <w:kern w:val="2"/>
      <w:sz w:val="32"/>
      <w:szCs w:val="32"/>
    </w:rPr>
  </w:style>
  <w:style w:type="character" w:customStyle="1" w:styleId="93">
    <w:name w:val="aar_9ptcopy1"/>
    <w:autoRedefine/>
    <w:qFormat/>
    <w:uiPriority w:val="0"/>
    <w:rPr>
      <w:rFonts w:hint="default" w:ascii="ˎ̥" w:hAnsi="ˎ̥"/>
      <w:sz w:val="18"/>
      <w:szCs w:val="18"/>
    </w:rPr>
  </w:style>
  <w:style w:type="character" w:customStyle="1" w:styleId="94">
    <w:name w:val="纯文本 Char1"/>
    <w:link w:val="95"/>
    <w:autoRedefine/>
    <w:qFormat/>
    <w:uiPriority w:val="99"/>
    <w:rPr>
      <w:rFonts w:ascii="宋体" w:hAnsi="Courier New"/>
      <w:kern w:val="2"/>
      <w:sz w:val="21"/>
    </w:rPr>
  </w:style>
  <w:style w:type="paragraph" w:customStyle="1" w:styleId="95">
    <w:name w:val="纯文本1"/>
    <w:basedOn w:val="1"/>
    <w:link w:val="94"/>
    <w:autoRedefine/>
    <w:qFormat/>
    <w:uiPriority w:val="99"/>
    <w:rPr>
      <w:rFonts w:ascii="宋体" w:hAnsi="Courier New"/>
      <w:szCs w:val="20"/>
    </w:rPr>
  </w:style>
  <w:style w:type="character" w:customStyle="1" w:styleId="96">
    <w:name w:val="日期 Char"/>
    <w:link w:val="22"/>
    <w:autoRedefine/>
    <w:qFormat/>
    <w:locked/>
    <w:uiPriority w:val="0"/>
    <w:rPr>
      <w:rFonts w:ascii="Times New Roman" w:hAnsi="Times New Roman" w:eastAsia="宋体"/>
      <w:sz w:val="24"/>
    </w:rPr>
  </w:style>
  <w:style w:type="character" w:customStyle="1" w:styleId="97">
    <w:name w:val="正文首行缩进 Char"/>
    <w:link w:val="40"/>
    <w:autoRedefine/>
    <w:qFormat/>
    <w:uiPriority w:val="0"/>
    <w:rPr>
      <w:kern w:val="2"/>
      <w:sz w:val="21"/>
    </w:rPr>
  </w:style>
  <w:style w:type="character" w:customStyle="1" w:styleId="98">
    <w:name w:val="text31"/>
    <w:autoRedefine/>
    <w:qFormat/>
    <w:uiPriority w:val="0"/>
    <w:rPr>
      <w:rFonts w:hint="eastAsia" w:ascii="宋体" w:hAnsi="宋体" w:eastAsia="宋体"/>
      <w:color w:val="673434"/>
      <w:sz w:val="22"/>
      <w:u w:val="none"/>
    </w:rPr>
  </w:style>
  <w:style w:type="character" w:customStyle="1" w:styleId="99">
    <w:name w:val="标题 5 Char"/>
    <w:link w:val="7"/>
    <w:autoRedefine/>
    <w:qFormat/>
    <w:uiPriority w:val="0"/>
    <w:rPr>
      <w:rFonts w:ascii="Calibri" w:hAnsi="Calibri"/>
      <w:b/>
      <w:bCs/>
      <w:kern w:val="2"/>
      <w:sz w:val="28"/>
      <w:szCs w:val="28"/>
    </w:rPr>
  </w:style>
  <w:style w:type="character" w:customStyle="1" w:styleId="100">
    <w:name w:val="表格 Char"/>
    <w:link w:val="85"/>
    <w:autoRedefine/>
    <w:qFormat/>
    <w:locked/>
    <w:uiPriority w:val="0"/>
    <w:rPr>
      <w:rFonts w:ascii="宋体"/>
      <w:sz w:val="21"/>
    </w:rPr>
  </w:style>
  <w:style w:type="character" w:customStyle="1" w:styleId="101">
    <w:name w:val="日期 字符"/>
    <w:autoRedefine/>
    <w:semiHidden/>
    <w:qFormat/>
    <w:uiPriority w:val="0"/>
    <w:rPr>
      <w:rFonts w:ascii="Times New Roman" w:hAnsi="Times New Roman" w:eastAsia="宋体"/>
      <w:sz w:val="24"/>
    </w:rPr>
  </w:style>
  <w:style w:type="character" w:customStyle="1" w:styleId="102">
    <w:name w:val="标题 6 Char"/>
    <w:link w:val="8"/>
    <w:autoRedefine/>
    <w:qFormat/>
    <w:uiPriority w:val="0"/>
    <w:rPr>
      <w:rFonts w:ascii="Arial" w:hAnsi="Arial" w:eastAsia="黑体"/>
      <w:b/>
      <w:bCs/>
      <w:kern w:val="2"/>
      <w:sz w:val="24"/>
      <w:szCs w:val="24"/>
    </w:rPr>
  </w:style>
  <w:style w:type="character" w:customStyle="1" w:styleId="103">
    <w:name w:val="z-窗体顶端 Char"/>
    <w:link w:val="104"/>
    <w:autoRedefine/>
    <w:qFormat/>
    <w:uiPriority w:val="0"/>
    <w:rPr>
      <w:rFonts w:ascii="Arial" w:hAnsi="Arial" w:eastAsia="仿宋_GB2312" w:cs="Arial"/>
      <w:vanish/>
      <w:kern w:val="2"/>
      <w:sz w:val="16"/>
      <w:szCs w:val="16"/>
    </w:rPr>
  </w:style>
  <w:style w:type="paragraph" w:customStyle="1" w:styleId="104">
    <w:name w:val="_Style 96"/>
    <w:basedOn w:val="1"/>
    <w:next w:val="1"/>
    <w:link w:val="103"/>
    <w:autoRedefine/>
    <w:qFormat/>
    <w:uiPriority w:val="0"/>
    <w:pPr>
      <w:pBdr>
        <w:bottom w:val="single" w:color="auto" w:sz="6" w:space="1"/>
      </w:pBdr>
      <w:adjustRightInd w:val="0"/>
      <w:snapToGrid w:val="0"/>
      <w:spacing w:line="300" w:lineRule="auto"/>
      <w:jc w:val="center"/>
    </w:pPr>
    <w:rPr>
      <w:rFonts w:ascii="Arial" w:hAnsi="Arial" w:eastAsia="仿宋_GB2312"/>
      <w:vanish/>
      <w:sz w:val="16"/>
      <w:szCs w:val="16"/>
    </w:rPr>
  </w:style>
  <w:style w:type="character" w:customStyle="1" w:styleId="105">
    <w:name w:val="正文首行缩进 Char1"/>
    <w:autoRedefine/>
    <w:qFormat/>
    <w:uiPriority w:val="0"/>
    <w:rPr>
      <w:kern w:val="2"/>
      <w:sz w:val="21"/>
      <w:szCs w:val="24"/>
    </w:rPr>
  </w:style>
  <w:style w:type="character" w:customStyle="1" w:styleId="106">
    <w:name w:val="ourfont11"/>
    <w:autoRedefine/>
    <w:qFormat/>
    <w:uiPriority w:val="0"/>
    <w:rPr>
      <w:sz w:val="20"/>
      <w:szCs w:val="20"/>
    </w:rPr>
  </w:style>
  <w:style w:type="character" w:customStyle="1" w:styleId="107">
    <w:name w:val="ourfont2"/>
    <w:autoRedefine/>
    <w:qFormat/>
    <w:uiPriority w:val="0"/>
    <w:rPr>
      <w:sz w:val="24"/>
      <w:szCs w:val="24"/>
    </w:rPr>
  </w:style>
  <w:style w:type="character" w:customStyle="1" w:styleId="108">
    <w:name w:val="style11"/>
    <w:autoRedefine/>
    <w:qFormat/>
    <w:uiPriority w:val="0"/>
    <w:rPr>
      <w:color w:val="333333"/>
    </w:rPr>
  </w:style>
  <w:style w:type="character" w:customStyle="1" w:styleId="109">
    <w:name w:val="px14"/>
    <w:autoRedefine/>
    <w:qFormat/>
    <w:uiPriority w:val="0"/>
    <w:rPr>
      <w:sz w:val="24"/>
      <w:szCs w:val="24"/>
    </w:rPr>
  </w:style>
  <w:style w:type="character" w:customStyle="1" w:styleId="110">
    <w:name w:val="font9"/>
    <w:autoRedefine/>
    <w:qFormat/>
    <w:uiPriority w:val="0"/>
    <w:rPr>
      <w:sz w:val="24"/>
      <w:szCs w:val="24"/>
    </w:rPr>
  </w:style>
  <w:style w:type="character" w:customStyle="1" w:styleId="111">
    <w:name w:val="z-窗体顶端 Char1"/>
    <w:autoRedefine/>
    <w:semiHidden/>
    <w:qFormat/>
    <w:uiPriority w:val="99"/>
    <w:rPr>
      <w:rFonts w:ascii="Arial" w:hAnsi="Arial" w:cs="Arial"/>
      <w:vanish/>
      <w:kern w:val="2"/>
      <w:sz w:val="16"/>
      <w:szCs w:val="16"/>
    </w:rPr>
  </w:style>
  <w:style w:type="character" w:customStyle="1" w:styleId="112">
    <w:name w:val="正文文本 Char"/>
    <w:link w:val="16"/>
    <w:autoRedefine/>
    <w:qFormat/>
    <w:locked/>
    <w:uiPriority w:val="0"/>
    <w:rPr>
      <w:sz w:val="18"/>
    </w:rPr>
  </w:style>
  <w:style w:type="character" w:customStyle="1" w:styleId="113">
    <w:name w:val="样式 居中 Char Char"/>
    <w:link w:val="114"/>
    <w:autoRedefine/>
    <w:qFormat/>
    <w:uiPriority w:val="0"/>
    <w:rPr>
      <w:rFonts w:cs="宋体"/>
      <w:b/>
      <w:kern w:val="10"/>
      <w:sz w:val="24"/>
      <w:szCs w:val="28"/>
    </w:rPr>
  </w:style>
  <w:style w:type="paragraph" w:customStyle="1" w:styleId="114">
    <w:name w:val="样式 居中"/>
    <w:basedOn w:val="1"/>
    <w:link w:val="113"/>
    <w:autoRedefine/>
    <w:qFormat/>
    <w:uiPriority w:val="0"/>
    <w:pPr>
      <w:ind w:left="179" w:leftChars="38" w:hanging="88"/>
      <w:jc w:val="center"/>
    </w:pPr>
    <w:rPr>
      <w:b/>
      <w:kern w:val="10"/>
      <w:sz w:val="24"/>
      <w:szCs w:val="28"/>
    </w:rPr>
  </w:style>
  <w:style w:type="character" w:customStyle="1" w:styleId="115">
    <w:name w:val="表格 Char Char"/>
    <w:autoRedefine/>
    <w:qFormat/>
    <w:uiPriority w:val="0"/>
    <w:rPr>
      <w:rFonts w:eastAsia="宋体"/>
      <w:kern w:val="2"/>
      <w:sz w:val="24"/>
      <w:szCs w:val="24"/>
      <w:lang w:val="en-US" w:eastAsia="zh-CN" w:bidi="ar-SA"/>
    </w:rPr>
  </w:style>
  <w:style w:type="character" w:customStyle="1" w:styleId="116">
    <w:name w:val="正文（首行缩进两字） Char2"/>
    <w:link w:val="117"/>
    <w:autoRedefine/>
    <w:qFormat/>
    <w:uiPriority w:val="0"/>
    <w:rPr>
      <w:kern w:val="2"/>
      <w:sz w:val="28"/>
      <w:szCs w:val="24"/>
    </w:rPr>
  </w:style>
  <w:style w:type="paragraph" w:customStyle="1" w:styleId="117">
    <w:name w:val="表格标题"/>
    <w:basedOn w:val="1"/>
    <w:next w:val="1"/>
    <w:link w:val="116"/>
    <w:autoRedefine/>
    <w:qFormat/>
    <w:uiPriority w:val="0"/>
    <w:pPr>
      <w:adjustRightInd w:val="0"/>
      <w:snapToGrid w:val="0"/>
      <w:spacing w:before="120" w:after="120"/>
      <w:jc w:val="center"/>
    </w:pPr>
    <w:rPr>
      <w:sz w:val="28"/>
    </w:rPr>
  </w:style>
  <w:style w:type="character" w:customStyle="1" w:styleId="118">
    <w:name w:val="标题 4 Char"/>
    <w:link w:val="6"/>
    <w:autoRedefine/>
    <w:qFormat/>
    <w:uiPriority w:val="0"/>
    <w:rPr>
      <w:rFonts w:ascii="Arial" w:hAnsi="Arial" w:eastAsia="黑体"/>
      <w:b/>
      <w:bCs/>
      <w:kern w:val="2"/>
      <w:sz w:val="28"/>
      <w:szCs w:val="28"/>
    </w:rPr>
  </w:style>
  <w:style w:type="character" w:customStyle="1" w:styleId="119">
    <w:name w:val="unnamed11"/>
    <w:autoRedefine/>
    <w:qFormat/>
    <w:uiPriority w:val="0"/>
    <w:rPr>
      <w:rFonts w:hint="eastAsia" w:ascii="宋体" w:hAnsi="宋体" w:eastAsia="宋体"/>
      <w:sz w:val="18"/>
      <w:u w:val="none"/>
    </w:rPr>
  </w:style>
  <w:style w:type="character" w:customStyle="1" w:styleId="120">
    <w:name w:val="页眉 Char"/>
    <w:link w:val="26"/>
    <w:autoRedefine/>
    <w:qFormat/>
    <w:locked/>
    <w:uiPriority w:val="0"/>
    <w:rPr>
      <w:sz w:val="18"/>
    </w:rPr>
  </w:style>
  <w:style w:type="character" w:customStyle="1" w:styleId="121">
    <w:name w:val="标题 Char1"/>
    <w:autoRedefine/>
    <w:qFormat/>
    <w:uiPriority w:val="0"/>
    <w:rPr>
      <w:rFonts w:ascii="Cambria" w:hAnsi="Cambria" w:cs="Times New Roman"/>
      <w:b/>
      <w:bCs/>
      <w:kern w:val="2"/>
      <w:sz w:val="32"/>
      <w:szCs w:val="32"/>
    </w:rPr>
  </w:style>
  <w:style w:type="character" w:customStyle="1" w:styleId="122">
    <w:name w:val="正文文本缩进 Char"/>
    <w:link w:val="17"/>
    <w:autoRedefine/>
    <w:qFormat/>
    <w:locked/>
    <w:uiPriority w:val="0"/>
    <w:rPr>
      <w:rFonts w:ascii="Times New Roman" w:hAnsi="Times New Roman" w:eastAsia="宋体"/>
      <w:sz w:val="24"/>
    </w:rPr>
  </w:style>
  <w:style w:type="character" w:customStyle="1" w:styleId="123">
    <w:name w:val="font01"/>
    <w:autoRedefine/>
    <w:qFormat/>
    <w:uiPriority w:val="0"/>
    <w:rPr>
      <w:rFonts w:hint="eastAsia" w:ascii="宋体" w:hAnsi="宋体" w:eastAsia="宋体"/>
      <w:color w:val="000000"/>
      <w:sz w:val="24"/>
      <w:szCs w:val="24"/>
      <w:u w:val="none"/>
    </w:rPr>
  </w:style>
  <w:style w:type="character" w:customStyle="1" w:styleId="124">
    <w:name w:val="表格标题新 Char"/>
    <w:autoRedefine/>
    <w:qFormat/>
    <w:uiPriority w:val="0"/>
    <w:rPr>
      <w:rFonts w:ascii="Times New Roman" w:hAnsi="Times New Roman" w:eastAsia="宋体"/>
      <w:b/>
      <w:snapToGrid/>
      <w:spacing w:val="4"/>
      <w:kern w:val="18"/>
      <w:sz w:val="21"/>
      <w:lang w:val="en-US" w:eastAsia="zh-CN"/>
    </w:rPr>
  </w:style>
  <w:style w:type="character" w:customStyle="1" w:styleId="125">
    <w:name w:val="正文文本 字符1"/>
    <w:autoRedefine/>
    <w:semiHidden/>
    <w:qFormat/>
    <w:uiPriority w:val="0"/>
    <w:rPr>
      <w:rFonts w:ascii="Times New Roman" w:hAnsi="Times New Roman" w:eastAsia="宋体"/>
      <w:sz w:val="24"/>
    </w:rPr>
  </w:style>
  <w:style w:type="character" w:customStyle="1" w:styleId="126">
    <w:name w:val="正文文本 (2) Exact"/>
    <w:autoRedefine/>
    <w:qFormat/>
    <w:uiPriority w:val="0"/>
    <w:rPr>
      <w:rFonts w:ascii="MingLiU" w:hAnsi="MingLiU" w:eastAsia="MingLiU" w:cs="MingLiU"/>
      <w:sz w:val="22"/>
      <w:szCs w:val="22"/>
      <w:u w:val="none"/>
    </w:rPr>
  </w:style>
  <w:style w:type="character" w:customStyle="1" w:styleId="127">
    <w:name w:val="正文（首行缩进两字） Char Char1 Char Char Char Char Char Char Char Char Char Char"/>
    <w:autoRedefine/>
    <w:qFormat/>
    <w:uiPriority w:val="0"/>
    <w:rPr>
      <w:rFonts w:eastAsia="宋体"/>
      <w:kern w:val="2"/>
      <w:sz w:val="28"/>
      <w:szCs w:val="24"/>
      <w:lang w:val="en-US" w:eastAsia="zh-CN" w:bidi="ar-SA"/>
    </w:rPr>
  </w:style>
  <w:style w:type="character" w:customStyle="1" w:styleId="128">
    <w:name w:val="font11"/>
    <w:autoRedefine/>
    <w:qFormat/>
    <w:uiPriority w:val="0"/>
    <w:rPr>
      <w:rFonts w:hint="default" w:ascii="Times New Roman" w:hAnsi="Times New Roman" w:cs="Times New Roman"/>
      <w:color w:val="000000"/>
      <w:sz w:val="24"/>
      <w:szCs w:val="24"/>
      <w:u w:val="none"/>
    </w:rPr>
  </w:style>
  <w:style w:type="character" w:customStyle="1" w:styleId="129">
    <w:name w:val="标题 8 Char"/>
    <w:link w:val="10"/>
    <w:autoRedefine/>
    <w:qFormat/>
    <w:uiPriority w:val="0"/>
    <w:rPr>
      <w:rFonts w:ascii="Arial" w:hAnsi="Arial" w:eastAsia="黑体"/>
      <w:kern w:val="2"/>
      <w:sz w:val="24"/>
      <w:szCs w:val="24"/>
    </w:rPr>
  </w:style>
  <w:style w:type="character" w:customStyle="1" w:styleId="130">
    <w:name w:val="批注引用1"/>
    <w:autoRedefine/>
    <w:qFormat/>
    <w:uiPriority w:val="0"/>
    <w:rPr>
      <w:sz w:val="21"/>
      <w:szCs w:val="21"/>
    </w:rPr>
  </w:style>
  <w:style w:type="character" w:customStyle="1" w:styleId="131">
    <w:name w:val="Char Char2"/>
    <w:autoRedefine/>
    <w:qFormat/>
    <w:uiPriority w:val="0"/>
    <w:rPr>
      <w:rFonts w:eastAsia="宋体"/>
      <w:kern w:val="2"/>
      <w:sz w:val="21"/>
      <w:lang w:val="en-US" w:eastAsia="zh-CN" w:bidi="ar-SA"/>
    </w:rPr>
  </w:style>
  <w:style w:type="character" w:customStyle="1" w:styleId="132">
    <w:name w:val="0正文 字符"/>
    <w:link w:val="133"/>
    <w:autoRedefine/>
    <w:qFormat/>
    <w:uiPriority w:val="0"/>
    <w:rPr>
      <w:kern w:val="2"/>
      <w:sz w:val="24"/>
      <w:szCs w:val="24"/>
    </w:rPr>
  </w:style>
  <w:style w:type="paragraph" w:customStyle="1" w:styleId="133">
    <w:name w:val="0正文"/>
    <w:basedOn w:val="37"/>
    <w:link w:val="132"/>
    <w:autoRedefine/>
    <w:qFormat/>
    <w:uiPriority w:val="0"/>
    <w:pPr>
      <w:spacing w:before="0" w:beforeAutospacing="0" w:after="0" w:afterAutospacing="0" w:line="360" w:lineRule="auto"/>
      <w:ind w:firstLine="482"/>
      <w:jc w:val="both"/>
    </w:pPr>
    <w:rPr>
      <w:rFonts w:ascii="Times New Roman" w:hAnsi="Times New Roman"/>
      <w:kern w:val="2"/>
      <w:szCs w:val="24"/>
    </w:rPr>
  </w:style>
  <w:style w:type="character" w:customStyle="1" w:styleId="134">
    <w:name w:val="正文文本缩进 2 Char1"/>
    <w:autoRedefine/>
    <w:qFormat/>
    <w:uiPriority w:val="0"/>
    <w:rPr>
      <w:kern w:val="2"/>
      <w:sz w:val="21"/>
      <w:szCs w:val="24"/>
    </w:rPr>
  </w:style>
  <w:style w:type="character" w:customStyle="1" w:styleId="135">
    <w:name w:val="批注文字 字符1"/>
    <w:autoRedefine/>
    <w:semiHidden/>
    <w:qFormat/>
    <w:uiPriority w:val="0"/>
    <w:rPr>
      <w:rFonts w:ascii="Times New Roman" w:hAnsi="Times New Roman" w:eastAsia="宋体"/>
      <w:sz w:val="24"/>
    </w:rPr>
  </w:style>
  <w:style w:type="character" w:customStyle="1" w:styleId="136">
    <w:name w:val="文档结构图 Char"/>
    <w:link w:val="13"/>
    <w:autoRedefine/>
    <w:qFormat/>
    <w:uiPriority w:val="0"/>
    <w:rPr>
      <w:rFonts w:ascii="Calibri" w:hAnsi="Calibri"/>
      <w:kern w:val="2"/>
      <w:sz w:val="21"/>
      <w:shd w:val="clear" w:color="auto" w:fill="000080"/>
    </w:rPr>
  </w:style>
  <w:style w:type="character" w:customStyle="1" w:styleId="137">
    <w:name w:val="表格内容 字符"/>
    <w:link w:val="138"/>
    <w:autoRedefine/>
    <w:qFormat/>
    <w:uiPriority w:val="0"/>
    <w:rPr>
      <w:spacing w:val="5"/>
      <w:sz w:val="21"/>
      <w:szCs w:val="21"/>
      <w:lang w:val="zh-CN"/>
    </w:rPr>
  </w:style>
  <w:style w:type="paragraph" w:customStyle="1" w:styleId="138">
    <w:name w:val="表格内容"/>
    <w:basedOn w:val="1"/>
    <w:next w:val="20"/>
    <w:link w:val="137"/>
    <w:autoRedefine/>
    <w:qFormat/>
    <w:uiPriority w:val="0"/>
    <w:pPr>
      <w:jc w:val="center"/>
    </w:pPr>
    <w:rPr>
      <w:spacing w:val="5"/>
      <w:kern w:val="0"/>
      <w:szCs w:val="21"/>
      <w:lang w:val="zh-CN"/>
    </w:rPr>
  </w:style>
  <w:style w:type="paragraph" w:customStyle="1" w:styleId="139">
    <w:name w:val="报告表格"/>
    <w:basedOn w:val="1"/>
    <w:autoRedefine/>
    <w:qFormat/>
    <w:uiPriority w:val="0"/>
    <w:pPr>
      <w:autoSpaceDE w:val="0"/>
      <w:autoSpaceDN w:val="0"/>
      <w:adjustRightInd w:val="0"/>
      <w:spacing w:before="40" w:after="40"/>
      <w:jc w:val="center"/>
      <w:textAlignment w:val="baseline"/>
    </w:pPr>
    <w:rPr>
      <w:rFonts w:ascii="Calibri" w:hAnsi="Calibri"/>
      <w:kern w:val="0"/>
      <w:szCs w:val="20"/>
    </w:rPr>
  </w:style>
  <w:style w:type="paragraph" w:customStyle="1" w:styleId="140">
    <w:name w:val="xl42"/>
    <w:basedOn w:val="1"/>
    <w:autoRedefine/>
    <w:qFormat/>
    <w:uiPriority w:val="0"/>
    <w:pPr>
      <w:widowControl/>
      <w:pBdr>
        <w:bottom w:val="dotted" w:color="auto" w:sz="4" w:space="0"/>
        <w:right w:val="dotted" w:color="auto" w:sz="4" w:space="0"/>
      </w:pBdr>
      <w:spacing w:before="100" w:beforeAutospacing="1" w:after="100" w:afterAutospacing="1"/>
    </w:pPr>
    <w:rPr>
      <w:rFonts w:ascii="Calibri" w:hAnsi="Calibri"/>
      <w:kern w:val="0"/>
      <w:szCs w:val="21"/>
    </w:rPr>
  </w:style>
  <w:style w:type="paragraph" w:customStyle="1" w:styleId="141">
    <w:name w:val="报告表正文"/>
    <w:basedOn w:val="1"/>
    <w:autoRedefine/>
    <w:qFormat/>
    <w:uiPriority w:val="0"/>
    <w:pPr>
      <w:spacing w:line="360" w:lineRule="auto"/>
      <w:ind w:firstLine="200" w:firstLineChars="200"/>
      <w:textAlignment w:val="baseline"/>
    </w:pPr>
    <w:rPr>
      <w:rFonts w:ascii="Calibri" w:hAnsi="Calibri"/>
      <w:sz w:val="24"/>
      <w:szCs w:val="20"/>
    </w:rPr>
  </w:style>
  <w:style w:type="paragraph" w:customStyle="1" w:styleId="142">
    <w:name w:val="文本框"/>
    <w:basedOn w:val="1"/>
    <w:next w:val="1"/>
    <w:autoRedefine/>
    <w:qFormat/>
    <w:uiPriority w:val="0"/>
    <w:pPr>
      <w:tabs>
        <w:tab w:val="left" w:pos="0"/>
      </w:tabs>
      <w:spacing w:line="240" w:lineRule="atLeast"/>
      <w:jc w:val="center"/>
    </w:pPr>
    <w:rPr>
      <w:rFonts w:ascii="Calibri" w:hAnsi="Calibri" w:eastAsia="仿宋_GB2312"/>
      <w:spacing w:val="12"/>
      <w:szCs w:val="28"/>
    </w:rPr>
  </w:style>
  <w:style w:type="paragraph" w:customStyle="1" w:styleId="143">
    <w:name w:val=" Char Char Char Char1 Char Char Char"/>
    <w:basedOn w:val="1"/>
    <w:autoRedefine/>
    <w:qFormat/>
    <w:uiPriority w:val="0"/>
    <w:rPr>
      <w:rFonts w:ascii="Calibri" w:hAnsi="Calibri"/>
      <w:sz w:val="24"/>
    </w:rPr>
  </w:style>
  <w:style w:type="paragraph" w:customStyle="1" w:styleId="144">
    <w:name w:val="Date1"/>
    <w:basedOn w:val="1"/>
    <w:next w:val="1"/>
    <w:autoRedefine/>
    <w:qFormat/>
    <w:uiPriority w:val="0"/>
    <w:pPr>
      <w:adjustRightInd w:val="0"/>
      <w:textAlignment w:val="baseline"/>
    </w:pPr>
    <w:rPr>
      <w:rFonts w:ascii="Calibri" w:hAnsi="Calibri"/>
      <w:szCs w:val="20"/>
    </w:rPr>
  </w:style>
  <w:style w:type="paragraph" w:customStyle="1" w:styleId="145">
    <w:name w:val="_Style 17"/>
    <w:basedOn w:val="1"/>
    <w:autoRedefine/>
    <w:qFormat/>
    <w:uiPriority w:val="0"/>
    <w:rPr>
      <w:rFonts w:ascii="Calibri" w:hAnsi="Calibri"/>
      <w:szCs w:val="20"/>
    </w:rPr>
  </w:style>
  <w:style w:type="paragraph" w:customStyle="1" w:styleId="146">
    <w:name w:val="1"/>
    <w:basedOn w:val="1"/>
    <w:next w:val="17"/>
    <w:autoRedefine/>
    <w:qFormat/>
    <w:uiPriority w:val="0"/>
    <w:pPr>
      <w:spacing w:line="360" w:lineRule="auto"/>
      <w:ind w:firstLine="480"/>
    </w:pPr>
    <w:rPr>
      <w:rFonts w:ascii="Calibri" w:hAnsi="Calibri"/>
      <w:sz w:val="24"/>
      <w:szCs w:val="20"/>
    </w:rPr>
  </w:style>
  <w:style w:type="paragraph" w:customStyle="1" w:styleId="147">
    <w:name w:val="z-窗体顶端1"/>
    <w:basedOn w:val="1"/>
    <w:next w:val="1"/>
    <w:autoRedefine/>
    <w:qFormat/>
    <w:uiPriority w:val="0"/>
    <w:pPr>
      <w:pBdr>
        <w:bottom w:val="single" w:color="auto" w:sz="6" w:space="1"/>
      </w:pBdr>
      <w:adjustRightInd w:val="0"/>
      <w:snapToGrid w:val="0"/>
      <w:spacing w:line="300" w:lineRule="auto"/>
      <w:jc w:val="center"/>
    </w:pPr>
    <w:rPr>
      <w:rFonts w:ascii="Arial" w:hAnsi="Arial" w:eastAsia="仿宋_GB2312" w:cs="Arial"/>
      <w:vanish/>
      <w:sz w:val="16"/>
      <w:szCs w:val="16"/>
    </w:rPr>
  </w:style>
  <w:style w:type="paragraph" w:customStyle="1" w:styleId="148">
    <w:name w:val="Char Char Char Char Char Char Char Char Char1 Char Char Char Char Char Char Char"/>
    <w:basedOn w:val="1"/>
    <w:autoRedefine/>
    <w:qFormat/>
    <w:uiPriority w:val="0"/>
    <w:rPr>
      <w:rFonts w:ascii="Calibri" w:hAnsi="Calibri"/>
      <w:szCs w:val="20"/>
    </w:rPr>
  </w:style>
  <w:style w:type="paragraph" w:customStyle="1" w:styleId="149">
    <w:name w:val="xl67"/>
    <w:basedOn w:val="1"/>
    <w:autoRedefine/>
    <w:qFormat/>
    <w:uiPriority w:val="0"/>
    <w:pPr>
      <w:widowControl/>
      <w:pBdr>
        <w:left w:val="single" w:color="auto" w:sz="4" w:space="0"/>
      </w:pBdr>
      <w:spacing w:before="100" w:beforeAutospacing="1" w:after="100" w:afterAutospacing="1"/>
    </w:pPr>
    <w:rPr>
      <w:rFonts w:hint="eastAsia" w:ascii="仿宋_GB2312" w:hAnsi="宋体" w:eastAsia="仿宋_GB2312"/>
      <w:kern w:val="0"/>
      <w:sz w:val="24"/>
      <w:szCs w:val="20"/>
    </w:rPr>
  </w:style>
  <w:style w:type="paragraph" w:customStyle="1" w:styleId="150">
    <w:name w:val="表字1"/>
    <w:basedOn w:val="1"/>
    <w:autoRedefine/>
    <w:qFormat/>
    <w:uiPriority w:val="0"/>
    <w:pPr>
      <w:adjustRightInd w:val="0"/>
      <w:spacing w:line="360" w:lineRule="auto"/>
      <w:jc w:val="center"/>
      <w:textAlignment w:val="baseline"/>
    </w:pPr>
    <w:rPr>
      <w:rFonts w:ascii="宋体" w:hAnsi="Calibri"/>
      <w:kern w:val="0"/>
      <w:szCs w:val="20"/>
    </w:rPr>
  </w:style>
  <w:style w:type="paragraph" w:customStyle="1" w:styleId="151">
    <w:name w:val="Normal"/>
    <w:autoRedefine/>
    <w:qFormat/>
    <w:uiPriority w:val="0"/>
    <w:pPr>
      <w:jc w:val="both"/>
    </w:pPr>
    <w:rPr>
      <w:rFonts w:ascii="Calibri" w:hAnsi="Calibri" w:eastAsia="宋体" w:cs="Calibri"/>
      <w:kern w:val="2"/>
      <w:sz w:val="21"/>
      <w:szCs w:val="21"/>
      <w:lang w:val="en-US" w:eastAsia="zh-CN" w:bidi="ar-SA"/>
    </w:rPr>
  </w:style>
  <w:style w:type="paragraph" w:customStyle="1" w:styleId="152">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3">
    <w:name w:val="4"/>
    <w:basedOn w:val="1"/>
    <w:next w:val="17"/>
    <w:autoRedefine/>
    <w:qFormat/>
    <w:uiPriority w:val="0"/>
    <w:pPr>
      <w:ind w:firstLine="564"/>
    </w:pPr>
    <w:rPr>
      <w:rFonts w:ascii="Calibri" w:hAnsi="Calibri"/>
      <w:szCs w:val="20"/>
    </w:rPr>
  </w:style>
  <w:style w:type="paragraph" w:customStyle="1" w:styleId="154">
    <w:name w:val="样式 标题 1 + 段前: 1 行 段后: 1.5 行"/>
    <w:basedOn w:val="1"/>
    <w:autoRedefine/>
    <w:qFormat/>
    <w:uiPriority w:val="0"/>
    <w:pPr>
      <w:tabs>
        <w:tab w:val="left" w:pos="432"/>
      </w:tabs>
      <w:ind w:left="432" w:hanging="432"/>
    </w:pPr>
    <w:rPr>
      <w:rFonts w:ascii="Calibri" w:hAnsi="Calibri"/>
    </w:rPr>
  </w:style>
  <w:style w:type="paragraph" w:customStyle="1" w:styleId="155">
    <w:name w:val="p20"/>
    <w:basedOn w:val="1"/>
    <w:autoRedefine/>
    <w:qFormat/>
    <w:uiPriority w:val="0"/>
    <w:pPr>
      <w:widowControl/>
      <w:spacing w:after="120"/>
      <w:ind w:firstLine="210"/>
    </w:pPr>
    <w:rPr>
      <w:rFonts w:ascii="宋体" w:hAnsi="宋体" w:cs="宋体"/>
      <w:kern w:val="0"/>
      <w:szCs w:val="21"/>
    </w:rPr>
  </w:style>
  <w:style w:type="paragraph" w:customStyle="1" w:styleId="156">
    <w:name w:val="Char Char Char Char Char Char Char Char Char1 Char"/>
    <w:basedOn w:val="1"/>
    <w:autoRedefine/>
    <w:qFormat/>
    <w:uiPriority w:val="0"/>
    <w:rPr>
      <w:rFonts w:ascii="Calibri" w:hAnsi="Calibri"/>
      <w:sz w:val="24"/>
    </w:rPr>
  </w:style>
  <w:style w:type="paragraph" w:customStyle="1" w:styleId="157">
    <w:name w:val="Other|1"/>
    <w:basedOn w:val="1"/>
    <w:autoRedefine/>
    <w:qFormat/>
    <w:uiPriority w:val="0"/>
    <w:pPr>
      <w:jc w:val="center"/>
    </w:pPr>
    <w:rPr>
      <w:rFonts w:ascii="宋体" w:hAnsi="宋体" w:cs="宋体"/>
      <w:szCs w:val="20"/>
      <w:lang w:val="zh-TW" w:eastAsia="zh-TW" w:bidi="zh-TW"/>
    </w:rPr>
  </w:style>
  <w:style w:type="paragraph" w:customStyle="1" w:styleId="158">
    <w:name w:val="样式 XYF1 + 宋体"/>
    <w:basedOn w:val="1"/>
    <w:autoRedefine/>
    <w:qFormat/>
    <w:uiPriority w:val="0"/>
    <w:pPr>
      <w:tabs>
        <w:tab w:val="left" w:pos="1080"/>
      </w:tabs>
      <w:spacing w:line="480" w:lineRule="exact"/>
      <w:ind w:firstLine="200" w:firstLineChars="200"/>
    </w:pPr>
    <w:rPr>
      <w:rFonts w:ascii="宋体" w:hAnsi="宋体" w:cs="宋体"/>
      <w:sz w:val="28"/>
      <w:szCs w:val="20"/>
    </w:rPr>
  </w:style>
  <w:style w:type="paragraph" w:customStyle="1" w:styleId="159">
    <w:name w:val="Char"/>
    <w:basedOn w:val="1"/>
    <w:autoRedefine/>
    <w:qFormat/>
    <w:uiPriority w:val="0"/>
    <w:rPr>
      <w:rFonts w:ascii="Calibri" w:hAnsi="Calibri"/>
      <w:sz w:val="24"/>
    </w:rPr>
  </w:style>
  <w:style w:type="paragraph" w:customStyle="1" w:styleId="160">
    <w:name w:val="Char Char Char Char Char Char Char Char Char1 Char Char Char Char Char"/>
    <w:basedOn w:val="1"/>
    <w:autoRedefine/>
    <w:qFormat/>
    <w:uiPriority w:val="0"/>
    <w:rPr>
      <w:rFonts w:ascii="Calibri" w:hAnsi="Calibri"/>
      <w:szCs w:val="20"/>
    </w:rPr>
  </w:style>
  <w:style w:type="paragraph" w:customStyle="1" w:styleId="161">
    <w:name w:val="Char Char Char Char Char Char Char Char Char Char Char Char Char Char Char Char Char Char"/>
    <w:basedOn w:val="1"/>
    <w:autoRedefine/>
    <w:qFormat/>
    <w:uiPriority w:val="0"/>
    <w:rPr>
      <w:rFonts w:ascii="Calibri" w:hAnsi="Calibri"/>
      <w:sz w:val="24"/>
    </w:rPr>
  </w:style>
  <w:style w:type="paragraph" w:customStyle="1" w:styleId="162">
    <w:name w:val="列出段落2"/>
    <w:basedOn w:val="1"/>
    <w:autoRedefine/>
    <w:qFormat/>
    <w:uiPriority w:val="0"/>
    <w:pPr>
      <w:ind w:firstLine="420" w:firstLineChars="200"/>
    </w:pPr>
    <w:rPr>
      <w:rFonts w:ascii="Calibri" w:hAnsi="Calibri"/>
      <w:szCs w:val="22"/>
    </w:rPr>
  </w:style>
  <w:style w:type="paragraph" w:customStyle="1" w:styleId="163">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 w:val="24"/>
    </w:rPr>
  </w:style>
  <w:style w:type="paragraph" w:customStyle="1" w:styleId="164">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165">
    <w:name w:val="listparagraph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6">
    <w:name w:val="默认段落字体 Para Char Char Char Char"/>
    <w:basedOn w:val="1"/>
    <w:autoRedefine/>
    <w:qFormat/>
    <w:uiPriority w:val="0"/>
    <w:rPr>
      <w:rFonts w:ascii="Calibri" w:hAnsi="Calibri"/>
      <w:sz w:val="24"/>
    </w:rPr>
  </w:style>
  <w:style w:type="paragraph" w:customStyle="1" w:styleId="167">
    <w:name w:val="Char Char Char Char Char Char Char Char Char Char Char Char"/>
    <w:basedOn w:val="1"/>
    <w:autoRedefine/>
    <w:qFormat/>
    <w:uiPriority w:val="0"/>
    <w:rPr>
      <w:rFonts w:ascii="Calibri" w:hAnsi="Calibri"/>
      <w:sz w:val="24"/>
    </w:rPr>
  </w:style>
  <w:style w:type="paragraph" w:customStyle="1" w:styleId="168">
    <w:name w:val="样式3"/>
    <w:basedOn w:val="22"/>
    <w:autoRedefine/>
    <w:qFormat/>
    <w:uiPriority w:val="0"/>
    <w:pPr>
      <w:widowControl/>
      <w:adjustRightInd w:val="0"/>
      <w:snapToGrid w:val="0"/>
      <w:spacing w:line="360" w:lineRule="auto"/>
      <w:ind w:left="0" w:leftChars="0" w:firstLine="480" w:firstLineChars="200"/>
      <w:jc w:val="center"/>
    </w:pPr>
    <w:rPr>
      <w:rFonts w:ascii="宋体" w:hAnsi="宋体"/>
      <w:szCs w:val="24"/>
    </w:rPr>
  </w:style>
  <w:style w:type="paragraph" w:customStyle="1" w:styleId="169">
    <w:name w:val="样式 标题 3 + 段前: 3 磅 段后: 3 磅 行距: 多倍行距 1.35 字行1"/>
    <w:basedOn w:val="4"/>
    <w:autoRedefine/>
    <w:qFormat/>
    <w:uiPriority w:val="0"/>
    <w:pPr>
      <w:tabs>
        <w:tab w:val="left" w:pos="851"/>
        <w:tab w:val="left" w:pos="1080"/>
      </w:tabs>
      <w:adjustRightInd w:val="0"/>
      <w:snapToGrid w:val="0"/>
      <w:spacing w:before="60" w:after="60" w:line="324" w:lineRule="auto"/>
      <w:ind w:left="1080" w:hanging="420"/>
    </w:pPr>
    <w:rPr>
      <w:rFonts w:ascii="仿宋_GB2312" w:hAnsi="宋体" w:eastAsia="仿宋_GB2312" w:cs="宋体"/>
      <w:bCs w:val="0"/>
      <w:color w:val="000000"/>
      <w:sz w:val="28"/>
      <w:szCs w:val="20"/>
    </w:rPr>
  </w:style>
  <w:style w:type="paragraph" w:customStyle="1" w:styleId="170">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71">
    <w:name w:val="xl3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kern w:val="0"/>
      <w:sz w:val="24"/>
    </w:rPr>
  </w:style>
  <w:style w:type="paragraph" w:customStyle="1" w:styleId="172">
    <w:name w:val="_Style 78"/>
    <w:basedOn w:val="1"/>
    <w:autoRedefine/>
    <w:qFormat/>
    <w:uiPriority w:val="0"/>
    <w:pPr>
      <w:spacing w:before="62" w:beforeLines="20" w:line="440" w:lineRule="atLeast"/>
      <w:ind w:firstLine="200" w:firstLineChars="200"/>
    </w:pPr>
    <w:rPr>
      <w:rFonts w:ascii="Calibri" w:hAnsi="Calibri"/>
      <w:sz w:val="24"/>
    </w:rPr>
  </w:style>
  <w:style w:type="paragraph" w:customStyle="1" w:styleId="173">
    <w:name w:val="小四表文左齐"/>
    <w:basedOn w:val="1"/>
    <w:autoRedefine/>
    <w:qFormat/>
    <w:uiPriority w:val="0"/>
    <w:pPr>
      <w:jc w:val="center"/>
    </w:pPr>
    <w:rPr>
      <w:rFonts w:ascii="宋体" w:hAnsi="宋体"/>
      <w:color w:val="000000"/>
      <w:szCs w:val="21"/>
    </w:rPr>
  </w:style>
  <w:style w:type="paragraph" w:customStyle="1" w:styleId="174">
    <w:name w:val="表文字"/>
    <w:basedOn w:val="1"/>
    <w:autoRedefine/>
    <w:qFormat/>
    <w:uiPriority w:val="0"/>
    <w:pPr>
      <w:widowControl/>
      <w:jc w:val="center"/>
    </w:pPr>
    <w:rPr>
      <w:rFonts w:ascii="Calibri" w:hAnsi="Calibri"/>
      <w:kern w:val="0"/>
      <w:szCs w:val="21"/>
    </w:rPr>
  </w:style>
  <w:style w:type="paragraph" w:customStyle="1" w:styleId="175">
    <w:name w:val="List Paragraph1"/>
    <w:basedOn w:val="1"/>
    <w:autoRedefine/>
    <w:qFormat/>
    <w:uiPriority w:val="0"/>
    <w:pPr>
      <w:ind w:firstLine="420" w:firstLineChars="200"/>
    </w:pPr>
    <w:rPr>
      <w:rFonts w:ascii="Calibri" w:hAnsi="Calibri"/>
      <w:szCs w:val="22"/>
    </w:rPr>
  </w:style>
  <w:style w:type="paragraph" w:customStyle="1" w:styleId="176">
    <w:name w:val="xl23"/>
    <w:basedOn w:val="1"/>
    <w:autoRedefine/>
    <w:qFormat/>
    <w:uiPriority w:val="0"/>
    <w:pPr>
      <w:widowControl/>
      <w:spacing w:before="100" w:beforeAutospacing="1" w:after="100" w:afterAutospacing="1"/>
      <w:jc w:val="center"/>
    </w:pPr>
    <w:rPr>
      <w:rFonts w:ascii="Arial Unicode MS" w:hAnsi="Arial Unicode MS"/>
      <w:kern w:val="0"/>
      <w:sz w:val="24"/>
    </w:rPr>
  </w:style>
  <w:style w:type="paragraph" w:customStyle="1" w:styleId="177">
    <w:name w:val="表格内文字"/>
    <w:basedOn w:val="1"/>
    <w:autoRedefine/>
    <w:qFormat/>
    <w:uiPriority w:val="0"/>
    <w:pPr>
      <w:tabs>
        <w:tab w:val="left" w:pos="0"/>
      </w:tabs>
      <w:jc w:val="center"/>
    </w:pPr>
    <w:rPr>
      <w:rFonts w:ascii="Calibri" w:hAnsi="Calibri" w:eastAsia="仿宋_GB2312"/>
      <w:sz w:val="24"/>
    </w:rPr>
  </w:style>
  <w:style w:type="paragraph" w:customStyle="1" w:styleId="178">
    <w:name w:val=" Char Char Char Char Char Char Char"/>
    <w:basedOn w:val="1"/>
    <w:autoRedefine/>
    <w:qFormat/>
    <w:uiPriority w:val="0"/>
    <w:rPr>
      <w:rFonts w:ascii="Calibri" w:hAnsi="Calibri"/>
      <w:sz w:val="24"/>
    </w:rPr>
  </w:style>
  <w:style w:type="paragraph" w:customStyle="1" w:styleId="179">
    <w:name w:val=" Char Char Char Char Char Char Char Char Char1 Char"/>
    <w:basedOn w:val="1"/>
    <w:autoRedefine/>
    <w:qFormat/>
    <w:uiPriority w:val="0"/>
    <w:rPr>
      <w:rFonts w:ascii="Calibri" w:hAnsi="Calibri"/>
    </w:rPr>
  </w:style>
  <w:style w:type="paragraph" w:customStyle="1" w:styleId="180">
    <w:name w:val="p19"/>
    <w:basedOn w:val="1"/>
    <w:autoRedefine/>
    <w:qFormat/>
    <w:uiPriority w:val="0"/>
    <w:pPr>
      <w:widowControl/>
      <w:jc w:val="center"/>
    </w:pPr>
    <w:rPr>
      <w:rFonts w:ascii="仿宋_GB2312" w:hAnsi="宋体" w:eastAsia="仿宋_GB2312" w:cs="宋体"/>
      <w:kern w:val="0"/>
      <w:sz w:val="24"/>
    </w:rPr>
  </w:style>
  <w:style w:type="paragraph" w:customStyle="1" w:styleId="181">
    <w:name w:val="p15"/>
    <w:basedOn w:val="1"/>
    <w:autoRedefine/>
    <w:qFormat/>
    <w:uiPriority w:val="0"/>
    <w:pPr>
      <w:widowControl/>
      <w:snapToGrid w:val="0"/>
      <w:ind w:left="113" w:right="-80" w:hanging="113"/>
      <w:jc w:val="center"/>
    </w:pPr>
    <w:rPr>
      <w:rFonts w:ascii="仿宋_GB2312" w:hAnsi="宋体" w:eastAsia="仿宋_GB2312" w:cs="宋体"/>
      <w:kern w:val="0"/>
      <w:sz w:val="20"/>
      <w:szCs w:val="20"/>
    </w:rPr>
  </w:style>
  <w:style w:type="paragraph" w:customStyle="1" w:styleId="182">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3">
    <w:name w:val="标题2"/>
    <w:basedOn w:val="1"/>
    <w:next w:val="1"/>
    <w:autoRedefine/>
    <w:qFormat/>
    <w:uiPriority w:val="0"/>
    <w:pPr>
      <w:autoSpaceDE w:val="0"/>
      <w:autoSpaceDN w:val="0"/>
      <w:snapToGrid w:val="0"/>
      <w:spacing w:line="590" w:lineRule="atLeast"/>
      <w:jc w:val="center"/>
    </w:pPr>
    <w:rPr>
      <w:rFonts w:ascii="Calibri" w:hAnsi="Calibri" w:eastAsia="方正楷体_GBK"/>
      <w:snapToGrid w:val="0"/>
      <w:kern w:val="0"/>
      <w:sz w:val="32"/>
      <w:szCs w:val="20"/>
    </w:rPr>
  </w:style>
  <w:style w:type="paragraph" w:customStyle="1" w:styleId="184">
    <w:name w:val="Char Char Char Char Char Char"/>
    <w:basedOn w:val="1"/>
    <w:autoRedefine/>
    <w:qFormat/>
    <w:uiPriority w:val="0"/>
    <w:rPr>
      <w:rFonts w:ascii="Calibri" w:hAnsi="Calibri"/>
      <w:sz w:val="24"/>
    </w:rPr>
  </w:style>
  <w:style w:type="paragraph" w:customStyle="1" w:styleId="185">
    <w:name w:val="标题 41"/>
    <w:basedOn w:val="1"/>
    <w:autoRedefine/>
    <w:qFormat/>
    <w:uiPriority w:val="1"/>
    <w:pPr>
      <w:jc w:val="left"/>
      <w:outlineLvl w:val="4"/>
    </w:pPr>
    <w:rPr>
      <w:rFonts w:ascii="宋体" w:hAnsi="宋体"/>
      <w:bCs/>
      <w:kern w:val="0"/>
      <w:sz w:val="24"/>
      <w:lang w:eastAsia="en-US"/>
    </w:rPr>
  </w:style>
  <w:style w:type="paragraph" w:customStyle="1" w:styleId="186">
    <w:name w:val=" Char1"/>
    <w:basedOn w:val="1"/>
    <w:autoRedefine/>
    <w:qFormat/>
    <w:uiPriority w:val="0"/>
    <w:rPr>
      <w:rFonts w:ascii="Calibri" w:hAnsi="Calibri"/>
      <w:sz w:val="24"/>
    </w:rPr>
  </w:style>
  <w:style w:type="paragraph" w:customStyle="1" w:styleId="187">
    <w:name w:val="默认段落字体 Para Char Char Char Char Char Char Char Char Char Char Char Char Char"/>
    <w:basedOn w:val="1"/>
    <w:autoRedefine/>
    <w:qFormat/>
    <w:uiPriority w:val="0"/>
    <w:rPr>
      <w:rFonts w:ascii="Calibri" w:hAnsi="Calibri"/>
      <w:sz w:val="24"/>
    </w:rPr>
  </w:style>
  <w:style w:type="paragraph" w:customStyle="1" w:styleId="188">
    <w:name w:val="新表"/>
    <w:basedOn w:val="1"/>
    <w:autoRedefine/>
    <w:qFormat/>
    <w:uiPriority w:val="0"/>
    <w:pPr>
      <w:spacing w:line="360" w:lineRule="exact"/>
    </w:pPr>
    <w:rPr>
      <w:rFonts w:ascii="Calibri" w:hAnsi="Calibri" w:eastAsia="仿宋_GB2312"/>
      <w:bCs/>
      <w:kern w:val="0"/>
      <w:sz w:val="24"/>
      <w:szCs w:val="20"/>
    </w:rPr>
  </w:style>
  <w:style w:type="paragraph" w:customStyle="1" w:styleId="189">
    <w:name w:val="框图"/>
    <w:basedOn w:val="1"/>
    <w:autoRedefine/>
    <w:qFormat/>
    <w:uiPriority w:val="0"/>
    <w:pPr>
      <w:adjustRightInd w:val="0"/>
      <w:snapToGrid w:val="0"/>
      <w:spacing w:line="27" w:lineRule="atLeast"/>
      <w:ind w:left="12" w:leftChars="-38" w:right="-38" w:rightChars="-38" w:hanging="92" w:hangingChars="54"/>
      <w:jc w:val="center"/>
    </w:pPr>
    <w:rPr>
      <w:rFonts w:ascii="宋体" w:hAnsi="宋体"/>
      <w:spacing w:val="-20"/>
      <w:szCs w:val="20"/>
    </w:rPr>
  </w:style>
  <w:style w:type="paragraph" w:customStyle="1" w:styleId="19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1">
    <w:name w:val="Char Char Char1 Char"/>
    <w:basedOn w:val="1"/>
    <w:autoRedefine/>
    <w:qFormat/>
    <w:uiPriority w:val="0"/>
    <w:rPr>
      <w:rFonts w:ascii="Calibri" w:hAnsi="Calibri"/>
      <w:sz w:val="24"/>
    </w:rPr>
  </w:style>
  <w:style w:type="paragraph" w:customStyle="1" w:styleId="192">
    <w:name w:val="5正文 首行缩进"/>
    <w:basedOn w:val="1"/>
    <w:autoRedefine/>
    <w:qFormat/>
    <w:uiPriority w:val="0"/>
    <w:pPr>
      <w:adjustRightInd w:val="0"/>
      <w:snapToGrid w:val="0"/>
      <w:spacing w:line="360" w:lineRule="auto"/>
      <w:ind w:firstLine="480" w:firstLineChars="200"/>
    </w:pPr>
    <w:rPr>
      <w:rFonts w:ascii="Calibri" w:hAnsi="Calibri" w:cs="宋体"/>
      <w:sz w:val="24"/>
      <w:szCs w:val="20"/>
    </w:rPr>
  </w:style>
  <w:style w:type="paragraph" w:customStyle="1" w:styleId="193">
    <w:name w:val="Char Char Char1 Char1"/>
    <w:basedOn w:val="1"/>
    <w:autoRedefine/>
    <w:qFormat/>
    <w:uiPriority w:val="0"/>
    <w:rPr>
      <w:rFonts w:ascii="Calibri" w:hAnsi="Calibri"/>
      <w:sz w:val="24"/>
      <w:szCs w:val="20"/>
    </w:rPr>
  </w:style>
  <w:style w:type="paragraph" w:customStyle="1" w:styleId="194">
    <w:name w:val="默认段落字体 Para Char Char Char1 Char Char Char Char Char Char Char Char Char Char"/>
    <w:basedOn w:val="1"/>
    <w:autoRedefine/>
    <w:qFormat/>
    <w:uiPriority w:val="0"/>
    <w:rPr>
      <w:rFonts w:ascii="Calibri" w:hAnsi="Calibri"/>
      <w:sz w:val="24"/>
    </w:rPr>
  </w:style>
  <w:style w:type="paragraph" w:customStyle="1" w:styleId="195">
    <w:name w:val=" Char Char Char Char Char Char Char Char Char Char Char"/>
    <w:basedOn w:val="1"/>
    <w:autoRedefine/>
    <w:qFormat/>
    <w:uiPriority w:val="0"/>
    <w:rPr>
      <w:rFonts w:ascii="Calibri" w:hAnsi="Calibri"/>
      <w:sz w:val="24"/>
    </w:rPr>
  </w:style>
  <w:style w:type="paragraph" w:customStyle="1" w:styleId="196">
    <w:name w:val="Char Char Char1 Char2"/>
    <w:basedOn w:val="1"/>
    <w:autoRedefine/>
    <w:qFormat/>
    <w:uiPriority w:val="0"/>
    <w:rPr>
      <w:rFonts w:ascii="Calibri" w:hAnsi="Calibri"/>
      <w:sz w:val="24"/>
    </w:rPr>
  </w:style>
  <w:style w:type="paragraph" w:customStyle="1" w:styleId="197">
    <w:name w:val="pic-info"/>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8">
    <w:name w:val="15"/>
    <w:basedOn w:val="1"/>
    <w:autoRedefine/>
    <w:qFormat/>
    <w:uiPriority w:val="0"/>
    <w:pPr>
      <w:widowControl/>
      <w:snapToGrid w:val="0"/>
      <w:spacing w:before="100" w:beforeAutospacing="1" w:after="100" w:afterAutospacing="1" w:line="440" w:lineRule="atLeast"/>
      <w:jc w:val="left"/>
    </w:pPr>
    <w:rPr>
      <w:rFonts w:ascii="Calibri" w:hAnsi="Calibri"/>
      <w:color w:val="FF0000"/>
      <w:kern w:val="0"/>
      <w:sz w:val="24"/>
      <w:szCs w:val="20"/>
    </w:rPr>
  </w:style>
  <w:style w:type="paragraph" w:customStyle="1" w:styleId="199">
    <w:name w:val="列出段落1"/>
    <w:basedOn w:val="1"/>
    <w:autoRedefine/>
    <w:qFormat/>
    <w:uiPriority w:val="0"/>
    <w:pPr>
      <w:ind w:firstLine="420" w:firstLineChars="200"/>
    </w:pPr>
    <w:rPr>
      <w:rFonts w:ascii="Calibri" w:hAnsi="Calibri"/>
      <w:szCs w:val="22"/>
    </w:rPr>
  </w:style>
  <w:style w:type="paragraph" w:customStyle="1" w:styleId="200">
    <w:name w:val="样式 标题 2节 + 自动设置"/>
    <w:basedOn w:val="3"/>
    <w:autoRedefine/>
    <w:qFormat/>
    <w:uiPriority w:val="0"/>
    <w:pPr>
      <w:tabs>
        <w:tab w:val="left" w:pos="948"/>
      </w:tabs>
      <w:adjustRightInd w:val="0"/>
      <w:snapToGrid w:val="0"/>
      <w:spacing w:before="156" w:beforeLines="50" w:after="0" w:line="360" w:lineRule="auto"/>
      <w:ind w:left="948" w:hanging="312"/>
    </w:pPr>
    <w:rPr>
      <w:rFonts w:ascii="仿宋_GB2312" w:hAnsi="Arial"/>
      <w:color w:val="000000"/>
      <w:sz w:val="30"/>
      <w:szCs w:val="30"/>
    </w:rPr>
  </w:style>
  <w:style w:type="paragraph" w:customStyle="1" w:styleId="201">
    <w:name w:val="Char Char Char1 Char Char Char Char Char Char"/>
    <w:basedOn w:val="1"/>
    <w:autoRedefine/>
    <w:qFormat/>
    <w:uiPriority w:val="0"/>
    <w:rPr>
      <w:rFonts w:ascii="Calibri" w:hAnsi="Calibri"/>
      <w:sz w:val="24"/>
    </w:rPr>
  </w:style>
  <w:style w:type="paragraph" w:customStyle="1" w:styleId="202">
    <w:name w:val="列出段落3"/>
    <w:basedOn w:val="1"/>
    <w:autoRedefine/>
    <w:qFormat/>
    <w:uiPriority w:val="0"/>
    <w:pPr>
      <w:ind w:firstLine="420" w:firstLineChars="200"/>
    </w:pPr>
    <w:rPr>
      <w:rFonts w:ascii="Calibri" w:hAnsi="Calibri"/>
      <w:szCs w:val="22"/>
    </w:rPr>
  </w:style>
  <w:style w:type="paragraph" w:customStyle="1" w:styleId="203">
    <w:name w:val="样式5"/>
    <w:basedOn w:val="1"/>
    <w:autoRedefine/>
    <w:qFormat/>
    <w:uiPriority w:val="0"/>
    <w:pPr>
      <w:spacing w:before="156" w:beforeLines="50" w:after="156" w:afterLines="50" w:line="480" w:lineRule="exact"/>
      <w:ind w:firstLine="300" w:firstLineChars="100"/>
    </w:pPr>
    <w:rPr>
      <w:rFonts w:ascii="Calibri" w:hAnsi="Calibri" w:eastAsia="仿宋_GB2312"/>
      <w:bCs/>
      <w:sz w:val="30"/>
      <w:szCs w:val="20"/>
    </w:rPr>
  </w:style>
  <w:style w:type="paragraph" w:customStyle="1" w:styleId="204">
    <w:name w:val=" Char Char Char Char Char Char Char Char Char Char Char Char"/>
    <w:basedOn w:val="1"/>
    <w:autoRedefine/>
    <w:qFormat/>
    <w:uiPriority w:val="0"/>
    <w:rPr>
      <w:rFonts w:ascii="Calibri" w:hAnsi="Calibri"/>
      <w:sz w:val="24"/>
    </w:rPr>
  </w:style>
  <w:style w:type="paragraph" w:customStyle="1" w:styleId="205">
    <w:name w:val="Char Char Char Char Char Char Char Char Char Char Char Char Char Char Char Char"/>
    <w:basedOn w:val="1"/>
    <w:autoRedefine/>
    <w:qFormat/>
    <w:uiPriority w:val="0"/>
    <w:rPr>
      <w:rFonts w:ascii="Calibri" w:hAnsi="Calibri"/>
      <w:sz w:val="24"/>
    </w:rPr>
  </w:style>
  <w:style w:type="paragraph" w:customStyle="1" w:styleId="206">
    <w:name w:val=" Char Char Char1 Char"/>
    <w:basedOn w:val="1"/>
    <w:autoRedefine/>
    <w:qFormat/>
    <w:uiPriority w:val="0"/>
    <w:rPr>
      <w:rFonts w:ascii="Calibri" w:hAnsi="Calibri"/>
      <w:sz w:val="24"/>
    </w:rPr>
  </w:style>
  <w:style w:type="paragraph" w:customStyle="1" w:styleId="207">
    <w:name w:val="默认段落字体 Para Char Char Char Char Char Char1 Char Char Char Char Char Char Char"/>
    <w:basedOn w:val="1"/>
    <w:autoRedefine/>
    <w:qFormat/>
    <w:uiPriority w:val="0"/>
    <w:rPr>
      <w:rFonts w:ascii="Calibri" w:hAnsi="Calibri"/>
      <w:sz w:val="24"/>
    </w:rPr>
  </w:style>
  <w:style w:type="paragraph" w:customStyle="1" w:styleId="208">
    <w:name w:val="Char Char Char Char Char Char Char Char Char Char Char Char Char Char Char Char Char Char Char Char Char1 Char Char Char Char"/>
    <w:basedOn w:val="1"/>
    <w:autoRedefine/>
    <w:qFormat/>
    <w:uiPriority w:val="0"/>
    <w:rPr>
      <w:rFonts w:ascii="Calibri" w:hAnsi="Calibri"/>
      <w:sz w:val="24"/>
    </w:rPr>
  </w:style>
  <w:style w:type="paragraph" w:customStyle="1" w:styleId="209">
    <w:name w:val="_Style 201"/>
    <w:autoRedefine/>
    <w:qFormat/>
    <w:uiPriority w:val="0"/>
    <w:rPr>
      <w:rFonts w:ascii="Calibri" w:hAnsi="Calibri" w:eastAsia="宋体" w:cs="Times New Roman"/>
      <w:kern w:val="2"/>
      <w:sz w:val="21"/>
      <w:lang w:val="en-US" w:eastAsia="zh-CN" w:bidi="ar-SA"/>
    </w:rPr>
  </w:style>
  <w:style w:type="paragraph" w:customStyle="1" w:styleId="210">
    <w:name w:val="1 Char Char Char Char"/>
    <w:basedOn w:val="1"/>
    <w:autoRedefine/>
    <w:qFormat/>
    <w:uiPriority w:val="0"/>
    <w:rPr>
      <w:rFonts w:ascii="Calibri" w:hAnsi="Calibri"/>
    </w:rPr>
  </w:style>
  <w:style w:type="paragraph" w:customStyle="1" w:styleId="211">
    <w:name w:val="1 Char Char Char Char Char"/>
    <w:basedOn w:val="1"/>
    <w:autoRedefine/>
    <w:qFormat/>
    <w:uiPriority w:val="0"/>
    <w:rPr>
      <w:rFonts w:ascii="Calibri" w:hAnsi="Calibri"/>
      <w:sz w:val="24"/>
    </w:rPr>
  </w:style>
  <w:style w:type="paragraph" w:customStyle="1" w:styleId="212">
    <w:name w:val="正文文本缩进1"/>
    <w:basedOn w:val="1"/>
    <w:autoRedefine/>
    <w:qFormat/>
    <w:uiPriority w:val="0"/>
    <w:pPr>
      <w:spacing w:line="360" w:lineRule="auto"/>
      <w:ind w:firstLine="480"/>
    </w:pPr>
    <w:rPr>
      <w:rFonts w:hint="eastAsia" w:ascii="Calibri" w:hAnsi="Calibri"/>
      <w:sz w:val="24"/>
      <w:szCs w:val="20"/>
    </w:rPr>
  </w:style>
  <w:style w:type="paragraph" w:customStyle="1" w:styleId="213">
    <w:name w:val="_Style 7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215">
    <w:name w:val="Char Char Char Char Char Char Char Char Char"/>
    <w:basedOn w:val="1"/>
    <w:autoRedefine/>
    <w:qFormat/>
    <w:uiPriority w:val="0"/>
    <w:rPr>
      <w:rFonts w:ascii="Calibri" w:hAnsi="Calibri"/>
      <w:sz w:val="24"/>
    </w:rPr>
  </w:style>
  <w:style w:type="paragraph" w:customStyle="1" w:styleId="216">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kern w:val="0"/>
      <w:sz w:val="24"/>
    </w:rPr>
  </w:style>
  <w:style w:type="paragraph" w:customStyle="1" w:styleId="217">
    <w:name w:val="2"/>
    <w:basedOn w:val="1"/>
    <w:next w:val="32"/>
    <w:autoRedefine/>
    <w:qFormat/>
    <w:uiPriority w:val="0"/>
    <w:pPr>
      <w:tabs>
        <w:tab w:val="left" w:pos="604"/>
      </w:tabs>
      <w:spacing w:line="360" w:lineRule="auto"/>
      <w:ind w:firstLine="600"/>
    </w:pPr>
    <w:rPr>
      <w:rFonts w:ascii="Calibri" w:hAnsi="Calibri"/>
      <w:sz w:val="24"/>
    </w:rPr>
  </w:style>
  <w:style w:type="paragraph" w:customStyle="1" w:styleId="218">
    <w:name w:val="正文缩进2"/>
    <w:basedOn w:val="1"/>
    <w:autoRedefine/>
    <w:qFormat/>
    <w:uiPriority w:val="0"/>
    <w:pPr>
      <w:ind w:firstLine="200" w:firstLineChars="200"/>
    </w:pPr>
    <w:rPr>
      <w:rFonts w:ascii="Calibri" w:hAnsi="Calibri"/>
      <w:sz w:val="24"/>
      <w:szCs w:val="20"/>
    </w:rPr>
  </w:style>
  <w:style w:type="paragraph" w:customStyle="1" w:styleId="219">
    <w:name w:val="表头"/>
    <w:basedOn w:val="5"/>
    <w:autoRedefine/>
    <w:qFormat/>
    <w:uiPriority w:val="0"/>
    <w:pPr>
      <w:ind w:firstLine="2042" w:firstLineChars="850"/>
    </w:pPr>
    <w:rPr>
      <w:rFonts w:ascii="Calibri" w:hAnsi="宋体"/>
      <w:b/>
      <w:bCs/>
      <w:color w:val="000000"/>
      <w:sz w:val="24"/>
      <w:szCs w:val="20"/>
    </w:rPr>
  </w:style>
  <w:style w:type="paragraph" w:styleId="220">
    <w:name w:val="List Paragraph"/>
    <w:basedOn w:val="1"/>
    <w:autoRedefine/>
    <w:qFormat/>
    <w:uiPriority w:val="99"/>
    <w:pPr>
      <w:ind w:firstLine="420" w:firstLineChars="200"/>
    </w:pPr>
    <w:rPr>
      <w:rFonts w:ascii="Calibri" w:hAnsi="Calibri"/>
      <w:szCs w:val="22"/>
    </w:rPr>
  </w:style>
  <w:style w:type="paragraph" w:customStyle="1" w:styleId="221">
    <w:name w:val="xl2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2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3">
    <w:name w:val="p17"/>
    <w:basedOn w:val="1"/>
    <w:autoRedefine/>
    <w:qFormat/>
    <w:uiPriority w:val="0"/>
    <w:pPr>
      <w:widowControl/>
      <w:pBdr>
        <w:bottom w:val="single" w:color="000000" w:sz="4" w:space="0"/>
        <w:right w:val="single" w:color="000000" w:sz="4" w:space="0"/>
      </w:pBdr>
      <w:spacing w:before="100" w:after="100"/>
      <w:jc w:val="center"/>
    </w:pPr>
    <w:rPr>
      <w:rFonts w:ascii="宋体" w:hAnsi="宋体" w:cs="宋体"/>
      <w:kern w:val="0"/>
      <w:szCs w:val="21"/>
    </w:rPr>
  </w:style>
  <w:style w:type="paragraph" w:customStyle="1" w:styleId="224">
    <w:name w:val="Char Char Char1 Char Char Char"/>
    <w:basedOn w:val="1"/>
    <w:autoRedefine/>
    <w:qFormat/>
    <w:uiPriority w:val="0"/>
    <w:rPr>
      <w:rFonts w:ascii="Calibri" w:hAnsi="Calibri"/>
      <w:sz w:val="24"/>
    </w:rPr>
  </w:style>
  <w:style w:type="paragraph" w:customStyle="1" w:styleId="225">
    <w:name w:val="正文文本 (2)1"/>
    <w:basedOn w:val="1"/>
    <w:autoRedefine/>
    <w:qFormat/>
    <w:uiPriority w:val="0"/>
    <w:pPr>
      <w:shd w:val="clear" w:color="auto" w:fill="FFFFFF"/>
      <w:spacing w:after="660" w:line="0" w:lineRule="atLeast"/>
      <w:jc w:val="center"/>
    </w:pPr>
    <w:rPr>
      <w:rFonts w:ascii="MingLiU" w:hAnsi="MingLiU" w:eastAsia="MingLiU" w:cs="MingLiU"/>
      <w:sz w:val="22"/>
      <w:szCs w:val="22"/>
    </w:rPr>
  </w:style>
  <w:style w:type="paragraph" w:customStyle="1" w:styleId="226">
    <w:name w:val=" Char Char Char Char Char Char1 Char Char Char Char Char Char Char"/>
    <w:basedOn w:val="1"/>
    <w:autoRedefine/>
    <w:qFormat/>
    <w:uiPriority w:val="0"/>
    <w:rPr>
      <w:rFonts w:ascii="Calibri" w:hAnsi="Calibri"/>
      <w:sz w:val="24"/>
    </w:rPr>
  </w:style>
  <w:style w:type="paragraph" w:customStyle="1" w:styleId="227">
    <w:name w:val="简单回函地址"/>
    <w:basedOn w:val="1"/>
    <w:autoRedefine/>
    <w:qFormat/>
    <w:uiPriority w:val="0"/>
    <w:rPr>
      <w:rFonts w:ascii="Calibri" w:hAnsi="Calibri"/>
      <w:szCs w:val="20"/>
    </w:rPr>
  </w:style>
  <w:style w:type="paragraph" w:customStyle="1" w:styleId="228">
    <w:name w:val="5 Char"/>
    <w:basedOn w:val="1"/>
    <w:autoRedefine/>
    <w:qFormat/>
    <w:uiPriority w:val="0"/>
    <w:rPr>
      <w:rFonts w:ascii="Calibri" w:hAnsi="Calibri"/>
      <w:szCs w:val="20"/>
    </w:rPr>
  </w:style>
  <w:style w:type="paragraph" w:customStyle="1" w:styleId="229">
    <w:name w:val="表格文字2"/>
    <w:basedOn w:val="1"/>
    <w:autoRedefine/>
    <w:qFormat/>
    <w:uiPriority w:val="0"/>
    <w:pPr>
      <w:tabs>
        <w:tab w:val="left" w:pos="277"/>
        <w:tab w:val="left" w:pos="600"/>
        <w:tab w:val="left" w:pos="780"/>
        <w:tab w:val="left" w:pos="2517"/>
      </w:tabs>
      <w:adjustRightInd w:val="0"/>
      <w:snapToGrid w:val="0"/>
      <w:jc w:val="center"/>
      <w:textAlignment w:val="baseline"/>
    </w:pPr>
    <w:rPr>
      <w:rFonts w:ascii="Calibri" w:hAnsi="Calibri"/>
      <w:kern w:val="0"/>
      <w:szCs w:val="21"/>
    </w:rPr>
  </w:style>
  <w:style w:type="paragraph" w:customStyle="1" w:styleId="230">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31">
    <w:name w:val="Char Char Char"/>
    <w:basedOn w:val="1"/>
    <w:autoRedefine/>
    <w:qFormat/>
    <w:uiPriority w:val="0"/>
    <w:rPr>
      <w:rFonts w:ascii="Calibri" w:hAnsi="Calibri"/>
      <w:sz w:val="24"/>
    </w:rPr>
  </w:style>
  <w:style w:type="paragraph" w:customStyle="1" w:styleId="232">
    <w:name w:val="Char Char1 Char"/>
    <w:basedOn w:val="1"/>
    <w:autoRedefine/>
    <w:qFormat/>
    <w:uiPriority w:val="0"/>
    <w:rPr>
      <w:rFonts w:ascii="Calibri" w:hAnsi="Calibri"/>
      <w:sz w:val="24"/>
    </w:rPr>
  </w:style>
  <w:style w:type="paragraph" w:customStyle="1" w:styleId="233">
    <w:name w:val="正文首行缩进1"/>
    <w:basedOn w:val="16"/>
    <w:autoRedefine/>
    <w:qFormat/>
    <w:uiPriority w:val="0"/>
    <w:pPr>
      <w:widowControl w:val="0"/>
      <w:snapToGrid/>
      <w:spacing w:before="0" w:after="120" w:line="240" w:lineRule="auto"/>
      <w:ind w:right="0" w:firstLine="420" w:firstLineChars="100"/>
    </w:pPr>
    <w:rPr>
      <w:rFonts w:hAnsi="Calibri"/>
      <w:kern w:val="2"/>
      <w:sz w:val="21"/>
    </w:rPr>
  </w:style>
  <w:style w:type="paragraph" w:customStyle="1" w:styleId="234">
    <w:name w:val=" Char"/>
    <w:basedOn w:val="1"/>
    <w:autoRedefine/>
    <w:qFormat/>
    <w:uiPriority w:val="0"/>
    <w:rPr>
      <w:rFonts w:ascii="仿宋_GB2312" w:hAnsi="Calibri" w:eastAsia="仿宋_GB2312"/>
      <w:color w:val="000000"/>
      <w:sz w:val="24"/>
    </w:rPr>
  </w:style>
  <w:style w:type="paragraph" w:customStyle="1" w:styleId="235">
    <w:name w:val="3"/>
    <w:basedOn w:val="1"/>
    <w:autoRedefine/>
    <w:qFormat/>
    <w:uiPriority w:val="0"/>
    <w:rPr>
      <w:rFonts w:ascii="Calibri" w:hAnsi="Calibri"/>
      <w:sz w:val="24"/>
    </w:rPr>
  </w:style>
  <w:style w:type="paragraph" w:customStyle="1" w:styleId="236">
    <w:name w:val="p18"/>
    <w:basedOn w:val="1"/>
    <w:autoRedefine/>
    <w:qFormat/>
    <w:uiPriority w:val="0"/>
    <w:pPr>
      <w:widowControl/>
    </w:pPr>
    <w:rPr>
      <w:rFonts w:ascii="Calibri" w:hAnsi="Calibri"/>
      <w:kern w:val="0"/>
      <w:szCs w:val="21"/>
    </w:rPr>
  </w:style>
  <w:style w:type="paragraph" w:customStyle="1" w:styleId="237">
    <w:name w:val=" Char Char Char Char"/>
    <w:basedOn w:val="1"/>
    <w:autoRedefine/>
    <w:qFormat/>
    <w:uiPriority w:val="0"/>
    <w:rPr>
      <w:rFonts w:ascii="Calibri" w:hAnsi="Calibri"/>
      <w:sz w:val="24"/>
    </w:rPr>
  </w:style>
  <w:style w:type="paragraph" w:customStyle="1" w:styleId="238">
    <w:name w:val="Char Char Char Char Char Char Char Char1 Char Char Char Char Char Char Char Char Char Char Char Char1 Char"/>
    <w:basedOn w:val="1"/>
    <w:autoRedefine/>
    <w:qFormat/>
    <w:uiPriority w:val="0"/>
    <w:rPr>
      <w:rFonts w:ascii="Calibri" w:hAnsi="Calibri"/>
      <w:szCs w:val="20"/>
    </w:rPr>
  </w:style>
  <w:style w:type="paragraph" w:customStyle="1" w:styleId="239">
    <w:name w:val="Table Paragraph"/>
    <w:basedOn w:val="1"/>
    <w:autoRedefine/>
    <w:qFormat/>
    <w:uiPriority w:val="99"/>
    <w:pPr>
      <w:autoSpaceDE w:val="0"/>
      <w:autoSpaceDN w:val="0"/>
      <w:jc w:val="left"/>
    </w:pPr>
    <w:rPr>
      <w:rFonts w:ascii="宋体" w:hAnsi="宋体" w:cs="宋体"/>
      <w:kern w:val="0"/>
      <w:sz w:val="22"/>
      <w:szCs w:val="22"/>
      <w:lang w:val="zh-CN"/>
    </w:rPr>
  </w:style>
  <w:style w:type="paragraph" w:customStyle="1" w:styleId="240">
    <w:name w:val="默认段落字体 Para Char Char Char Char Char Char Char"/>
    <w:basedOn w:val="1"/>
    <w:autoRedefine/>
    <w:qFormat/>
    <w:uiPriority w:val="0"/>
    <w:rPr>
      <w:rFonts w:ascii="Calibri" w:hAnsi="Calibri"/>
      <w:sz w:val="24"/>
    </w:rPr>
  </w:style>
  <w:style w:type="paragraph" w:customStyle="1" w:styleId="241">
    <w:name w:val="p16"/>
    <w:basedOn w:val="1"/>
    <w:autoRedefine/>
    <w:qFormat/>
    <w:uiPriority w:val="0"/>
    <w:pPr>
      <w:widowControl/>
      <w:spacing w:line="360" w:lineRule="auto"/>
      <w:ind w:firstLine="480"/>
    </w:pPr>
    <w:rPr>
      <w:rFonts w:ascii="Calibri" w:hAnsi="Calibri"/>
      <w:kern w:val="0"/>
      <w:sz w:val="24"/>
    </w:rPr>
  </w:style>
  <w:style w:type="paragraph" w:customStyle="1" w:styleId="242">
    <w:name w:val="表头1"/>
    <w:basedOn w:val="20"/>
    <w:autoRedefine/>
    <w:qFormat/>
    <w:uiPriority w:val="0"/>
    <w:pPr>
      <w:spacing w:line="360" w:lineRule="auto"/>
      <w:jc w:val="center"/>
    </w:pPr>
    <w:rPr>
      <w:rFonts w:hAnsi="宋体"/>
      <w:b/>
      <w:color w:val="000000"/>
      <w:kern w:val="0"/>
      <w:sz w:val="24"/>
    </w:rPr>
  </w:style>
  <w:style w:type="paragraph" w:customStyle="1" w:styleId="243">
    <w:name w:val="Char Char Char Char Char Char Char Char Char Char Char Char Char Char Char Char Char Char Char Char Char Char"/>
    <w:basedOn w:val="1"/>
    <w:autoRedefine/>
    <w:qFormat/>
    <w:uiPriority w:val="0"/>
    <w:rPr>
      <w:rFonts w:ascii="Calibri" w:hAnsi="Calibri"/>
      <w:sz w:val="24"/>
    </w:rPr>
  </w:style>
  <w:style w:type="paragraph" w:customStyle="1" w:styleId="244">
    <w:name w:val="zxz5"/>
    <w:next w:val="1"/>
    <w:autoRedefine/>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45">
    <w:name w:val="默认段落字体 Para Char"/>
    <w:basedOn w:val="1"/>
    <w:autoRedefine/>
    <w:qFormat/>
    <w:uiPriority w:val="0"/>
    <w:rPr>
      <w:rFonts w:ascii="Calibri" w:hAnsi="Calibri"/>
      <w:sz w:val="24"/>
    </w:rPr>
  </w:style>
  <w:style w:type="paragraph" w:customStyle="1" w:styleId="24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247">
    <w:name w:val=" Char Char Char1 Char Char Char Char"/>
    <w:basedOn w:val="1"/>
    <w:autoRedefine/>
    <w:qFormat/>
    <w:uiPriority w:val="0"/>
    <w:rPr>
      <w:rFonts w:ascii="Calibri" w:hAnsi="Calibri"/>
      <w:sz w:val="24"/>
    </w:rPr>
  </w:style>
  <w:style w:type="paragraph" w:customStyle="1" w:styleId="248">
    <w:name w:val="p0"/>
    <w:basedOn w:val="1"/>
    <w:autoRedefine/>
    <w:qFormat/>
    <w:uiPriority w:val="0"/>
    <w:pPr>
      <w:widowControl/>
    </w:pPr>
    <w:rPr>
      <w:rFonts w:ascii="Calibri" w:hAnsi="Calibri"/>
      <w:kern w:val="0"/>
      <w:szCs w:val="21"/>
    </w:rPr>
  </w:style>
  <w:style w:type="paragraph" w:customStyle="1" w:styleId="249">
    <w:name w:val="默认段落字体 Para Char Char Char1 Char Char"/>
    <w:basedOn w:val="1"/>
    <w:autoRedefine/>
    <w:qFormat/>
    <w:uiPriority w:val="0"/>
    <w:rPr>
      <w:rFonts w:ascii="Calibri" w:hAnsi="Calibri"/>
      <w:sz w:val="24"/>
    </w:rPr>
  </w:style>
  <w:style w:type="paragraph" w:customStyle="1" w:styleId="250">
    <w:name w:val="公式样式1"/>
    <w:basedOn w:val="1"/>
    <w:autoRedefine/>
    <w:qFormat/>
    <w:uiPriority w:val="0"/>
    <w:pPr>
      <w:adjustRightInd w:val="0"/>
      <w:snapToGrid w:val="0"/>
      <w:spacing w:line="312" w:lineRule="auto"/>
      <w:jc w:val="center"/>
    </w:pPr>
    <w:rPr>
      <w:rFonts w:ascii="仿宋_GB2312" w:hAnsi="Calibri" w:eastAsia="仿宋_GB2312"/>
      <w:sz w:val="24"/>
    </w:rPr>
  </w:style>
  <w:style w:type="paragraph" w:customStyle="1" w:styleId="251">
    <w:name w:val="表题"/>
    <w:basedOn w:val="31"/>
    <w:autoRedefine/>
    <w:qFormat/>
    <w:uiPriority w:val="0"/>
    <w:pPr>
      <w:spacing w:before="156" w:beforeLines="50" w:line="480" w:lineRule="exact"/>
      <w:ind w:left="0" w:firstLine="0" w:firstLineChars="0"/>
      <w:jc w:val="center"/>
    </w:pPr>
    <w:rPr>
      <w:rFonts w:eastAsia="黑体"/>
      <w:sz w:val="28"/>
      <w:szCs w:val="24"/>
    </w:rPr>
  </w:style>
  <w:style w:type="table" w:customStyle="1" w:styleId="252">
    <w:name w:val="Table Normal"/>
    <w:autoRedefine/>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253">
    <w:name w:val="标准表格"/>
    <w:basedOn w:val="42"/>
    <w:autoRedefine/>
    <w:qFormat/>
    <w:uiPriority w:val="99"/>
    <w:pPr>
      <w:spacing w:before="74"/>
      <w:jc w:val="center"/>
    </w:pPr>
    <w:rPr>
      <w:rFonts w:ascii="Calibri" w:hAnsi="Calibri"/>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Calibri"/>
        <w:sz w:val="18"/>
      </w:rPr>
      <w:tblPr/>
      <w:trPr>
        <w:tblHeader/>
      </w:trPr>
    </w:tblStylePr>
    <w:tblStylePr w:type="firstCol">
      <w:pPr>
        <w:jc w:val="center"/>
      </w:pPr>
    </w:tblStylePr>
  </w:style>
  <w:style w:type="paragraph" w:customStyle="1" w:styleId="254">
    <w:name w:val="报告书 正文"/>
    <w:autoRedefine/>
    <w:qFormat/>
    <w:uiPriority w:val="0"/>
    <w:pPr>
      <w:widowControl w:val="0"/>
      <w:adjustRightInd w:val="0"/>
      <w:snapToGrid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55">
    <w:name w:val="正常"/>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56">
    <w:name w:val="环评正文"/>
    <w:basedOn w:val="257"/>
    <w:autoRedefine/>
    <w:qFormat/>
    <w:uiPriority w:val="1"/>
    <w:pPr>
      <w:autoSpaceDE w:val="0"/>
      <w:autoSpaceDN w:val="0"/>
      <w:spacing w:line="360" w:lineRule="auto"/>
      <w:jc w:val="left"/>
    </w:pPr>
    <w:rPr>
      <w:rFonts w:ascii="宋体" w:hAnsi="宋体" w:cs="宋体"/>
      <w:bCs/>
      <w:kern w:val="0"/>
      <w:sz w:val="24"/>
      <w:lang w:val="zh-CN" w:bidi="zh-CN"/>
    </w:rPr>
  </w:style>
  <w:style w:type="paragraph" w:styleId="257">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58">
    <w:name w:val="1 正文"/>
    <w:basedOn w:val="1"/>
    <w:autoRedefine/>
    <w:qFormat/>
    <w:uiPriority w:val="0"/>
    <w:pPr>
      <w:adjustRightInd w:val="0"/>
      <w:snapToGrid w:val="0"/>
      <w:spacing w:line="360" w:lineRule="auto"/>
      <w:ind w:firstLine="200" w:firstLineChars="200"/>
    </w:pPr>
    <w:rPr>
      <w:kern w:val="0"/>
      <w:sz w:val="24"/>
    </w:rPr>
  </w:style>
  <w:style w:type="character" w:customStyle="1" w:styleId="259">
    <w:name w:val="fontstyle21"/>
    <w:basedOn w:val="45"/>
    <w:autoRedefine/>
    <w:qFormat/>
    <w:uiPriority w:val="0"/>
    <w:rPr>
      <w:rFonts w:ascii="TimesNewRomanPSMT" w:hAnsi="TimesNewRomanPSMT" w:eastAsia="TimesNewRomanPSMT" w:cs="TimesNewRomanPSMT"/>
      <w:color w:val="000000"/>
      <w:sz w:val="24"/>
      <w:szCs w:val="24"/>
    </w:rPr>
  </w:style>
  <w:style w:type="paragraph" w:customStyle="1" w:styleId="260">
    <w:name w:val="表格正文"/>
    <w:basedOn w:val="1"/>
    <w:autoRedefine/>
    <w:qFormat/>
    <w:uiPriority w:val="0"/>
    <w:pPr>
      <w:spacing w:line="400" w:lineRule="exact"/>
      <w:ind w:firstLine="0" w:firstLineChars="0"/>
      <w:jc w:val="center"/>
    </w:pPr>
    <w:rPr>
      <w:sz w:val="21"/>
      <w:szCs w:val="21"/>
    </w:rPr>
  </w:style>
  <w:style w:type="paragraph" w:customStyle="1" w:styleId="261">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Times New Roman" w:eastAsia="Arial Unicode MS" w:cs="Arial Unicode MS"/>
      <w:color w:val="000000"/>
      <w:kern w:val="2"/>
      <w:sz w:val="21"/>
      <w:szCs w:val="21"/>
      <w:lang w:val="en-US" w:eastAsia="zh-CN" w:bidi="ar-SA"/>
    </w:rPr>
  </w:style>
  <w:style w:type="character" w:customStyle="1" w:styleId="262">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66</Pages>
  <Words>18895</Words>
  <Characters>19949</Characters>
  <Lines>203</Lines>
  <Paragraphs>57</Paragraphs>
  <TotalTime>13</TotalTime>
  <ScaleCrop>false</ScaleCrop>
  <LinksUpToDate>false</LinksUpToDate>
  <CharactersWithSpaces>20170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乐乐子</cp:lastModifiedBy>
  <cp:lastPrinted>2025-01-09T00:45:00Z</cp:lastPrinted>
  <dcterms:modified xsi:type="dcterms:W3CDTF">2025-05-14T00:51:17Z</dcterms:modified>
  <dc:title>附件2</dc:title>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803466F6168A428B8BE9F8D084141500_13</vt:lpwstr>
  </property>
  <property fmtid="{D5CDD505-2E9C-101B-9397-08002B2CF9AE}" pid="4" name="KSOTemplateDocerSaveRecord">
    <vt:lpwstr>eyJoZGlkIjoiZTkzNmRmZDgxODk4MDQzMTQ1ODA1MDFjOTJkMTUzODEiLCJ1c2VySWQiOiI2MzgxNTUzMDUifQ==</vt:lpwstr>
  </property>
</Properties>
</file>