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69D8A">
      <w:pPr>
        <w:ind w:firstLine="420"/>
        <w:outlineLvl w:val="9"/>
        <w:rPr>
          <w:color w:val="auto"/>
        </w:rPr>
      </w:pPr>
      <w:bookmarkStart w:id="23" w:name="_GoBack"/>
    </w:p>
    <w:p w14:paraId="79EA5B82">
      <w:pPr>
        <w:ind w:firstLine="420"/>
        <w:outlineLvl w:val="9"/>
        <w:rPr>
          <w:color w:val="auto"/>
        </w:rPr>
      </w:pPr>
    </w:p>
    <w:p w14:paraId="3423CED1">
      <w:pPr>
        <w:ind w:firstLine="420"/>
        <w:outlineLvl w:val="9"/>
        <w:rPr>
          <w:color w:val="auto"/>
        </w:rPr>
      </w:pPr>
    </w:p>
    <w:p w14:paraId="3A7C1683">
      <w:pPr>
        <w:ind w:firstLine="420"/>
        <w:outlineLvl w:val="9"/>
        <w:rPr>
          <w:color w:val="auto"/>
        </w:rPr>
      </w:pPr>
    </w:p>
    <w:p w14:paraId="3A1B67C8">
      <w:pPr>
        <w:ind w:firstLine="420"/>
        <w:outlineLvl w:val="9"/>
        <w:rPr>
          <w:color w:val="auto"/>
        </w:rPr>
      </w:pPr>
    </w:p>
    <w:p w14:paraId="58BB17FC">
      <w:pPr>
        <w:ind w:firstLine="420"/>
        <w:outlineLvl w:val="9"/>
        <w:rPr>
          <w:color w:val="auto"/>
        </w:rPr>
      </w:pPr>
    </w:p>
    <w:p w14:paraId="61F673E9">
      <w:pPr>
        <w:spacing w:line="240" w:lineRule="auto"/>
        <w:ind w:firstLine="0" w:firstLineChars="0"/>
        <w:jc w:val="center"/>
        <w:outlineLvl w:val="9"/>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0E79FF2C">
      <w:pPr>
        <w:spacing w:before="192" w:beforeLines="80"/>
        <w:ind w:firstLine="0" w:firstLineChars="0"/>
        <w:jc w:val="center"/>
        <w:outlineLvl w:val="9"/>
        <w:rPr>
          <w:rFonts w:hint="eastAsia" w:ascii="楷体_GB2312" w:hAnsi="楷体_GB2312" w:eastAsia="等线"/>
          <w:bCs/>
          <w:color w:val="auto"/>
          <w:sz w:val="48"/>
          <w:szCs w:val="48"/>
        </w:rPr>
      </w:pPr>
      <w:r>
        <w:rPr>
          <w:rFonts w:ascii="楷体_GB2312" w:hAnsi="楷体_GB2312"/>
          <w:bCs/>
          <w:color w:val="auto"/>
          <w:sz w:val="48"/>
          <w:szCs w:val="48"/>
        </w:rPr>
        <w:t>（</w:t>
      </w:r>
      <w:r>
        <w:rPr>
          <w:rFonts w:ascii="楷体" w:hAnsi="楷体" w:eastAsia="楷体"/>
          <w:bCs/>
          <w:color w:val="auto"/>
          <w:sz w:val="48"/>
          <w:szCs w:val="48"/>
        </w:rPr>
        <w:t>污染影响类</w:t>
      </w:r>
      <w:r>
        <w:rPr>
          <w:rFonts w:ascii="楷体_GB2312" w:hAnsi="楷体_GB2312"/>
          <w:bCs/>
          <w:color w:val="auto"/>
          <w:sz w:val="48"/>
          <w:szCs w:val="48"/>
        </w:rPr>
        <w:t>）</w:t>
      </w:r>
    </w:p>
    <w:p w14:paraId="0AE00A82">
      <w:pPr>
        <w:ind w:firstLine="420"/>
        <w:outlineLvl w:val="9"/>
        <w:rPr>
          <w:color w:val="auto"/>
        </w:rPr>
      </w:pPr>
    </w:p>
    <w:p w14:paraId="3202AF83">
      <w:pPr>
        <w:ind w:firstLine="1040"/>
        <w:outlineLvl w:val="9"/>
        <w:rPr>
          <w:rFonts w:hint="eastAsia" w:ascii="等线" w:hAnsi="等线" w:eastAsia="仿宋"/>
          <w:color w:val="auto"/>
          <w:sz w:val="52"/>
          <w:szCs w:val="52"/>
        </w:rPr>
      </w:pPr>
    </w:p>
    <w:p w14:paraId="1D0FE27D">
      <w:pPr>
        <w:ind w:firstLine="1040"/>
        <w:outlineLvl w:val="9"/>
        <w:rPr>
          <w:rFonts w:hint="eastAsia" w:ascii="等线" w:hAnsi="等线" w:eastAsia="仿宋"/>
          <w:color w:val="auto"/>
          <w:sz w:val="52"/>
          <w:szCs w:val="52"/>
        </w:rPr>
      </w:pPr>
    </w:p>
    <w:p w14:paraId="570756A1">
      <w:pPr>
        <w:ind w:firstLine="1040"/>
        <w:outlineLvl w:val="9"/>
        <w:rPr>
          <w:rFonts w:hint="eastAsia" w:ascii="等线" w:hAnsi="等线" w:eastAsia="仿宋"/>
          <w:color w:val="auto"/>
          <w:sz w:val="52"/>
          <w:szCs w:val="52"/>
        </w:rPr>
      </w:pPr>
    </w:p>
    <w:p w14:paraId="3B24DB29">
      <w:pPr>
        <w:ind w:firstLine="420"/>
        <w:outlineLvl w:val="9"/>
        <w:rPr>
          <w:color w:val="auto"/>
        </w:rPr>
      </w:pPr>
    </w:p>
    <w:p w14:paraId="3FB36356">
      <w:pPr>
        <w:ind w:firstLine="420"/>
        <w:outlineLvl w:val="9"/>
        <w:rPr>
          <w:rFonts w:eastAsia="仿宋"/>
          <w:color w:val="auto"/>
        </w:rPr>
      </w:pPr>
    </w:p>
    <w:p w14:paraId="1AD2F2F4">
      <w:pPr>
        <w:spacing w:line="288" w:lineRule="auto"/>
        <w:ind w:left="1800" w:hanging="1800" w:hangingChars="500"/>
        <w:outlineLvl w:val="9"/>
        <w:rPr>
          <w:rFonts w:hint="eastAsia" w:eastAsia="仿宋_GB2312"/>
          <w:color w:val="auto"/>
          <w:sz w:val="36"/>
          <w:szCs w:val="36"/>
          <w:u w:val="single"/>
        </w:rPr>
      </w:pPr>
      <w:r>
        <w:rPr>
          <w:rFonts w:hint="eastAsia" w:eastAsia="仿宋_GB2312"/>
          <w:color w:val="auto"/>
          <w:sz w:val="36"/>
          <w:szCs w:val="36"/>
        </w:rPr>
        <w:t>项目名称：</w:t>
      </w:r>
      <w:r>
        <w:rPr>
          <w:rFonts w:hint="eastAsia" w:eastAsia="仿宋_GB2312"/>
          <w:color w:val="auto"/>
          <w:sz w:val="36"/>
          <w:szCs w:val="36"/>
          <w:u w:val="single"/>
          <w:lang w:val="en-US" w:eastAsia="zh-CN"/>
        </w:rPr>
        <w:t xml:space="preserve">特种纳米新材料薄膜磁控溅射技术改 </w:t>
      </w:r>
    </w:p>
    <w:p w14:paraId="32E496CA">
      <w:pPr>
        <w:spacing w:line="288" w:lineRule="auto"/>
        <w:ind w:firstLine="1800" w:firstLineChars="500"/>
        <w:outlineLvl w:val="9"/>
        <w:rPr>
          <w:rFonts w:hint="default" w:eastAsia="仿宋_GB2312"/>
          <w:color w:val="auto"/>
          <w:sz w:val="36"/>
          <w:szCs w:val="36"/>
          <w:u w:val="single"/>
          <w:lang w:val="en-US" w:eastAsia="zh-CN"/>
        </w:rPr>
      </w:pPr>
      <w:r>
        <w:rPr>
          <w:rFonts w:hint="eastAsia" w:eastAsia="仿宋_GB2312"/>
          <w:color w:val="auto"/>
          <w:sz w:val="36"/>
          <w:szCs w:val="36"/>
          <w:u w:val="single"/>
          <w:lang w:val="en-US" w:eastAsia="zh-CN"/>
        </w:rPr>
        <w:t xml:space="preserve">造项目                   </w:t>
      </w:r>
    </w:p>
    <w:p w14:paraId="2FF80D28">
      <w:pPr>
        <w:spacing w:line="288" w:lineRule="auto"/>
        <w:ind w:firstLine="0" w:firstLineChars="0"/>
        <w:outlineLvl w:val="9"/>
        <w:rPr>
          <w:rFonts w:hint="default" w:eastAsia="仿宋_GB2312"/>
          <w:color w:val="auto"/>
          <w:sz w:val="36"/>
          <w:szCs w:val="36"/>
          <w:u w:val="single"/>
          <w:lang w:val="en-US" w:eastAsia="zh-CN"/>
        </w:rPr>
      </w:pPr>
      <w:r>
        <w:rPr>
          <w:rFonts w:hint="eastAsia" w:eastAsia="仿宋_GB2312"/>
          <w:color w:val="auto"/>
          <w:sz w:val="36"/>
          <w:szCs w:val="36"/>
        </w:rPr>
        <w:t>建设单位（盖章）：</w:t>
      </w:r>
      <w:r>
        <w:rPr>
          <w:rFonts w:hint="eastAsia" w:eastAsia="仿宋_GB2312"/>
          <w:color w:val="auto"/>
          <w:sz w:val="36"/>
          <w:szCs w:val="36"/>
          <w:u w:val="single"/>
          <w:lang w:val="en-US" w:eastAsia="zh-CN"/>
        </w:rPr>
        <w:t>纳琳科新材料（南通）有限公司</w:t>
      </w:r>
    </w:p>
    <w:p w14:paraId="5A1D8049">
      <w:pPr>
        <w:spacing w:line="288" w:lineRule="auto"/>
        <w:ind w:firstLine="0" w:firstLineChars="0"/>
        <w:outlineLvl w:val="9"/>
        <w:rPr>
          <w:rFonts w:hint="default" w:eastAsia="仿宋_GB2312"/>
          <w:color w:val="auto"/>
          <w:sz w:val="36"/>
          <w:szCs w:val="36"/>
          <w:u w:val="single"/>
          <w:lang w:val="en-US" w:eastAsia="zh-CN"/>
        </w:rPr>
      </w:pPr>
      <w:r>
        <w:rPr>
          <w:rFonts w:hint="eastAsia" w:eastAsia="仿宋_GB2312"/>
          <w:color w:val="auto"/>
          <w:sz w:val="36"/>
          <w:szCs w:val="36"/>
        </w:rPr>
        <w:t>编制日期</w:t>
      </w:r>
      <w:r>
        <w:rPr>
          <w:rFonts w:hint="eastAsia" w:eastAsia="仿宋_GB2312"/>
          <w:color w:val="auto"/>
          <w:sz w:val="36"/>
          <w:szCs w:val="36"/>
          <w:u w:val="single"/>
          <w:lang w:val="en-US" w:eastAsia="zh-CN"/>
        </w:rPr>
        <w:t xml:space="preserve">             2</w:t>
      </w:r>
      <w:r>
        <w:rPr>
          <w:rFonts w:eastAsia="仿宋_GB2312"/>
          <w:color w:val="auto"/>
          <w:sz w:val="36"/>
          <w:szCs w:val="36"/>
          <w:u w:val="single"/>
        </w:rPr>
        <w:t>02</w:t>
      </w:r>
      <w:r>
        <w:rPr>
          <w:rFonts w:hint="eastAsia" w:eastAsia="仿宋_GB2312"/>
          <w:color w:val="auto"/>
          <w:sz w:val="36"/>
          <w:szCs w:val="36"/>
          <w:u w:val="single"/>
          <w:lang w:val="en-US" w:eastAsia="zh-CN"/>
        </w:rPr>
        <w:t>6</w:t>
      </w:r>
      <w:r>
        <w:rPr>
          <w:rFonts w:hint="eastAsia" w:eastAsia="仿宋_GB2312"/>
          <w:color w:val="auto"/>
          <w:sz w:val="36"/>
          <w:szCs w:val="36"/>
          <w:u w:val="single"/>
        </w:rPr>
        <w:t>年</w:t>
      </w:r>
      <w:r>
        <w:rPr>
          <w:rFonts w:hint="eastAsia" w:eastAsia="仿宋_GB2312"/>
          <w:color w:val="auto"/>
          <w:sz w:val="36"/>
          <w:szCs w:val="36"/>
          <w:u w:val="single"/>
          <w:lang w:val="en-US" w:eastAsia="zh-CN"/>
        </w:rPr>
        <w:t>4</w:t>
      </w:r>
      <w:r>
        <w:rPr>
          <w:rFonts w:hint="eastAsia" w:eastAsia="仿宋_GB2312"/>
          <w:color w:val="auto"/>
          <w:sz w:val="36"/>
          <w:szCs w:val="36"/>
          <w:u w:val="single"/>
        </w:rPr>
        <w:t>月</w:t>
      </w:r>
      <w:r>
        <w:rPr>
          <w:rFonts w:hint="eastAsia" w:eastAsia="仿宋_GB2312"/>
          <w:color w:val="auto"/>
          <w:sz w:val="36"/>
          <w:szCs w:val="36"/>
          <w:u w:val="single"/>
          <w:lang w:val="en-US" w:eastAsia="zh-CN"/>
        </w:rPr>
        <w:t xml:space="preserve">                  </w:t>
      </w:r>
    </w:p>
    <w:p w14:paraId="38CF58AC">
      <w:pPr>
        <w:ind w:firstLine="420"/>
        <w:outlineLvl w:val="9"/>
        <w:rPr>
          <w:color w:val="auto"/>
        </w:rPr>
      </w:pPr>
    </w:p>
    <w:p w14:paraId="05898465">
      <w:pPr>
        <w:ind w:firstLine="420"/>
        <w:outlineLvl w:val="9"/>
        <w:rPr>
          <w:color w:val="auto"/>
        </w:rPr>
      </w:pPr>
    </w:p>
    <w:p w14:paraId="07A8DC3B">
      <w:pPr>
        <w:ind w:firstLine="420"/>
        <w:outlineLvl w:val="9"/>
        <w:rPr>
          <w:color w:val="auto"/>
        </w:rPr>
      </w:pPr>
    </w:p>
    <w:p w14:paraId="7415661F">
      <w:pPr>
        <w:ind w:firstLine="420"/>
        <w:outlineLvl w:val="9"/>
        <w:rPr>
          <w:color w:val="auto"/>
        </w:rPr>
      </w:pPr>
    </w:p>
    <w:p w14:paraId="73FBB748">
      <w:pPr>
        <w:ind w:firstLine="420"/>
        <w:outlineLvl w:val="9"/>
        <w:rPr>
          <w:color w:val="auto"/>
        </w:rPr>
      </w:pPr>
    </w:p>
    <w:p w14:paraId="1AB34776">
      <w:pPr>
        <w:ind w:firstLine="420"/>
        <w:outlineLvl w:val="9"/>
        <w:rPr>
          <w:color w:val="auto"/>
        </w:rPr>
      </w:pPr>
    </w:p>
    <w:p w14:paraId="6AC9288C">
      <w:pPr>
        <w:ind w:firstLine="420"/>
        <w:outlineLvl w:val="9"/>
        <w:rPr>
          <w:color w:val="auto"/>
        </w:rPr>
      </w:pPr>
    </w:p>
    <w:p w14:paraId="422562EB">
      <w:pPr>
        <w:ind w:firstLine="420"/>
        <w:outlineLvl w:val="9"/>
        <w:rPr>
          <w:color w:val="auto"/>
        </w:rPr>
      </w:pPr>
    </w:p>
    <w:p w14:paraId="2F50A61E">
      <w:pPr>
        <w:spacing w:line="288" w:lineRule="auto"/>
        <w:ind w:firstLine="0" w:firstLineChars="0"/>
        <w:jc w:val="center"/>
        <w:outlineLvl w:val="9"/>
        <w:rPr>
          <w:rFonts w:hint="eastAsia" w:ascii="楷体" w:hAnsi="楷体" w:eastAsia="楷体"/>
          <w:color w:val="auto"/>
          <w:sz w:val="36"/>
          <w:szCs w:val="36"/>
        </w:rPr>
      </w:pPr>
      <w:r>
        <w:rPr>
          <w:rFonts w:ascii="楷体" w:hAnsi="楷体" w:eastAsia="楷体"/>
          <w:color w:val="auto"/>
          <w:sz w:val="36"/>
          <w:szCs w:val="36"/>
        </w:rPr>
        <w:t>中华人民共和国生态环境部制</w:t>
      </w:r>
    </w:p>
    <w:p w14:paraId="44019115">
      <w:pPr>
        <w:spacing w:line="288" w:lineRule="auto"/>
        <w:ind w:firstLine="0" w:firstLineChars="0"/>
        <w:jc w:val="center"/>
        <w:outlineLvl w:val="9"/>
        <w:rPr>
          <w:rFonts w:hint="eastAsia" w:ascii="楷体_GB2312" w:hAnsi="楷体_GB2312" w:eastAsia="等线"/>
          <w:color w:val="auto"/>
          <w:sz w:val="36"/>
          <w:szCs w:val="36"/>
        </w:rPr>
      </w:pPr>
    </w:p>
    <w:p w14:paraId="65F2A55E">
      <w:pPr>
        <w:ind w:firstLine="420"/>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1077" w:gutter="284"/>
          <w:pgBorders>
            <w:top w:val="none" w:sz="0" w:space="0"/>
            <w:left w:val="none" w:sz="0" w:space="0"/>
            <w:bottom w:val="none" w:sz="0" w:space="0"/>
            <w:right w:val="none" w:sz="0" w:space="0"/>
          </w:pgBorders>
          <w:pgNumType w:start="3"/>
          <w:cols w:space="720" w:num="1"/>
          <w:docGrid w:linePitch="312" w:charSpace="0"/>
        </w:sectPr>
      </w:pPr>
    </w:p>
    <w:p w14:paraId="0DBF75DF">
      <w:pPr>
        <w:pStyle w:val="3"/>
        <w:ind w:firstLine="602"/>
        <w:rPr>
          <w:color w:val="auto"/>
        </w:rPr>
      </w:pPr>
      <w:r>
        <w:rPr>
          <w:color w:val="auto"/>
        </w:rPr>
        <w:t>一、建设项目基本情况</w:t>
      </w:r>
    </w:p>
    <w:tbl>
      <w:tblPr>
        <w:tblStyle w:val="3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26"/>
        <w:gridCol w:w="3733"/>
        <w:gridCol w:w="1449"/>
        <w:gridCol w:w="2702"/>
      </w:tblGrid>
      <w:tr w14:paraId="1F5A9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05199AB2">
            <w:pPr>
              <w:pStyle w:val="75"/>
              <w:rPr>
                <w:color w:val="auto"/>
              </w:rPr>
            </w:pPr>
            <w:r>
              <w:rPr>
                <w:color w:val="auto"/>
              </w:rPr>
              <w:t>建设项目名称</w:t>
            </w:r>
          </w:p>
        </w:tc>
        <w:tc>
          <w:tcPr>
            <w:tcW w:w="4473" w:type="pct"/>
            <w:gridSpan w:val="3"/>
            <w:vAlign w:val="center"/>
          </w:tcPr>
          <w:p w14:paraId="4250585C">
            <w:pPr>
              <w:pStyle w:val="75"/>
              <w:rPr>
                <w:color w:val="auto"/>
              </w:rPr>
            </w:pPr>
            <w:r>
              <w:rPr>
                <w:color w:val="auto"/>
                <w:lang w:val="en-US" w:eastAsia="zh-CN"/>
              </w:rPr>
              <w:t>特种纳米新材料薄膜磁控溅射技术改</w:t>
            </w:r>
            <w:r>
              <w:rPr>
                <w:rFonts w:hint="eastAsia"/>
                <w:color w:val="auto"/>
                <w:lang w:val="en-US" w:eastAsia="zh-CN"/>
              </w:rPr>
              <w:t>造项目</w:t>
            </w:r>
          </w:p>
        </w:tc>
      </w:tr>
      <w:tr w14:paraId="7199A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7139F410">
            <w:pPr>
              <w:pStyle w:val="75"/>
              <w:rPr>
                <w:color w:val="auto"/>
              </w:rPr>
            </w:pPr>
            <w:r>
              <w:rPr>
                <w:color w:val="auto"/>
              </w:rPr>
              <w:t>项目代码</w:t>
            </w:r>
          </w:p>
        </w:tc>
        <w:tc>
          <w:tcPr>
            <w:tcW w:w="4473" w:type="pct"/>
            <w:gridSpan w:val="3"/>
            <w:vAlign w:val="center"/>
          </w:tcPr>
          <w:p w14:paraId="5754F722">
            <w:pPr>
              <w:pStyle w:val="75"/>
              <w:rPr>
                <w:color w:val="auto"/>
              </w:rPr>
            </w:pPr>
            <w:r>
              <w:rPr>
                <w:color w:val="auto"/>
                <w:lang w:val="en-US" w:eastAsia="zh-CN"/>
              </w:rPr>
              <w:t>2503-320657-89-02-357474</w:t>
            </w:r>
          </w:p>
        </w:tc>
      </w:tr>
      <w:tr w14:paraId="55E9F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2FAD0170">
            <w:pPr>
              <w:pStyle w:val="75"/>
              <w:rPr>
                <w:color w:val="auto"/>
              </w:rPr>
            </w:pPr>
            <w:r>
              <w:rPr>
                <w:color w:val="auto"/>
              </w:rPr>
              <w:t>建设单位联系人</w:t>
            </w:r>
          </w:p>
        </w:tc>
        <w:tc>
          <w:tcPr>
            <w:tcW w:w="2118" w:type="pct"/>
            <w:vAlign w:val="center"/>
          </w:tcPr>
          <w:p w14:paraId="1B1D04A0">
            <w:pPr>
              <w:pStyle w:val="75"/>
              <w:rPr>
                <w:rFonts w:hint="default" w:eastAsia="宋体"/>
                <w:color w:val="auto"/>
                <w:lang w:val="en-US" w:eastAsia="zh-CN"/>
              </w:rPr>
            </w:pPr>
            <w:r>
              <w:rPr>
                <w:rFonts w:hint="eastAsia"/>
                <w:color w:val="auto"/>
                <w:lang w:val="en-US" w:eastAsia="zh-CN"/>
              </w:rPr>
              <w:t>王强</w:t>
            </w:r>
          </w:p>
        </w:tc>
        <w:tc>
          <w:tcPr>
            <w:tcW w:w="822" w:type="pct"/>
            <w:vAlign w:val="center"/>
          </w:tcPr>
          <w:p w14:paraId="434726EC">
            <w:pPr>
              <w:pStyle w:val="75"/>
              <w:rPr>
                <w:color w:val="auto"/>
              </w:rPr>
            </w:pPr>
            <w:r>
              <w:rPr>
                <w:color w:val="auto"/>
              </w:rPr>
              <w:t>联系方式</w:t>
            </w:r>
          </w:p>
        </w:tc>
        <w:tc>
          <w:tcPr>
            <w:tcW w:w="1532" w:type="pct"/>
            <w:vAlign w:val="center"/>
          </w:tcPr>
          <w:p w14:paraId="1BACF970">
            <w:pPr>
              <w:pStyle w:val="75"/>
              <w:rPr>
                <w:rFonts w:hint="default" w:eastAsia="宋体"/>
                <w:color w:val="auto"/>
                <w:lang w:val="en-US" w:eastAsia="zh-CN"/>
              </w:rPr>
            </w:pPr>
            <w:r>
              <w:rPr>
                <w:rFonts w:hint="eastAsia"/>
                <w:color w:val="auto"/>
                <w:lang w:val="en-US" w:eastAsia="zh-CN"/>
              </w:rPr>
              <w:t>18862890086</w:t>
            </w:r>
          </w:p>
        </w:tc>
      </w:tr>
      <w:tr w14:paraId="67EBB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0CE97202">
            <w:pPr>
              <w:pStyle w:val="75"/>
              <w:rPr>
                <w:color w:val="auto"/>
              </w:rPr>
            </w:pPr>
            <w:r>
              <w:rPr>
                <w:color w:val="auto"/>
              </w:rPr>
              <w:t>建设地点</w:t>
            </w:r>
          </w:p>
        </w:tc>
        <w:tc>
          <w:tcPr>
            <w:tcW w:w="4473" w:type="pct"/>
            <w:gridSpan w:val="3"/>
            <w:vAlign w:val="center"/>
          </w:tcPr>
          <w:p w14:paraId="72C76E9F">
            <w:pPr>
              <w:pStyle w:val="75"/>
              <w:rPr>
                <w:color w:val="auto"/>
              </w:rPr>
            </w:pPr>
            <w:r>
              <w:rPr>
                <w:rFonts w:hint="eastAsia"/>
                <w:b w:val="0"/>
                <w:bCs w:val="0"/>
                <w:color w:val="auto"/>
                <w:kern w:val="0"/>
                <w:szCs w:val="21"/>
                <w:highlight w:val="none"/>
                <w:lang w:val="en-US" w:eastAsia="zh-CN"/>
              </w:rPr>
              <w:t>海门经济技术开发区扬子江路2288号</w:t>
            </w:r>
          </w:p>
        </w:tc>
      </w:tr>
      <w:tr w14:paraId="46B4FB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58D5BB53">
            <w:pPr>
              <w:pStyle w:val="75"/>
              <w:rPr>
                <w:color w:val="auto"/>
              </w:rPr>
            </w:pPr>
            <w:r>
              <w:rPr>
                <w:color w:val="auto"/>
              </w:rPr>
              <w:t>地理坐标</w:t>
            </w:r>
          </w:p>
        </w:tc>
        <w:tc>
          <w:tcPr>
            <w:tcW w:w="4473" w:type="pct"/>
            <w:gridSpan w:val="3"/>
            <w:vAlign w:val="center"/>
          </w:tcPr>
          <w:p w14:paraId="1A804A74">
            <w:pPr>
              <w:pStyle w:val="75"/>
              <w:rPr>
                <w:color w:val="auto"/>
              </w:rPr>
            </w:pPr>
            <w:r>
              <w:rPr>
                <w:color w:val="auto"/>
                <w:spacing w:val="-4"/>
              </w:rPr>
              <w:t>（</w:t>
            </w:r>
            <w:r>
              <w:rPr>
                <w:rFonts w:eastAsia="Times New Roman"/>
                <w:color w:val="auto"/>
                <w:spacing w:val="-4"/>
              </w:rPr>
              <w:t>E</w:t>
            </w:r>
            <w:r>
              <w:rPr>
                <w:rFonts w:eastAsia="Times New Roman"/>
                <w:color w:val="auto"/>
                <w:spacing w:val="28"/>
                <w:u w:val="single"/>
              </w:rPr>
              <w:t xml:space="preserve"> </w:t>
            </w:r>
            <w:r>
              <w:rPr>
                <w:rFonts w:eastAsia="Times New Roman"/>
                <w:color w:val="auto"/>
                <w:spacing w:val="-4"/>
                <w:u w:val="single"/>
              </w:rPr>
              <w:t xml:space="preserve">121  </w:t>
            </w:r>
            <w:r>
              <w:rPr>
                <w:color w:val="auto"/>
                <w:spacing w:val="-4"/>
              </w:rPr>
              <w:t>度</w:t>
            </w:r>
            <w:r>
              <w:rPr>
                <w:rFonts w:eastAsia="Times New Roman"/>
                <w:color w:val="auto"/>
                <w:spacing w:val="-4"/>
                <w:u w:val="single"/>
              </w:rPr>
              <w:t xml:space="preserve">  0</w:t>
            </w:r>
            <w:r>
              <w:rPr>
                <w:rFonts w:hint="eastAsia"/>
                <w:color w:val="auto"/>
                <w:spacing w:val="-4"/>
                <w:u w:val="single"/>
                <w:lang w:val="en-US" w:eastAsia="zh-CN"/>
              </w:rPr>
              <w:t>6</w:t>
            </w:r>
            <w:r>
              <w:rPr>
                <w:rFonts w:eastAsia="Times New Roman"/>
                <w:color w:val="auto"/>
                <w:spacing w:val="-4"/>
                <w:u w:val="single"/>
              </w:rPr>
              <w:t xml:space="preserve">  </w:t>
            </w:r>
            <w:r>
              <w:rPr>
                <w:color w:val="auto"/>
                <w:spacing w:val="-4"/>
              </w:rPr>
              <w:t>分</w:t>
            </w:r>
            <w:r>
              <w:rPr>
                <w:rFonts w:eastAsia="Times New Roman"/>
                <w:color w:val="auto"/>
                <w:spacing w:val="-4"/>
                <w:u w:val="single"/>
              </w:rPr>
              <w:t xml:space="preserve">   </w:t>
            </w:r>
            <w:r>
              <w:rPr>
                <w:rFonts w:hint="eastAsia"/>
                <w:color w:val="auto"/>
                <w:spacing w:val="-4"/>
                <w:u w:val="single"/>
                <w:lang w:val="en-US" w:eastAsia="zh-CN"/>
              </w:rPr>
              <w:t>26.33</w:t>
            </w:r>
            <w:r>
              <w:rPr>
                <w:rFonts w:eastAsia="Times New Roman"/>
                <w:color w:val="auto"/>
                <w:spacing w:val="-4"/>
                <w:u w:val="single"/>
              </w:rPr>
              <w:t xml:space="preserve">  </w:t>
            </w:r>
            <w:r>
              <w:rPr>
                <w:color w:val="auto"/>
                <w:spacing w:val="-4"/>
              </w:rPr>
              <w:t>秒，</w:t>
            </w:r>
            <w:r>
              <w:rPr>
                <w:rFonts w:eastAsia="Times New Roman"/>
                <w:color w:val="auto"/>
                <w:spacing w:val="-4"/>
              </w:rPr>
              <w:t>N</w:t>
            </w:r>
            <w:r>
              <w:rPr>
                <w:rFonts w:eastAsia="Times New Roman"/>
                <w:color w:val="auto"/>
                <w:spacing w:val="-4"/>
                <w:u w:val="single"/>
              </w:rPr>
              <w:t xml:space="preserve"> 3</w:t>
            </w:r>
            <w:r>
              <w:rPr>
                <w:rFonts w:hint="eastAsia"/>
                <w:color w:val="auto"/>
                <w:spacing w:val="-4"/>
                <w:u w:val="single"/>
                <w:lang w:val="en-US" w:eastAsia="zh-CN"/>
              </w:rPr>
              <w:t>1</w:t>
            </w:r>
            <w:r>
              <w:rPr>
                <w:rFonts w:eastAsia="Times New Roman"/>
                <w:color w:val="auto"/>
                <w:spacing w:val="4"/>
                <w:u w:val="single"/>
              </w:rPr>
              <w:t xml:space="preserve">  </w:t>
            </w:r>
            <w:r>
              <w:rPr>
                <w:color w:val="auto"/>
                <w:spacing w:val="-4"/>
              </w:rPr>
              <w:t>度</w:t>
            </w:r>
            <w:r>
              <w:rPr>
                <w:rFonts w:eastAsia="Times New Roman"/>
                <w:color w:val="auto"/>
                <w:spacing w:val="4"/>
                <w:u w:val="single"/>
              </w:rPr>
              <w:t xml:space="preserve">  </w:t>
            </w:r>
            <w:r>
              <w:rPr>
                <w:rFonts w:hint="eastAsia"/>
                <w:color w:val="auto"/>
                <w:spacing w:val="-4"/>
                <w:u w:val="single"/>
                <w:lang w:val="en-US" w:eastAsia="zh-CN"/>
              </w:rPr>
              <w:t>50</w:t>
            </w:r>
            <w:r>
              <w:rPr>
                <w:rFonts w:eastAsia="Times New Roman"/>
                <w:color w:val="auto"/>
                <w:spacing w:val="6"/>
                <w:u w:val="single"/>
              </w:rPr>
              <w:t xml:space="preserve">  </w:t>
            </w:r>
            <w:r>
              <w:rPr>
                <w:color w:val="auto"/>
                <w:spacing w:val="-4"/>
              </w:rPr>
              <w:t>分</w:t>
            </w:r>
            <w:r>
              <w:rPr>
                <w:rFonts w:eastAsia="Times New Roman"/>
                <w:color w:val="auto"/>
                <w:spacing w:val="-4"/>
                <w:u w:val="single"/>
              </w:rPr>
              <w:t xml:space="preserve">   </w:t>
            </w:r>
            <w:r>
              <w:rPr>
                <w:rFonts w:hint="eastAsia"/>
                <w:color w:val="auto"/>
                <w:spacing w:val="-4"/>
                <w:u w:val="single"/>
                <w:lang w:val="en-US" w:eastAsia="zh-CN"/>
              </w:rPr>
              <w:t>28.671</w:t>
            </w:r>
            <w:r>
              <w:rPr>
                <w:rFonts w:eastAsia="Times New Roman"/>
                <w:color w:val="auto"/>
                <w:spacing w:val="-5"/>
                <w:u w:val="single"/>
              </w:rPr>
              <w:t xml:space="preserve">  </w:t>
            </w:r>
            <w:r>
              <w:rPr>
                <w:color w:val="auto"/>
                <w:spacing w:val="-5"/>
              </w:rPr>
              <w:t>秒）</w:t>
            </w:r>
          </w:p>
        </w:tc>
      </w:tr>
      <w:tr w14:paraId="230AF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282D32D4">
            <w:pPr>
              <w:pStyle w:val="75"/>
              <w:rPr>
                <w:color w:val="auto"/>
              </w:rPr>
            </w:pPr>
            <w:r>
              <w:rPr>
                <w:color w:val="auto"/>
              </w:rPr>
              <w:t>国民经济</w:t>
            </w:r>
          </w:p>
          <w:p w14:paraId="6903C7CE">
            <w:pPr>
              <w:pStyle w:val="75"/>
              <w:rPr>
                <w:color w:val="auto"/>
              </w:rPr>
            </w:pPr>
            <w:r>
              <w:rPr>
                <w:color w:val="auto"/>
              </w:rPr>
              <w:t>行业类别</w:t>
            </w:r>
          </w:p>
        </w:tc>
        <w:tc>
          <w:tcPr>
            <w:tcW w:w="2118" w:type="pct"/>
            <w:vAlign w:val="center"/>
          </w:tcPr>
          <w:p w14:paraId="2FA2255B">
            <w:pPr>
              <w:pStyle w:val="75"/>
              <w:rPr>
                <w:color w:val="auto"/>
              </w:rPr>
            </w:pPr>
            <w:r>
              <w:rPr>
                <w:color w:val="auto"/>
              </w:rPr>
              <w:t>C</w:t>
            </w:r>
            <w:r>
              <w:rPr>
                <w:rFonts w:hint="eastAsia"/>
                <w:color w:val="auto"/>
              </w:rPr>
              <w:t>2921塑料薄膜制造</w:t>
            </w:r>
          </w:p>
        </w:tc>
        <w:tc>
          <w:tcPr>
            <w:tcW w:w="822" w:type="pct"/>
            <w:vAlign w:val="center"/>
          </w:tcPr>
          <w:p w14:paraId="7A7FDD09">
            <w:pPr>
              <w:pStyle w:val="75"/>
              <w:rPr>
                <w:color w:val="auto"/>
              </w:rPr>
            </w:pPr>
            <w:bookmarkStart w:id="0" w:name="_Hlk49843745"/>
            <w:r>
              <w:rPr>
                <w:color w:val="auto"/>
              </w:rPr>
              <w:t>建设项目</w:t>
            </w:r>
          </w:p>
          <w:p w14:paraId="164F9F54">
            <w:pPr>
              <w:pStyle w:val="75"/>
              <w:rPr>
                <w:color w:val="auto"/>
              </w:rPr>
            </w:pPr>
            <w:r>
              <w:rPr>
                <w:color w:val="auto"/>
              </w:rPr>
              <w:t>行业类别</w:t>
            </w:r>
            <w:bookmarkEnd w:id="0"/>
          </w:p>
        </w:tc>
        <w:tc>
          <w:tcPr>
            <w:tcW w:w="1532" w:type="pct"/>
            <w:vAlign w:val="center"/>
          </w:tcPr>
          <w:p w14:paraId="2F2E2594">
            <w:pPr>
              <w:pStyle w:val="75"/>
              <w:rPr>
                <w:color w:val="auto"/>
              </w:rPr>
            </w:pPr>
            <w:r>
              <w:rPr>
                <w:rFonts w:hint="eastAsia"/>
                <w:color w:val="auto"/>
                <w:lang w:val="en-US" w:eastAsia="zh-CN"/>
              </w:rPr>
              <w:t>二</w:t>
            </w:r>
            <w:r>
              <w:rPr>
                <w:color w:val="auto"/>
              </w:rPr>
              <w:t>十六--</w:t>
            </w:r>
            <w:r>
              <w:rPr>
                <w:color w:val="auto"/>
                <w:lang w:val="en-US" w:eastAsia="zh-CN"/>
              </w:rPr>
              <w:t>橡胶和塑料制品业</w:t>
            </w:r>
          </w:p>
          <w:p w14:paraId="5B658485">
            <w:pPr>
              <w:pStyle w:val="75"/>
              <w:rPr>
                <w:color w:val="auto"/>
              </w:rPr>
            </w:pPr>
            <w:r>
              <w:rPr>
                <w:color w:val="auto"/>
              </w:rPr>
              <w:t xml:space="preserve"> </w:t>
            </w:r>
            <w:r>
              <w:rPr>
                <w:rFonts w:hint="eastAsia"/>
                <w:color w:val="auto"/>
                <w:lang w:val="en-US" w:eastAsia="zh-CN"/>
              </w:rPr>
              <w:t>29、53</w:t>
            </w:r>
            <w:r>
              <w:rPr>
                <w:color w:val="auto"/>
              </w:rPr>
              <w:t>--</w:t>
            </w:r>
            <w:r>
              <w:rPr>
                <w:rFonts w:hint="eastAsia"/>
                <w:color w:val="auto"/>
                <w:lang w:val="en-US" w:eastAsia="zh-CN"/>
              </w:rPr>
              <w:t>塑料制品业292</w:t>
            </w:r>
            <w:r>
              <w:rPr>
                <w:color w:val="auto"/>
              </w:rPr>
              <w:t>--</w:t>
            </w:r>
            <w:r>
              <w:rPr>
                <w:rFonts w:hint="eastAsia"/>
                <w:color w:val="auto"/>
                <w:lang w:val="en-US" w:eastAsia="zh-CN"/>
              </w:rPr>
              <w:t xml:space="preserve">其他（年用非溶剂型低VOCs含 </w:t>
            </w:r>
          </w:p>
          <w:p w14:paraId="07A01324">
            <w:pPr>
              <w:pStyle w:val="75"/>
              <w:rPr>
                <w:color w:val="auto"/>
              </w:rPr>
            </w:pPr>
            <w:r>
              <w:rPr>
                <w:rFonts w:hint="eastAsia"/>
                <w:color w:val="auto"/>
                <w:lang w:val="en-US" w:eastAsia="zh-CN"/>
              </w:rPr>
              <w:t>量涂料10吨以下的除外）</w:t>
            </w:r>
          </w:p>
        </w:tc>
      </w:tr>
      <w:tr w14:paraId="172ED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76263156">
            <w:pPr>
              <w:pStyle w:val="75"/>
              <w:rPr>
                <w:color w:val="auto"/>
              </w:rPr>
            </w:pPr>
            <w:r>
              <w:rPr>
                <w:color w:val="auto"/>
              </w:rPr>
              <w:t>建设性质</w:t>
            </w:r>
          </w:p>
        </w:tc>
        <w:tc>
          <w:tcPr>
            <w:tcW w:w="2118" w:type="pct"/>
            <w:vAlign w:val="center"/>
          </w:tcPr>
          <w:p w14:paraId="323F9D30">
            <w:pPr>
              <w:pStyle w:val="75"/>
              <w:jc w:val="both"/>
              <w:rPr>
                <w:color w:val="auto"/>
              </w:rPr>
            </w:pPr>
            <w:r>
              <w:rPr>
                <w:rFonts w:hint="eastAsia"/>
                <w:color w:val="auto"/>
              </w:rPr>
              <w:t>□</w:t>
            </w:r>
            <w:r>
              <w:rPr>
                <w:color w:val="auto"/>
              </w:rPr>
              <w:t>新建（迁建）</w:t>
            </w:r>
          </w:p>
          <w:p w14:paraId="4D7E1879">
            <w:pPr>
              <w:pStyle w:val="75"/>
              <w:jc w:val="both"/>
              <w:rPr>
                <w:color w:val="auto"/>
              </w:rPr>
            </w:pPr>
            <w:r>
              <w:rPr>
                <w:rFonts w:hint="eastAsia"/>
                <w:color w:val="auto"/>
                <w:lang w:eastAsia="zh-CN"/>
              </w:rPr>
              <w:t>☑</w:t>
            </w:r>
            <w:r>
              <w:rPr>
                <w:color w:val="auto"/>
              </w:rPr>
              <w:t>改建</w:t>
            </w:r>
          </w:p>
          <w:p w14:paraId="797DB238">
            <w:pPr>
              <w:pStyle w:val="75"/>
              <w:jc w:val="both"/>
              <w:rPr>
                <w:color w:val="auto"/>
              </w:rPr>
            </w:pPr>
            <w:r>
              <w:rPr>
                <w:rFonts w:hint="eastAsia"/>
                <w:color w:val="auto"/>
                <w:lang w:eastAsia="zh-CN"/>
              </w:rPr>
              <w:t>□</w:t>
            </w:r>
            <w:r>
              <w:rPr>
                <w:color w:val="auto"/>
              </w:rPr>
              <w:t>扩建</w:t>
            </w:r>
          </w:p>
          <w:p w14:paraId="662B0D7F">
            <w:pPr>
              <w:pStyle w:val="75"/>
              <w:jc w:val="both"/>
              <w:rPr>
                <w:color w:val="auto"/>
              </w:rPr>
            </w:pPr>
            <w:r>
              <w:rPr>
                <w:color w:val="auto"/>
              </w:rPr>
              <w:t>□技术改造</w:t>
            </w:r>
          </w:p>
        </w:tc>
        <w:tc>
          <w:tcPr>
            <w:tcW w:w="822" w:type="pct"/>
            <w:vAlign w:val="center"/>
          </w:tcPr>
          <w:p w14:paraId="1CB1A46B">
            <w:pPr>
              <w:pStyle w:val="75"/>
              <w:rPr>
                <w:color w:val="auto"/>
              </w:rPr>
            </w:pPr>
            <w:r>
              <w:rPr>
                <w:color w:val="auto"/>
              </w:rPr>
              <w:t>建设项目</w:t>
            </w:r>
          </w:p>
          <w:p w14:paraId="65FD6A32">
            <w:pPr>
              <w:pStyle w:val="75"/>
              <w:rPr>
                <w:color w:val="auto"/>
              </w:rPr>
            </w:pPr>
            <w:r>
              <w:rPr>
                <w:color w:val="auto"/>
              </w:rPr>
              <w:t>申报情形</w:t>
            </w:r>
          </w:p>
        </w:tc>
        <w:tc>
          <w:tcPr>
            <w:tcW w:w="1532" w:type="pct"/>
            <w:vAlign w:val="center"/>
          </w:tcPr>
          <w:p w14:paraId="45DFEB63">
            <w:pPr>
              <w:pStyle w:val="75"/>
              <w:jc w:val="both"/>
              <w:rPr>
                <w:color w:val="auto"/>
              </w:rPr>
            </w:pPr>
            <w:r>
              <w:rPr>
                <w:rFonts w:hint="eastAsia"/>
                <w:color w:val="auto"/>
              </w:rPr>
              <w:t>☑</w:t>
            </w:r>
            <w:r>
              <w:rPr>
                <w:color w:val="auto"/>
              </w:rPr>
              <w:t>首次申报项目</w:t>
            </w:r>
          </w:p>
          <w:p w14:paraId="3A560C08">
            <w:pPr>
              <w:pStyle w:val="75"/>
              <w:jc w:val="both"/>
              <w:rPr>
                <w:color w:val="auto"/>
              </w:rPr>
            </w:pPr>
            <w:r>
              <w:rPr>
                <w:color w:val="auto"/>
              </w:rPr>
              <w:t>□不予批准后再次申报项目</w:t>
            </w:r>
          </w:p>
          <w:p w14:paraId="12186B4C">
            <w:pPr>
              <w:pStyle w:val="75"/>
              <w:jc w:val="both"/>
              <w:rPr>
                <w:color w:val="auto"/>
              </w:rPr>
            </w:pPr>
            <w:r>
              <w:rPr>
                <w:color w:val="auto"/>
              </w:rPr>
              <w:t>□超五年重新审核项目</w:t>
            </w:r>
          </w:p>
          <w:p w14:paraId="4DD8F4A9">
            <w:pPr>
              <w:pStyle w:val="75"/>
              <w:jc w:val="both"/>
              <w:rPr>
                <w:color w:val="auto"/>
              </w:rPr>
            </w:pPr>
            <w:r>
              <w:rPr>
                <w:color w:val="auto"/>
              </w:rPr>
              <w:t>□重大变动重新报批项目</w:t>
            </w:r>
          </w:p>
        </w:tc>
      </w:tr>
      <w:tr w14:paraId="21160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7C0C2639">
            <w:pPr>
              <w:pStyle w:val="75"/>
              <w:rPr>
                <w:color w:val="auto"/>
              </w:rPr>
            </w:pPr>
            <w:r>
              <w:rPr>
                <w:color w:val="auto"/>
              </w:rPr>
              <w:t>项目审批（核准/</w:t>
            </w:r>
          </w:p>
          <w:p w14:paraId="7923462D">
            <w:pPr>
              <w:pStyle w:val="75"/>
              <w:rPr>
                <w:color w:val="auto"/>
              </w:rPr>
            </w:pPr>
            <w:r>
              <w:rPr>
                <w:color w:val="auto"/>
              </w:rPr>
              <w:t>备案）部门</w:t>
            </w:r>
          </w:p>
        </w:tc>
        <w:tc>
          <w:tcPr>
            <w:tcW w:w="2118" w:type="pct"/>
            <w:vAlign w:val="center"/>
          </w:tcPr>
          <w:p w14:paraId="594814B9">
            <w:pPr>
              <w:pStyle w:val="75"/>
              <w:rPr>
                <w:color w:val="auto"/>
              </w:rPr>
            </w:pPr>
            <w:r>
              <w:rPr>
                <w:color w:val="auto"/>
                <w:lang w:val="en-US" w:eastAsia="zh-CN"/>
              </w:rPr>
              <w:t>海门经济技术开发区管理委员会</w:t>
            </w:r>
          </w:p>
        </w:tc>
        <w:tc>
          <w:tcPr>
            <w:tcW w:w="822" w:type="pct"/>
            <w:vAlign w:val="center"/>
          </w:tcPr>
          <w:p w14:paraId="3D4FD818">
            <w:pPr>
              <w:pStyle w:val="75"/>
              <w:rPr>
                <w:color w:val="auto"/>
              </w:rPr>
            </w:pPr>
            <w:r>
              <w:rPr>
                <w:color w:val="auto"/>
              </w:rPr>
              <w:t>项目审批（核准/备案）文号</w:t>
            </w:r>
          </w:p>
        </w:tc>
        <w:tc>
          <w:tcPr>
            <w:tcW w:w="1532" w:type="pct"/>
            <w:vAlign w:val="center"/>
          </w:tcPr>
          <w:p w14:paraId="3B21F739">
            <w:pPr>
              <w:pStyle w:val="75"/>
              <w:rPr>
                <w:color w:val="auto"/>
              </w:rPr>
            </w:pPr>
            <w:r>
              <w:rPr>
                <w:color w:val="auto"/>
                <w:lang w:val="en-US" w:eastAsia="zh-CN"/>
              </w:rPr>
              <w:t>海开审备〔2026〕14号</w:t>
            </w:r>
          </w:p>
        </w:tc>
      </w:tr>
      <w:tr w14:paraId="11B4F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65CE31AC">
            <w:pPr>
              <w:pStyle w:val="75"/>
              <w:rPr>
                <w:color w:val="auto"/>
              </w:rPr>
            </w:pPr>
            <w:r>
              <w:rPr>
                <w:color w:val="auto"/>
              </w:rPr>
              <w:t>总投资（万元）</w:t>
            </w:r>
          </w:p>
        </w:tc>
        <w:tc>
          <w:tcPr>
            <w:tcW w:w="2118" w:type="pct"/>
            <w:vAlign w:val="center"/>
          </w:tcPr>
          <w:p w14:paraId="32547AA9">
            <w:pPr>
              <w:pStyle w:val="75"/>
              <w:rPr>
                <w:rFonts w:hint="default" w:eastAsia="宋体"/>
                <w:color w:val="auto"/>
                <w:lang w:val="en-US" w:eastAsia="zh-CN"/>
              </w:rPr>
            </w:pPr>
            <w:r>
              <w:rPr>
                <w:rFonts w:hint="eastAsia"/>
                <w:color w:val="auto"/>
                <w:lang w:val="en-US" w:eastAsia="zh-CN"/>
              </w:rPr>
              <w:t>4500</w:t>
            </w:r>
          </w:p>
        </w:tc>
        <w:tc>
          <w:tcPr>
            <w:tcW w:w="822" w:type="pct"/>
            <w:tcMar>
              <w:top w:w="16" w:type="dxa"/>
              <w:left w:w="16" w:type="dxa"/>
              <w:right w:w="16" w:type="dxa"/>
            </w:tcMar>
            <w:vAlign w:val="center"/>
          </w:tcPr>
          <w:p w14:paraId="6DF283CD">
            <w:pPr>
              <w:pStyle w:val="75"/>
              <w:rPr>
                <w:color w:val="auto"/>
              </w:rPr>
            </w:pPr>
            <w:r>
              <w:rPr>
                <w:color w:val="auto"/>
              </w:rPr>
              <w:t>环保投资（万元）</w:t>
            </w:r>
          </w:p>
        </w:tc>
        <w:tc>
          <w:tcPr>
            <w:tcW w:w="1532" w:type="pct"/>
            <w:vAlign w:val="center"/>
          </w:tcPr>
          <w:p w14:paraId="0BB74A95">
            <w:pPr>
              <w:pStyle w:val="75"/>
              <w:rPr>
                <w:rFonts w:hint="eastAsia" w:eastAsia="宋体"/>
                <w:color w:val="auto"/>
                <w:lang w:eastAsia="zh-CN"/>
              </w:rPr>
            </w:pPr>
            <w:r>
              <w:rPr>
                <w:rFonts w:hint="eastAsia"/>
                <w:color w:val="auto"/>
                <w:highlight w:val="none"/>
                <w:lang w:val="en-US" w:eastAsia="zh-CN"/>
              </w:rPr>
              <w:t>1</w:t>
            </w:r>
          </w:p>
        </w:tc>
      </w:tr>
      <w:tr w14:paraId="193A9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66F69402">
            <w:pPr>
              <w:pStyle w:val="75"/>
              <w:rPr>
                <w:color w:val="auto"/>
              </w:rPr>
            </w:pPr>
            <w:r>
              <w:rPr>
                <w:color w:val="auto"/>
              </w:rPr>
              <w:t>环保投资占比（%）</w:t>
            </w:r>
          </w:p>
        </w:tc>
        <w:tc>
          <w:tcPr>
            <w:tcW w:w="2118" w:type="pct"/>
            <w:vAlign w:val="center"/>
          </w:tcPr>
          <w:p w14:paraId="1C990E16">
            <w:pPr>
              <w:pStyle w:val="75"/>
              <w:rPr>
                <w:rFonts w:hint="default" w:eastAsia="宋体"/>
                <w:color w:val="auto"/>
                <w:lang w:val="en-US" w:eastAsia="zh-CN"/>
              </w:rPr>
            </w:pPr>
            <w:r>
              <w:rPr>
                <w:rFonts w:hint="eastAsia"/>
                <w:color w:val="auto"/>
                <w:lang w:val="en-US" w:eastAsia="zh-CN"/>
              </w:rPr>
              <w:t>0.02</w:t>
            </w:r>
          </w:p>
        </w:tc>
        <w:tc>
          <w:tcPr>
            <w:tcW w:w="822" w:type="pct"/>
            <w:tcMar>
              <w:top w:w="16" w:type="dxa"/>
              <w:left w:w="16" w:type="dxa"/>
              <w:right w:w="16" w:type="dxa"/>
            </w:tcMar>
            <w:vAlign w:val="center"/>
          </w:tcPr>
          <w:p w14:paraId="36BE110C">
            <w:pPr>
              <w:pStyle w:val="75"/>
              <w:rPr>
                <w:color w:val="auto"/>
              </w:rPr>
            </w:pPr>
            <w:r>
              <w:rPr>
                <w:color w:val="auto"/>
              </w:rPr>
              <w:t>施工工期</w:t>
            </w:r>
          </w:p>
        </w:tc>
        <w:tc>
          <w:tcPr>
            <w:tcW w:w="1532" w:type="pct"/>
            <w:vAlign w:val="center"/>
          </w:tcPr>
          <w:p w14:paraId="34A0D5E6">
            <w:pPr>
              <w:pStyle w:val="75"/>
              <w:rPr>
                <w:color w:val="auto"/>
              </w:rPr>
            </w:pPr>
            <w:r>
              <w:rPr>
                <w:rFonts w:hint="eastAsia"/>
                <w:color w:val="auto"/>
              </w:rPr>
              <w:t>3</w:t>
            </w:r>
            <w:r>
              <w:rPr>
                <w:color w:val="auto"/>
              </w:rPr>
              <w:t>个月</w:t>
            </w:r>
          </w:p>
        </w:tc>
      </w:tr>
      <w:tr w14:paraId="46ECB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6" w:type="pct"/>
            <w:tcMar>
              <w:top w:w="16" w:type="dxa"/>
              <w:left w:w="16" w:type="dxa"/>
              <w:right w:w="16" w:type="dxa"/>
            </w:tcMar>
            <w:vAlign w:val="center"/>
          </w:tcPr>
          <w:p w14:paraId="77FAEAFA">
            <w:pPr>
              <w:pStyle w:val="75"/>
              <w:rPr>
                <w:color w:val="auto"/>
              </w:rPr>
            </w:pPr>
            <w:r>
              <w:rPr>
                <w:color w:val="auto"/>
              </w:rPr>
              <w:t>是否开工建设</w:t>
            </w:r>
          </w:p>
        </w:tc>
        <w:tc>
          <w:tcPr>
            <w:tcW w:w="2118" w:type="pct"/>
            <w:vAlign w:val="center"/>
          </w:tcPr>
          <w:p w14:paraId="70157AE5">
            <w:pPr>
              <w:pStyle w:val="75"/>
              <w:rPr>
                <w:color w:val="auto"/>
              </w:rPr>
            </w:pPr>
            <w:r>
              <w:rPr>
                <w:rFonts w:hint="eastAsia"/>
                <w:color w:val="auto"/>
              </w:rPr>
              <w:t>☑</w:t>
            </w:r>
            <w:r>
              <w:rPr>
                <w:color w:val="auto"/>
              </w:rPr>
              <w:t>否</w:t>
            </w:r>
          </w:p>
          <w:p w14:paraId="0318899F">
            <w:pPr>
              <w:pStyle w:val="75"/>
              <w:rPr>
                <w:color w:val="auto"/>
              </w:rPr>
            </w:pPr>
            <w:r>
              <w:rPr>
                <w:rFonts w:hint="eastAsia"/>
                <w:color w:val="auto"/>
              </w:rPr>
              <w:t>□</w:t>
            </w:r>
            <w:r>
              <w:rPr>
                <w:color w:val="auto"/>
              </w:rPr>
              <w:t>是</w:t>
            </w:r>
          </w:p>
        </w:tc>
        <w:tc>
          <w:tcPr>
            <w:tcW w:w="822" w:type="pct"/>
            <w:tcMar>
              <w:top w:w="16" w:type="dxa"/>
              <w:left w:w="16" w:type="dxa"/>
              <w:right w:w="16" w:type="dxa"/>
            </w:tcMar>
            <w:vAlign w:val="center"/>
          </w:tcPr>
          <w:p w14:paraId="5F6457ED">
            <w:pPr>
              <w:pStyle w:val="75"/>
              <w:rPr>
                <w:color w:val="auto"/>
              </w:rPr>
            </w:pPr>
            <w:r>
              <w:rPr>
                <w:color w:val="auto"/>
              </w:rPr>
              <w:t>用地（用海）</w:t>
            </w:r>
          </w:p>
          <w:p w14:paraId="278DFDA9">
            <w:pPr>
              <w:pStyle w:val="75"/>
              <w:rPr>
                <w:color w:val="auto"/>
              </w:rPr>
            </w:pPr>
            <w:r>
              <w:rPr>
                <w:color w:val="auto"/>
              </w:rPr>
              <w:t>面积（m</w:t>
            </w:r>
            <w:r>
              <w:rPr>
                <w:color w:val="auto"/>
                <w:vertAlign w:val="superscript"/>
              </w:rPr>
              <w:t>2</w:t>
            </w:r>
            <w:r>
              <w:rPr>
                <w:color w:val="auto"/>
              </w:rPr>
              <w:t>）</w:t>
            </w:r>
          </w:p>
        </w:tc>
        <w:tc>
          <w:tcPr>
            <w:tcW w:w="1532" w:type="pct"/>
            <w:vAlign w:val="center"/>
          </w:tcPr>
          <w:p w14:paraId="0D490FB8">
            <w:pPr>
              <w:pStyle w:val="75"/>
              <w:rPr>
                <w:rFonts w:hint="default" w:eastAsia="宋体"/>
                <w:color w:val="auto"/>
                <w:lang w:val="en-US" w:eastAsia="zh-CN"/>
              </w:rPr>
            </w:pPr>
            <w:r>
              <w:rPr>
                <w:rFonts w:hint="eastAsia"/>
                <w:color w:val="auto"/>
                <w:sz w:val="21"/>
                <w:szCs w:val="21"/>
                <w:lang w:val="en-US" w:eastAsia="zh-CN"/>
              </w:rPr>
              <w:t>不新增用地，利用现有厂房内</w:t>
            </w:r>
            <w:r>
              <w:rPr>
                <w:rFonts w:hint="eastAsia" w:ascii="Times New Roman" w:hAnsi="Times New Roman"/>
                <w:bCs/>
                <w:color w:val="auto"/>
                <w:sz w:val="21"/>
                <w:szCs w:val="21"/>
                <w:lang w:val="en-US" w:eastAsia="zh-CN"/>
              </w:rPr>
              <w:t>3355.88</w:t>
            </w:r>
            <w:r>
              <w:rPr>
                <w:rFonts w:hint="eastAsia"/>
                <w:bCs/>
                <w:color w:val="auto"/>
                <w:sz w:val="21"/>
                <w:szCs w:val="21"/>
                <w:lang w:val="en-US" w:eastAsia="zh-CN"/>
              </w:rPr>
              <w:t>m</w:t>
            </w:r>
            <w:r>
              <w:rPr>
                <w:rFonts w:hint="eastAsia"/>
                <w:bCs/>
                <w:color w:val="auto"/>
                <w:sz w:val="21"/>
                <w:szCs w:val="21"/>
                <w:vertAlign w:val="superscript"/>
                <w:lang w:val="en-US" w:eastAsia="zh-CN"/>
              </w:rPr>
              <w:t>2</w:t>
            </w:r>
          </w:p>
        </w:tc>
      </w:tr>
      <w:tr w14:paraId="25C86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Align w:val="center"/>
          </w:tcPr>
          <w:p w14:paraId="02775180">
            <w:pPr>
              <w:pStyle w:val="75"/>
              <w:rPr>
                <w:color w:val="auto"/>
              </w:rPr>
            </w:pPr>
            <w:r>
              <w:rPr>
                <w:color w:val="auto"/>
              </w:rPr>
              <w:t>专项评价设置情况</w:t>
            </w:r>
          </w:p>
        </w:tc>
        <w:tc>
          <w:tcPr>
            <w:tcW w:w="4473" w:type="pct"/>
            <w:gridSpan w:val="3"/>
            <w:vAlign w:val="center"/>
          </w:tcPr>
          <w:p w14:paraId="367E4922">
            <w:pPr>
              <w:ind w:firstLine="420"/>
              <w:rPr>
                <w:color w:val="auto"/>
              </w:rPr>
            </w:pPr>
            <w:r>
              <w:rPr>
                <w:color w:val="auto"/>
              </w:rPr>
              <w:t>根据《建设项目环境影响报告表编制技术指南（污染影响类）（试行）》判定可知，</w:t>
            </w:r>
            <w:r>
              <w:rPr>
                <w:rFonts w:hint="eastAsia"/>
                <w:color w:val="auto"/>
              </w:rPr>
              <w:t>本</w:t>
            </w:r>
            <w:r>
              <w:rPr>
                <w:color w:val="auto"/>
              </w:rPr>
              <w:t>项目无需开展专项评价。</w:t>
            </w:r>
          </w:p>
        </w:tc>
      </w:tr>
      <w:tr w14:paraId="74E8B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Align w:val="center"/>
          </w:tcPr>
          <w:p w14:paraId="1460F4B2">
            <w:pPr>
              <w:pStyle w:val="75"/>
              <w:rPr>
                <w:color w:val="auto"/>
              </w:rPr>
            </w:pPr>
            <w:r>
              <w:rPr>
                <w:color w:val="auto"/>
              </w:rPr>
              <w:t>规划情况</w:t>
            </w:r>
          </w:p>
        </w:tc>
        <w:tc>
          <w:tcPr>
            <w:tcW w:w="4473" w:type="pct"/>
            <w:gridSpan w:val="3"/>
          </w:tcPr>
          <w:p w14:paraId="558426BB">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sz w:val="21"/>
                <w:u w:val="none"/>
              </w:rPr>
            </w:pPr>
            <w:r>
              <w:rPr>
                <w:rFonts w:hint="eastAsia" w:ascii="Times New Roman" w:hAnsi="Times New Roman" w:eastAsia="宋体" w:cs="Times New Roman"/>
                <w:color w:val="auto"/>
                <w:highlight w:val="none"/>
                <w:u w:val="none"/>
              </w:rPr>
              <w:t>规划名称：</w:t>
            </w:r>
            <w:r>
              <w:rPr>
                <w:rFonts w:hint="default" w:ascii="Times New Roman" w:hAnsi="Times New Roman" w:eastAsia="宋体" w:cs="Times New Roman"/>
                <w:color w:val="auto"/>
                <w:kern w:val="2"/>
                <w:sz w:val="21"/>
                <w:szCs w:val="24"/>
                <w:u w:val="none"/>
                <w:lang w:val="en-US" w:eastAsia="zh-CN" w:bidi="zh-CN"/>
              </w:rPr>
              <w:t>《海门经济技术开发区开发建设规划（2022-2035年）》</w:t>
            </w:r>
            <w:r>
              <w:rPr>
                <w:rFonts w:hint="default" w:ascii="Times New Roman" w:hAnsi="Times New Roman" w:eastAsia="宋体" w:cs="Times New Roman"/>
                <w:color w:val="auto"/>
                <w:sz w:val="21"/>
                <w:u w:val="none"/>
              </w:rPr>
              <w:t>；</w:t>
            </w:r>
          </w:p>
          <w:p w14:paraId="7FF6AFBE">
            <w:pPr>
              <w:keepNext w:val="0"/>
              <w:keepLines w:val="0"/>
              <w:pageBreakBefore w:val="0"/>
              <w:widowControl w:val="0"/>
              <w:kinsoku/>
              <w:wordWrap/>
              <w:overflowPunct/>
              <w:topLinePunct w:val="0"/>
              <w:bidi w:val="0"/>
              <w:adjustRightInd w:val="0"/>
              <w:snapToGrid w:val="0"/>
              <w:spacing w:line="360" w:lineRule="auto"/>
              <w:ind w:firstLine="420"/>
              <w:jc w:val="left"/>
              <w:textAlignment w:val="auto"/>
              <w:rPr>
                <w:rFonts w:hint="default" w:ascii="Times New Roman" w:hAnsi="Times New Roman"/>
                <w:color w:val="auto"/>
              </w:rPr>
            </w:pPr>
            <w:r>
              <w:rPr>
                <w:rFonts w:hint="eastAsia" w:ascii="Times New Roman" w:hAnsi="Times New Roman"/>
                <w:color w:val="auto"/>
              </w:rPr>
              <w:t>审批部门：</w:t>
            </w:r>
            <w:r>
              <w:rPr>
                <w:rFonts w:hint="eastAsia" w:ascii="Times New Roman" w:hAnsi="Times New Roman"/>
                <w:color w:val="auto"/>
                <w:lang w:val="en-US" w:eastAsia="zh-CN"/>
              </w:rPr>
              <w:t>/</w:t>
            </w:r>
            <w:r>
              <w:rPr>
                <w:rFonts w:hint="default" w:ascii="Times New Roman" w:hAnsi="Times New Roman"/>
                <w:color w:val="auto"/>
              </w:rPr>
              <w:t>；</w:t>
            </w:r>
          </w:p>
          <w:p w14:paraId="61283668">
            <w:pPr>
              <w:keepNext w:val="0"/>
              <w:keepLines w:val="0"/>
              <w:pageBreakBefore w:val="0"/>
              <w:widowControl w:val="0"/>
              <w:kinsoku/>
              <w:wordWrap/>
              <w:overflowPunct/>
              <w:topLinePunct w:val="0"/>
              <w:bidi w:val="0"/>
              <w:adjustRightInd w:val="0"/>
              <w:snapToGrid w:val="0"/>
              <w:spacing w:line="360" w:lineRule="auto"/>
              <w:ind w:firstLine="420"/>
              <w:jc w:val="left"/>
              <w:textAlignment w:val="auto"/>
              <w:rPr>
                <w:color w:val="auto"/>
              </w:rPr>
            </w:pPr>
            <w:r>
              <w:rPr>
                <w:rFonts w:hint="default" w:ascii="Times New Roman" w:hAnsi="Times New Roman"/>
                <w:color w:val="auto"/>
              </w:rPr>
              <w:t>审批文件名称及文号</w:t>
            </w:r>
            <w:r>
              <w:rPr>
                <w:rFonts w:hint="eastAsia" w:ascii="Times New Roman" w:hAnsi="Times New Roman"/>
                <w:color w:val="auto"/>
              </w:rPr>
              <w:t>：</w:t>
            </w:r>
            <w:r>
              <w:rPr>
                <w:rFonts w:hint="eastAsia" w:ascii="Times New Roman" w:hAnsi="Times New Roman"/>
                <w:color w:val="auto"/>
                <w:lang w:val="en-US" w:eastAsia="zh-CN"/>
              </w:rPr>
              <w:t>/</w:t>
            </w:r>
            <w:r>
              <w:rPr>
                <w:rFonts w:hint="eastAsia" w:ascii="Times New Roman" w:hAnsi="Times New Roman"/>
                <w:color w:val="auto"/>
                <w:lang w:eastAsia="zh-CN"/>
              </w:rPr>
              <w:t>。</w:t>
            </w:r>
          </w:p>
        </w:tc>
      </w:tr>
      <w:tr w14:paraId="478A3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Align w:val="center"/>
          </w:tcPr>
          <w:p w14:paraId="1F927600">
            <w:pPr>
              <w:pStyle w:val="75"/>
              <w:rPr>
                <w:color w:val="auto"/>
              </w:rPr>
            </w:pPr>
            <w:r>
              <w:rPr>
                <w:color w:val="auto"/>
              </w:rPr>
              <w:t>规划环境影响评价情况</w:t>
            </w:r>
          </w:p>
        </w:tc>
        <w:tc>
          <w:tcPr>
            <w:tcW w:w="4473" w:type="pct"/>
            <w:gridSpan w:val="3"/>
          </w:tcPr>
          <w:p w14:paraId="211128EF">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Cs w:val="21"/>
                <w:u w:val="none"/>
                <w:lang w:eastAsia="zh-CN"/>
              </w:rPr>
            </w:pPr>
            <w:r>
              <w:rPr>
                <w:rFonts w:hint="default" w:ascii="Times New Roman" w:hAnsi="Times New Roman" w:eastAsia="新宋体" w:cs="Times New Roman"/>
                <w:color w:val="auto"/>
                <w:szCs w:val="21"/>
                <w:u w:val="none"/>
              </w:rPr>
              <w:t>规划</w:t>
            </w:r>
            <w:r>
              <w:rPr>
                <w:rFonts w:hint="eastAsia" w:eastAsia="新宋体" w:cs="Times New Roman"/>
                <w:color w:val="auto"/>
                <w:szCs w:val="21"/>
                <w:u w:val="none"/>
                <w:lang w:eastAsia="zh-CN"/>
              </w:rPr>
              <w:t>环评名称</w:t>
            </w:r>
            <w:r>
              <w:rPr>
                <w:rFonts w:hint="default" w:ascii="Times New Roman" w:hAnsi="Times New Roman" w:eastAsia="新宋体" w:cs="Times New Roman"/>
                <w:color w:val="auto"/>
                <w:szCs w:val="21"/>
                <w:u w:val="none"/>
              </w:rPr>
              <w:t>：</w:t>
            </w:r>
            <w:r>
              <w:rPr>
                <w:rFonts w:hint="default" w:ascii="Times New Roman" w:hAnsi="Times New Roman" w:cs="Times New Roman"/>
                <w:color w:val="auto"/>
                <w:szCs w:val="21"/>
                <w:u w:val="none"/>
              </w:rPr>
              <w:t>《海门经济技术开发区</w:t>
            </w:r>
            <w:r>
              <w:rPr>
                <w:rFonts w:hint="eastAsia" w:ascii="Times New Roman" w:hAnsi="Times New Roman" w:cs="Times New Roman"/>
                <w:color w:val="auto"/>
                <w:szCs w:val="21"/>
                <w:u w:val="none"/>
                <w:lang w:val="en-US" w:eastAsia="zh-CN"/>
              </w:rPr>
              <w:t>开发建设</w:t>
            </w:r>
            <w:r>
              <w:rPr>
                <w:rFonts w:hint="default" w:ascii="Times New Roman" w:hAnsi="Times New Roman" w:cs="Times New Roman"/>
                <w:color w:val="auto"/>
                <w:szCs w:val="21"/>
                <w:u w:val="none"/>
              </w:rPr>
              <w:t>规划（20</w:t>
            </w:r>
            <w:r>
              <w:rPr>
                <w:rFonts w:hint="eastAsia" w:ascii="Times New Roman" w:hAnsi="Times New Roman" w:cs="Times New Roman"/>
                <w:color w:val="auto"/>
                <w:szCs w:val="21"/>
                <w:u w:val="none"/>
                <w:lang w:val="en-US" w:eastAsia="zh-CN"/>
              </w:rPr>
              <w:t>22</w:t>
            </w:r>
            <w:r>
              <w:rPr>
                <w:rFonts w:hint="default" w:ascii="Times New Roman" w:hAnsi="Times New Roman" w:cs="Times New Roman"/>
                <w:color w:val="auto"/>
                <w:szCs w:val="21"/>
                <w:u w:val="none"/>
              </w:rPr>
              <w:t>-203</w:t>
            </w:r>
            <w:r>
              <w:rPr>
                <w:rFonts w:hint="eastAsia" w:ascii="Times New Roman" w:hAnsi="Times New Roman" w:cs="Times New Roman"/>
                <w:color w:val="auto"/>
                <w:szCs w:val="21"/>
                <w:u w:val="none"/>
                <w:lang w:val="en-US" w:eastAsia="zh-CN"/>
              </w:rPr>
              <w:t>5</w:t>
            </w:r>
            <w:r>
              <w:rPr>
                <w:rFonts w:hint="default" w:ascii="Times New Roman" w:hAnsi="Times New Roman" w:cs="Times New Roman"/>
                <w:color w:val="auto"/>
                <w:szCs w:val="21"/>
                <w:u w:val="none"/>
              </w:rPr>
              <w:t>）环境影响报告书》</w:t>
            </w:r>
            <w:r>
              <w:rPr>
                <w:rFonts w:hint="eastAsia" w:ascii="Times New Roman" w:hAnsi="Times New Roman" w:cs="Times New Roman"/>
                <w:color w:val="auto"/>
                <w:szCs w:val="21"/>
                <w:u w:val="none"/>
                <w:lang w:eastAsia="zh-CN"/>
              </w:rPr>
              <w:t>；</w:t>
            </w:r>
          </w:p>
          <w:p w14:paraId="3DC388C4">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新宋体" w:cs="Times New Roman"/>
                <w:color w:val="auto"/>
                <w:szCs w:val="21"/>
                <w:u w:val="none"/>
                <w:lang w:val="en-US" w:eastAsia="zh-CN"/>
              </w:rPr>
            </w:pPr>
            <w:r>
              <w:rPr>
                <w:rFonts w:hint="default" w:ascii="Times New Roman" w:hAnsi="Times New Roman" w:eastAsia="新宋体" w:cs="Times New Roman"/>
                <w:color w:val="auto"/>
                <w:szCs w:val="21"/>
                <w:u w:val="none"/>
              </w:rPr>
              <w:t>审批机关：</w:t>
            </w:r>
            <w:r>
              <w:rPr>
                <w:rFonts w:hint="eastAsia" w:ascii="Times New Roman" w:hAnsi="Times New Roman" w:eastAsia="新宋体" w:cs="Times New Roman"/>
                <w:color w:val="auto"/>
                <w:szCs w:val="21"/>
                <w:u w:val="none"/>
                <w:lang w:val="en-US" w:eastAsia="zh-CN"/>
              </w:rPr>
              <w:t>江苏省生态环境厅；</w:t>
            </w:r>
          </w:p>
          <w:p w14:paraId="76A5F8C1">
            <w:pPr>
              <w:keepNext w:val="0"/>
              <w:keepLines w:val="0"/>
              <w:pageBreakBefore w:val="0"/>
              <w:widowControl w:val="0"/>
              <w:kinsoku/>
              <w:wordWrap/>
              <w:overflowPunct/>
              <w:topLinePunct w:val="0"/>
              <w:bidi w:val="0"/>
              <w:adjustRightInd w:val="0"/>
              <w:snapToGrid w:val="0"/>
              <w:spacing w:line="360" w:lineRule="auto"/>
              <w:ind w:firstLine="420"/>
              <w:jc w:val="left"/>
              <w:textAlignment w:val="auto"/>
              <w:rPr>
                <w:color w:val="auto"/>
              </w:rPr>
            </w:pPr>
            <w:r>
              <w:rPr>
                <w:rFonts w:hint="default" w:ascii="Times New Roman" w:hAnsi="Times New Roman" w:eastAsia="新宋体" w:cs="Times New Roman"/>
                <w:color w:val="auto"/>
                <w:szCs w:val="21"/>
                <w:u w:val="none"/>
              </w:rPr>
              <w:t>审批文件名称及文号：《</w:t>
            </w:r>
            <w:r>
              <w:rPr>
                <w:rFonts w:hint="eastAsia" w:ascii="Times New Roman" w:hAnsi="Times New Roman" w:eastAsia="新宋体" w:cs="Times New Roman"/>
                <w:color w:val="auto"/>
                <w:szCs w:val="21"/>
                <w:u w:val="none"/>
                <w:lang w:val="en-US" w:eastAsia="zh-CN"/>
              </w:rPr>
              <w:t>省生态环境厅关于海门经济技术开发区建设规划（2022-2035年）环境影响报告书的审查意见</w:t>
            </w:r>
            <w:r>
              <w:rPr>
                <w:rFonts w:hint="default" w:ascii="Times New Roman" w:hAnsi="Times New Roman" w:eastAsia="新宋体" w:cs="Times New Roman"/>
                <w:color w:val="auto"/>
                <w:szCs w:val="21"/>
                <w:u w:val="none"/>
              </w:rPr>
              <w:t>》</w:t>
            </w:r>
            <w:r>
              <w:rPr>
                <w:rFonts w:hint="default" w:ascii="Times New Roman" w:hAnsi="Times New Roman" w:eastAsia="新宋体" w:cs="Times New Roman"/>
                <w:color w:val="auto"/>
                <w:szCs w:val="21"/>
                <w:u w:val="none"/>
                <w:lang w:eastAsia="zh-CN"/>
              </w:rPr>
              <w:t>（</w:t>
            </w:r>
            <w:r>
              <w:rPr>
                <w:rFonts w:hint="eastAsia" w:ascii="Times New Roman" w:hAnsi="Times New Roman" w:eastAsia="新宋体" w:cs="Times New Roman"/>
                <w:color w:val="auto"/>
                <w:szCs w:val="21"/>
                <w:u w:val="none"/>
                <w:lang w:val="en-US" w:eastAsia="zh-CN"/>
              </w:rPr>
              <w:t>苏</w:t>
            </w:r>
            <w:r>
              <w:rPr>
                <w:rFonts w:hint="default" w:ascii="Times New Roman" w:hAnsi="Times New Roman" w:cs="Times New Roman"/>
                <w:color w:val="auto"/>
                <w:szCs w:val="21"/>
                <w:u w:val="none"/>
              </w:rPr>
              <w:t>环审</w:t>
            </w:r>
            <w:r>
              <w:rPr>
                <w:rFonts w:hint="default" w:ascii="Times New Roman" w:hAnsi="Times New Roman" w:eastAsia="宋体" w:cs="Times New Roman"/>
                <w:color w:val="auto"/>
                <w:sz w:val="18"/>
                <w:szCs w:val="18"/>
                <w:lang w:eastAsia="zh-CN"/>
              </w:rPr>
              <w:t>〔</w:t>
            </w:r>
            <w:r>
              <w:rPr>
                <w:rFonts w:hint="default" w:ascii="Times New Roman" w:hAnsi="Times New Roman" w:cs="Times New Roman"/>
                <w:color w:val="auto"/>
                <w:szCs w:val="21"/>
                <w:u w:val="none"/>
              </w:rPr>
              <w:t>20</w:t>
            </w:r>
            <w:r>
              <w:rPr>
                <w:rFonts w:hint="eastAsia" w:ascii="Times New Roman" w:hAnsi="Times New Roman" w:cs="Times New Roman"/>
                <w:color w:val="auto"/>
                <w:szCs w:val="21"/>
                <w:u w:val="none"/>
                <w:lang w:val="en-US" w:eastAsia="zh-CN"/>
              </w:rPr>
              <w:t>24</w:t>
            </w:r>
            <w:r>
              <w:rPr>
                <w:rFonts w:hint="default" w:ascii="Times New Roman" w:hAnsi="Times New Roman" w:eastAsia="宋体" w:cs="Times New Roman"/>
                <w:color w:val="auto"/>
                <w:sz w:val="18"/>
                <w:szCs w:val="18"/>
                <w:lang w:eastAsia="zh-CN"/>
              </w:rPr>
              <w:t>〕</w:t>
            </w:r>
            <w:r>
              <w:rPr>
                <w:rFonts w:hint="eastAsia" w:ascii="Times New Roman" w:hAnsi="Times New Roman" w:cs="Times New Roman"/>
                <w:color w:val="auto"/>
                <w:szCs w:val="21"/>
                <w:u w:val="none"/>
                <w:lang w:val="en-US" w:eastAsia="zh-CN"/>
              </w:rPr>
              <w:t>7</w:t>
            </w:r>
            <w:r>
              <w:rPr>
                <w:rFonts w:hint="default" w:ascii="Times New Roman" w:hAnsi="Times New Roman" w:cs="Times New Roman"/>
                <w:color w:val="auto"/>
                <w:szCs w:val="21"/>
                <w:u w:val="none"/>
              </w:rPr>
              <w:t>号</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eastAsia="zh-CN"/>
              </w:rPr>
              <w:t>。</w:t>
            </w:r>
          </w:p>
        </w:tc>
      </w:tr>
      <w:tr w14:paraId="023C4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Align w:val="center"/>
          </w:tcPr>
          <w:p w14:paraId="1CE234BB">
            <w:pPr>
              <w:pStyle w:val="75"/>
              <w:rPr>
                <w:color w:val="auto"/>
              </w:rPr>
            </w:pPr>
            <w:r>
              <w:rPr>
                <w:color w:val="auto"/>
              </w:rPr>
              <w:t>规划及规划环境影响评价符合性分析</w:t>
            </w:r>
          </w:p>
        </w:tc>
        <w:tc>
          <w:tcPr>
            <w:tcW w:w="4473" w:type="pct"/>
            <w:gridSpan w:val="3"/>
          </w:tcPr>
          <w:p w14:paraId="62DA2D7B">
            <w:pPr>
              <w:widowControl w:val="0"/>
              <w:autoSpaceDE w:val="0"/>
              <w:autoSpaceDN w:val="0"/>
              <w:adjustRightInd w:val="0"/>
              <w:spacing w:line="360" w:lineRule="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1、与《海门经济技术开发区开发建设规划（2022-2035年）》及</w:t>
            </w:r>
            <w:r>
              <w:rPr>
                <w:b/>
                <w:bCs/>
                <w:color w:val="auto"/>
                <w:kern w:val="0"/>
                <w:sz w:val="21"/>
                <w:szCs w:val="21"/>
                <w:highlight w:val="none"/>
                <w:lang w:bidi="ar"/>
              </w:rPr>
              <w:t>《海门经济技术开发区开发建设规划（2022-2035年）环境影响报告书》</w:t>
            </w:r>
            <w:r>
              <w:rPr>
                <w:rFonts w:hint="eastAsia" w:ascii="Times New Roman" w:hAnsi="Times New Roman" w:eastAsia="宋体" w:cs="Times New Roman"/>
                <w:b/>
                <w:bCs/>
                <w:color w:val="auto"/>
                <w:kern w:val="2"/>
                <w:sz w:val="21"/>
                <w:szCs w:val="21"/>
                <w:lang w:val="en-US" w:eastAsia="zh-CN" w:bidi="ar-SA"/>
              </w:rPr>
              <w:t>的相符性分析</w:t>
            </w:r>
          </w:p>
          <w:p w14:paraId="17DE98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规划范围：包括滨江片区和老城片区，其中滨江片区西至保税东路如通苏湖城际东侧，东至岷江路-民生路，南至沿江江堤，北至大连路-上海路，面积48.25 平方公里；老城片区西至日新路-越秀路，东至嫩江路，南至南海路-东海路-北京路，北至河海路-红海路，面积13.63平方公里；滨江片区与老城片区相隔2.2公里，规划总面积61.88平方公里。</w:t>
            </w:r>
          </w:p>
          <w:p w14:paraId="61EEAC8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规划期限：近期2022-2025年；远期2026-2035年。</w:t>
            </w:r>
          </w:p>
          <w:p w14:paraId="0FF0A7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产业定位：聚焦新旧动能转换，提升产业竞争力，坚持主导产业提质增效与战略性新兴产业培育并举，海门经济技术开发区重点打造以海工装备、新一代信息技术、智能制造产业为主导的现代化产业体系，为高质量发展夯实产业基础。</w:t>
            </w:r>
          </w:p>
          <w:p w14:paraId="3F1EB2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①主导产业：海工装备、新一代信息技术、智能制造；</w:t>
            </w:r>
          </w:p>
          <w:p w14:paraId="6F72EF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②生产性服务业：电子商务、金融服务、现代物流、信息网络、工业设计、软件与服务外包等；</w:t>
            </w:r>
          </w:p>
          <w:p w14:paraId="4A4C1F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③高端生活性服务业：商贸服务、文化、体育、旅游、休闲健康、养老医疗等。</w:t>
            </w:r>
          </w:p>
          <w:p w14:paraId="6B07F2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产业布局：规划坚持“生产生活融合、产业功能集中、土地集约利用”的理念，提升创新引领能力，强化协同带动作用，总体形成“一核四园”的产业空间布局结构。</w:t>
            </w:r>
          </w:p>
          <w:p w14:paraId="5267D0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①“一核”謇公湖科创核心，作为开发区综合配套服务的核心，也是区域科创特色服务中心，以科技创新、孵化加速、足球小镇、院校教育、生态休闲等为主，謇公湖区域以现代智慧科教功能为核心，以滨江生态特色休闲旅游功能和高能级的公共服务为主导功能，打造海门面向上海大都市圈的滨江特色服务型功能区。</w:t>
            </w:r>
          </w:p>
          <w:p w14:paraId="4B8124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②“四园”</w:t>
            </w:r>
          </w:p>
          <w:p w14:paraId="42EAE8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规划形成海工装备、新一代信息技术、智能制造Ⅰ、智能制造Ⅱ四大产业片区，生产性服务业结合各产业片区按需落位。</w:t>
            </w:r>
          </w:p>
          <w:p w14:paraId="5D8741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本项目位于</w:t>
            </w:r>
            <w:r>
              <w:rPr>
                <w:rFonts w:hint="eastAsia"/>
                <w:b w:val="0"/>
                <w:bCs w:val="0"/>
                <w:color w:val="auto"/>
                <w:kern w:val="0"/>
                <w:sz w:val="21"/>
                <w:szCs w:val="21"/>
                <w:highlight w:val="none"/>
                <w:lang w:val="en-US" w:eastAsia="zh-CN"/>
              </w:rPr>
              <w:t>海门经济技术开发区扬子江路2288号现有厂房</w:t>
            </w:r>
            <w:r>
              <w:rPr>
                <w:rFonts w:hint="eastAsia"/>
                <w:b w:val="0"/>
                <w:bCs w:val="0"/>
                <w:color w:val="auto"/>
                <w:kern w:val="0"/>
                <w:sz w:val="21"/>
                <w:szCs w:val="21"/>
                <w:highlight w:val="none"/>
                <w:lang w:eastAsia="zh-CN"/>
              </w:rPr>
              <w:t>，属于</w:t>
            </w:r>
            <w:r>
              <w:rPr>
                <w:rFonts w:hint="default" w:ascii="Times New Roman" w:hAnsi="Times New Roman" w:eastAsia="宋体" w:cs="Times New Roman"/>
                <w:color w:val="auto"/>
                <w:sz w:val="18"/>
                <w:szCs w:val="18"/>
                <w:lang w:eastAsia="zh-CN"/>
              </w:rPr>
              <w:t>〔</w:t>
            </w:r>
            <w:r>
              <w:rPr>
                <w:rFonts w:hint="eastAsia"/>
                <w:b w:val="0"/>
                <w:bCs w:val="0"/>
                <w:color w:val="auto"/>
                <w:kern w:val="0"/>
                <w:sz w:val="21"/>
                <w:szCs w:val="21"/>
                <w:highlight w:val="none"/>
                <w:lang w:eastAsia="zh-CN"/>
              </w:rPr>
              <w:t>C29</w:t>
            </w:r>
            <w:r>
              <w:rPr>
                <w:rFonts w:hint="eastAsia"/>
                <w:b w:val="0"/>
                <w:bCs w:val="0"/>
                <w:color w:val="auto"/>
                <w:kern w:val="0"/>
                <w:sz w:val="21"/>
                <w:szCs w:val="21"/>
                <w:highlight w:val="none"/>
                <w:lang w:val="en-US" w:eastAsia="zh-CN"/>
              </w:rPr>
              <w:t>21</w:t>
            </w:r>
            <w:r>
              <w:rPr>
                <w:rFonts w:hint="default" w:ascii="Times New Roman" w:hAnsi="Times New Roman" w:eastAsia="宋体" w:cs="Times New Roman"/>
                <w:color w:val="auto"/>
                <w:sz w:val="18"/>
                <w:szCs w:val="18"/>
                <w:lang w:eastAsia="zh-CN"/>
              </w:rPr>
              <w:t>〕</w:t>
            </w:r>
            <w:r>
              <w:rPr>
                <w:rFonts w:hint="eastAsia"/>
                <w:color w:val="auto"/>
                <w:sz w:val="21"/>
                <w:szCs w:val="21"/>
              </w:rPr>
              <w:t>塑料薄膜制造</w:t>
            </w:r>
            <w:r>
              <w:rPr>
                <w:rFonts w:hint="eastAsia"/>
                <w:b w:val="0"/>
                <w:bCs w:val="0"/>
                <w:color w:val="auto"/>
                <w:kern w:val="0"/>
                <w:sz w:val="21"/>
                <w:szCs w:val="21"/>
                <w:highlight w:val="none"/>
                <w:lang w:eastAsia="zh-CN"/>
              </w:rPr>
              <w:t>，产品主要为</w:t>
            </w:r>
            <w:r>
              <w:rPr>
                <w:color w:val="auto"/>
                <w:sz w:val="21"/>
                <w:szCs w:val="21"/>
                <w:lang w:val="en-US" w:eastAsia="zh-CN"/>
              </w:rPr>
              <w:t>特种纳米新材料薄膜</w:t>
            </w:r>
            <w:r>
              <w:rPr>
                <w:rFonts w:hint="eastAsia" w:ascii="Times New Roman" w:hAnsi="Times New Roman" w:eastAsia="宋体" w:cs="Times New Roman"/>
                <w:color w:val="auto"/>
                <w:kern w:val="0"/>
                <w:sz w:val="21"/>
                <w:szCs w:val="21"/>
                <w:highlight w:val="none"/>
                <w:u w:val="none"/>
                <w:lang w:val="en-US" w:eastAsia="zh-CN" w:bidi="ar"/>
              </w:rPr>
              <w:t>，</w:t>
            </w:r>
            <w:r>
              <w:rPr>
                <w:rFonts w:hint="default" w:ascii="Times New Roman" w:hAnsi="Times New Roman" w:eastAsia="宋体" w:cs="Times New Roman"/>
                <w:color w:val="auto"/>
                <w:kern w:val="0"/>
                <w:sz w:val="21"/>
                <w:szCs w:val="21"/>
                <w:highlight w:val="none"/>
                <w:u w:val="none"/>
                <w:lang w:val="en-US" w:eastAsia="zh-CN" w:bidi="ar"/>
              </w:rPr>
              <w:t>对照产业准入清单可知，本项目不属于禁止引入、限制引入</w:t>
            </w:r>
            <w:r>
              <w:rPr>
                <w:rFonts w:hint="eastAsia" w:cs="Times New Roman"/>
                <w:color w:val="auto"/>
                <w:kern w:val="0"/>
                <w:sz w:val="21"/>
                <w:szCs w:val="21"/>
                <w:highlight w:val="none"/>
                <w:u w:val="none"/>
                <w:lang w:val="en-US" w:eastAsia="zh-CN" w:bidi="ar"/>
              </w:rPr>
              <w:t>类</w:t>
            </w:r>
            <w:r>
              <w:rPr>
                <w:rFonts w:hint="default" w:ascii="Times New Roman" w:hAnsi="Times New Roman" w:eastAsia="宋体" w:cs="Times New Roman"/>
                <w:color w:val="auto"/>
                <w:kern w:val="0"/>
                <w:sz w:val="21"/>
                <w:szCs w:val="21"/>
                <w:highlight w:val="none"/>
                <w:u w:val="none"/>
                <w:lang w:val="en-US" w:eastAsia="zh-CN" w:bidi="ar"/>
              </w:rPr>
              <w:t>。</w:t>
            </w:r>
          </w:p>
          <w:p w14:paraId="791D2E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w:t>
            </w:r>
            <w:r>
              <w:rPr>
                <w:rFonts w:hint="eastAsia" w:ascii="Times New Roman" w:hAnsi="Times New Roman" w:cs="Times New Roman"/>
                <w:b/>
                <w:bCs/>
                <w:color w:val="auto"/>
                <w:spacing w:val="0"/>
                <w:kern w:val="11"/>
                <w:sz w:val="21"/>
                <w:szCs w:val="21"/>
                <w:highlight w:val="none"/>
                <w:u w:val="none"/>
                <w:lang w:val="en-US" w:eastAsia="zh-CN"/>
              </w:rPr>
              <w:t>与</w:t>
            </w:r>
            <w:r>
              <w:rPr>
                <w:rFonts w:hint="default" w:ascii="Times New Roman" w:hAnsi="Times New Roman" w:eastAsia="新宋体" w:cs="Times New Roman"/>
                <w:b/>
                <w:bCs/>
                <w:color w:val="auto"/>
                <w:szCs w:val="21"/>
                <w:u w:val="none"/>
              </w:rPr>
              <w:t>《</w:t>
            </w:r>
            <w:r>
              <w:rPr>
                <w:rFonts w:hint="eastAsia" w:ascii="Times New Roman" w:hAnsi="Times New Roman" w:eastAsia="新宋体" w:cs="Times New Roman"/>
                <w:b/>
                <w:bCs/>
                <w:color w:val="auto"/>
                <w:szCs w:val="21"/>
                <w:u w:val="none"/>
                <w:lang w:val="en-US" w:eastAsia="zh-CN"/>
              </w:rPr>
              <w:t>省生态环境厅关于海门经济技术开发区建设规划（2022-2035年）环境影响报告书的审查意见</w:t>
            </w:r>
            <w:r>
              <w:rPr>
                <w:rFonts w:hint="default" w:ascii="Times New Roman" w:hAnsi="Times New Roman" w:eastAsia="新宋体" w:cs="Times New Roman"/>
                <w:b/>
                <w:bCs/>
                <w:color w:val="auto"/>
                <w:szCs w:val="21"/>
                <w:u w:val="none"/>
              </w:rPr>
              <w:t>》</w:t>
            </w:r>
            <w:r>
              <w:rPr>
                <w:rFonts w:hint="default" w:ascii="Times New Roman" w:hAnsi="Times New Roman" w:eastAsia="新宋体" w:cs="Times New Roman"/>
                <w:b/>
                <w:bCs/>
                <w:color w:val="auto"/>
                <w:szCs w:val="21"/>
                <w:u w:val="none"/>
                <w:lang w:eastAsia="zh-CN"/>
              </w:rPr>
              <w:t>（</w:t>
            </w:r>
            <w:r>
              <w:rPr>
                <w:rFonts w:hint="eastAsia" w:ascii="Times New Roman" w:hAnsi="Times New Roman" w:eastAsia="新宋体" w:cs="Times New Roman"/>
                <w:b/>
                <w:bCs/>
                <w:color w:val="auto"/>
                <w:szCs w:val="21"/>
                <w:u w:val="none"/>
                <w:lang w:val="en-US" w:eastAsia="zh-CN"/>
              </w:rPr>
              <w:t>苏</w:t>
            </w:r>
            <w:r>
              <w:rPr>
                <w:rFonts w:hint="default" w:ascii="Times New Roman" w:hAnsi="Times New Roman" w:cs="Times New Roman"/>
                <w:b/>
                <w:bCs/>
                <w:color w:val="auto"/>
                <w:szCs w:val="21"/>
                <w:u w:val="none"/>
              </w:rPr>
              <w:t>环审</w:t>
            </w:r>
            <w:r>
              <w:rPr>
                <w:rFonts w:hint="default" w:ascii="Times New Roman" w:hAnsi="Times New Roman" w:eastAsia="宋体" w:cs="Times New Roman"/>
                <w:color w:val="auto"/>
                <w:sz w:val="18"/>
                <w:szCs w:val="18"/>
                <w:lang w:eastAsia="zh-CN"/>
              </w:rPr>
              <w:t>〔</w:t>
            </w:r>
            <w:r>
              <w:rPr>
                <w:rFonts w:hint="default" w:ascii="Times New Roman" w:hAnsi="Times New Roman" w:cs="Times New Roman"/>
                <w:b/>
                <w:bCs/>
                <w:color w:val="auto"/>
                <w:szCs w:val="21"/>
                <w:u w:val="none"/>
              </w:rPr>
              <w:t>20</w:t>
            </w:r>
            <w:r>
              <w:rPr>
                <w:rFonts w:hint="eastAsia" w:ascii="Times New Roman" w:hAnsi="Times New Roman" w:cs="Times New Roman"/>
                <w:b/>
                <w:bCs/>
                <w:color w:val="auto"/>
                <w:szCs w:val="21"/>
                <w:u w:val="none"/>
                <w:lang w:val="en-US" w:eastAsia="zh-CN"/>
              </w:rPr>
              <w:t>24</w:t>
            </w:r>
            <w:r>
              <w:rPr>
                <w:rFonts w:hint="default" w:ascii="Times New Roman" w:hAnsi="Times New Roman" w:eastAsia="宋体" w:cs="Times New Roman"/>
                <w:color w:val="auto"/>
                <w:sz w:val="18"/>
                <w:szCs w:val="18"/>
                <w:lang w:eastAsia="zh-CN"/>
              </w:rPr>
              <w:t>〕</w:t>
            </w:r>
            <w:r>
              <w:rPr>
                <w:rFonts w:hint="eastAsia" w:ascii="Times New Roman" w:hAnsi="Times New Roman" w:cs="Times New Roman"/>
                <w:b/>
                <w:bCs/>
                <w:color w:val="auto"/>
                <w:szCs w:val="21"/>
                <w:u w:val="none"/>
                <w:lang w:val="en-US" w:eastAsia="zh-CN"/>
              </w:rPr>
              <w:t>7</w:t>
            </w:r>
            <w:r>
              <w:rPr>
                <w:rFonts w:hint="default" w:ascii="Times New Roman" w:hAnsi="Times New Roman" w:cs="Times New Roman"/>
                <w:b/>
                <w:bCs/>
                <w:color w:val="auto"/>
                <w:szCs w:val="21"/>
                <w:u w:val="none"/>
              </w:rPr>
              <w:t>号</w:t>
            </w:r>
            <w:r>
              <w:rPr>
                <w:rFonts w:hint="default" w:ascii="Times New Roman" w:hAnsi="Times New Roman" w:cs="Times New Roman"/>
                <w:b/>
                <w:bCs/>
                <w:color w:val="auto"/>
                <w:szCs w:val="21"/>
                <w:u w:val="none"/>
                <w:lang w:eastAsia="zh-CN"/>
              </w:rPr>
              <w:t>）</w:t>
            </w:r>
            <w:r>
              <w:rPr>
                <w:rFonts w:hint="default" w:ascii="Times New Roman" w:hAnsi="Times New Roman" w:cs="Times New Roman"/>
                <w:b/>
                <w:bCs/>
                <w:color w:val="auto"/>
                <w:spacing w:val="0"/>
                <w:kern w:val="11"/>
                <w:sz w:val="21"/>
                <w:szCs w:val="21"/>
                <w:highlight w:val="none"/>
                <w:u w:val="none"/>
                <w:lang w:eastAsia="zh-CN"/>
              </w:rPr>
              <w:t>符合性分析</w:t>
            </w:r>
          </w:p>
          <w:p w14:paraId="724DB8E4">
            <w:pPr>
              <w:adjustRightInd w:val="0"/>
              <w:snapToGrid w:val="0"/>
              <w:spacing w:line="360" w:lineRule="auto"/>
              <w:ind w:firstLine="420" w:firstLineChars="200"/>
              <w:jc w:val="both"/>
              <w:rPr>
                <w:rFonts w:hint="default" w:eastAsia="宋体"/>
                <w:color w:val="auto"/>
                <w:kern w:val="0"/>
                <w:sz w:val="21"/>
                <w:szCs w:val="21"/>
                <w:highlight w:val="none"/>
                <w:lang w:val="en-US" w:eastAsia="zh-CN" w:bidi="ar"/>
              </w:rPr>
            </w:pPr>
            <w:r>
              <w:rPr>
                <w:rFonts w:hint="eastAsia"/>
                <w:color w:val="auto"/>
                <w:kern w:val="0"/>
                <w:sz w:val="21"/>
                <w:szCs w:val="21"/>
                <w:highlight w:val="none"/>
                <w:lang w:bidi="ar"/>
              </w:rPr>
              <w:t>本项目与《省生态环境厅关于&lt;海门经济技术开发区开发建设规划（2022-2035年）环境影响报告书&gt;的审查意见》（苏环审</w:t>
            </w:r>
            <w:r>
              <w:rPr>
                <w:rFonts w:hint="default" w:ascii="Times New Roman" w:hAnsi="Times New Roman" w:eastAsia="宋体" w:cs="Times New Roman"/>
                <w:color w:val="auto"/>
                <w:sz w:val="18"/>
                <w:szCs w:val="18"/>
                <w:lang w:eastAsia="zh-CN"/>
              </w:rPr>
              <w:t>〔</w:t>
            </w:r>
            <w:r>
              <w:rPr>
                <w:rFonts w:hint="eastAsia"/>
                <w:color w:val="auto"/>
                <w:kern w:val="0"/>
                <w:sz w:val="21"/>
                <w:szCs w:val="21"/>
                <w:highlight w:val="none"/>
                <w:lang w:bidi="ar"/>
              </w:rPr>
              <w:t>2024</w:t>
            </w:r>
            <w:r>
              <w:rPr>
                <w:rFonts w:hint="default" w:ascii="Times New Roman" w:hAnsi="Times New Roman" w:eastAsia="宋体" w:cs="Times New Roman"/>
                <w:color w:val="auto"/>
                <w:sz w:val="18"/>
                <w:szCs w:val="18"/>
                <w:lang w:eastAsia="zh-CN"/>
              </w:rPr>
              <w:t>〕</w:t>
            </w:r>
            <w:r>
              <w:rPr>
                <w:rFonts w:hint="eastAsia"/>
                <w:color w:val="auto"/>
                <w:kern w:val="0"/>
                <w:sz w:val="21"/>
                <w:szCs w:val="21"/>
                <w:highlight w:val="none"/>
                <w:lang w:bidi="ar"/>
              </w:rPr>
              <w:t>7号）中“附件2海门经济技术开发区生态环境准入清单”相符性分析见</w:t>
            </w:r>
            <w:r>
              <w:rPr>
                <w:rFonts w:hint="eastAsia"/>
                <w:color w:val="auto"/>
                <w:kern w:val="0"/>
                <w:sz w:val="21"/>
                <w:szCs w:val="21"/>
                <w:highlight w:val="none"/>
                <w:lang w:val="en-US" w:eastAsia="zh-CN" w:bidi="ar"/>
              </w:rPr>
              <w:t>表1-1。</w:t>
            </w:r>
          </w:p>
          <w:p w14:paraId="21DC16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4"/>
                <w:szCs w:val="24"/>
                <w:highlight w:val="none"/>
              </w:rPr>
            </w:pPr>
            <w:r>
              <w:rPr>
                <w:rFonts w:hint="eastAsia"/>
                <w:b/>
                <w:bCs/>
                <w:color w:val="auto"/>
                <w:sz w:val="21"/>
                <w:szCs w:val="21"/>
                <w:highlight w:val="none"/>
              </w:rPr>
              <w:t>表1-</w:t>
            </w:r>
            <w:r>
              <w:rPr>
                <w:rFonts w:hint="eastAsia"/>
                <w:b/>
                <w:bCs/>
                <w:color w:val="auto"/>
                <w:sz w:val="21"/>
                <w:szCs w:val="21"/>
                <w:highlight w:val="none"/>
                <w:lang w:val="en-US" w:eastAsia="zh-CN"/>
              </w:rPr>
              <w:t xml:space="preserve">1  </w:t>
            </w:r>
            <w:r>
              <w:rPr>
                <w:rFonts w:hint="eastAsia"/>
                <w:b/>
                <w:bCs/>
                <w:color w:val="auto"/>
                <w:sz w:val="21"/>
                <w:szCs w:val="21"/>
                <w:highlight w:val="none"/>
              </w:rPr>
              <w:t>海门经济开发区生态环境准入清单相符性分析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663"/>
              <w:gridCol w:w="4032"/>
              <w:gridCol w:w="1670"/>
              <w:gridCol w:w="866"/>
            </w:tblGrid>
            <w:tr w14:paraId="0984D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0" w:type="dxa"/>
                  <w:gridSpan w:val="2"/>
                  <w:shd w:val="clear" w:color="auto" w:fill="D7D7D7" w:themeFill="background1" w:themeFillShade="D8"/>
                  <w:noWrap w:val="0"/>
                  <w:vAlign w:val="center"/>
                </w:tcPr>
                <w:p w14:paraId="3728BB2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清单类别</w:t>
                  </w:r>
                </w:p>
              </w:tc>
              <w:tc>
                <w:tcPr>
                  <w:tcW w:w="4032" w:type="dxa"/>
                  <w:shd w:val="clear" w:color="auto" w:fill="D7D7D7" w:themeFill="background1" w:themeFillShade="D8"/>
                  <w:noWrap w:val="0"/>
                  <w:vAlign w:val="center"/>
                </w:tcPr>
                <w:p w14:paraId="194079D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生态环境准入条件</w:t>
                  </w:r>
                </w:p>
              </w:tc>
              <w:tc>
                <w:tcPr>
                  <w:tcW w:w="1670" w:type="dxa"/>
                  <w:shd w:val="clear" w:color="auto" w:fill="D7D7D7" w:themeFill="background1" w:themeFillShade="D8"/>
                  <w:noWrap w:val="0"/>
                  <w:vAlign w:val="center"/>
                </w:tcPr>
                <w:p w14:paraId="23F48E7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本项目</w:t>
                  </w:r>
                </w:p>
              </w:tc>
              <w:tc>
                <w:tcPr>
                  <w:tcW w:w="866" w:type="dxa"/>
                  <w:shd w:val="clear" w:color="auto" w:fill="D7D7D7" w:themeFill="background1" w:themeFillShade="D8"/>
                  <w:noWrap w:val="0"/>
                  <w:vAlign w:val="center"/>
                </w:tcPr>
                <w:p w14:paraId="6FEB94F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相符性</w:t>
                  </w:r>
                </w:p>
              </w:tc>
            </w:tr>
            <w:tr w14:paraId="72F14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dxa"/>
                  <w:vMerge w:val="restart"/>
                  <w:noWrap w:val="0"/>
                  <w:vAlign w:val="center"/>
                </w:tcPr>
                <w:p w14:paraId="54AEE52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产业准入</w:t>
                  </w:r>
                </w:p>
              </w:tc>
              <w:tc>
                <w:tcPr>
                  <w:tcW w:w="663" w:type="dxa"/>
                  <w:noWrap w:val="0"/>
                  <w:vAlign w:val="center"/>
                </w:tcPr>
                <w:p w14:paraId="7233E79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主导产业</w:t>
                  </w:r>
                </w:p>
              </w:tc>
              <w:tc>
                <w:tcPr>
                  <w:tcW w:w="4032" w:type="dxa"/>
                  <w:noWrap w:val="0"/>
                  <w:vAlign w:val="center"/>
                </w:tcPr>
                <w:p w14:paraId="3A88DE5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海工装备、智能制造、新一代信息技术等产业</w:t>
                  </w:r>
                </w:p>
              </w:tc>
              <w:tc>
                <w:tcPr>
                  <w:tcW w:w="1670" w:type="dxa"/>
                  <w:vMerge w:val="restart"/>
                  <w:noWrap w:val="0"/>
                  <w:vAlign w:val="center"/>
                </w:tcPr>
                <w:p w14:paraId="63ED566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18"/>
                      <w:szCs w:val="18"/>
                      <w:highlight w:val="none"/>
                      <w:lang w:val="en-US" w:eastAsia="zh-CN"/>
                    </w:rPr>
                  </w:pPr>
                  <w:r>
                    <w:rPr>
                      <w:rFonts w:hint="eastAsia"/>
                      <w:color w:val="auto"/>
                      <w:sz w:val="18"/>
                      <w:szCs w:val="18"/>
                      <w:highlight w:val="none"/>
                    </w:rPr>
                    <w:t>项目</w:t>
                  </w:r>
                  <w:r>
                    <w:rPr>
                      <w:rFonts w:hint="eastAsia"/>
                      <w:color w:val="auto"/>
                      <w:sz w:val="18"/>
                      <w:szCs w:val="18"/>
                      <w:highlight w:val="none"/>
                      <w:lang w:eastAsia="zh-CN"/>
                    </w:rPr>
                    <w:t>为</w:t>
                  </w:r>
                  <w:r>
                    <w:rPr>
                      <w:rFonts w:hint="eastAsia"/>
                      <w:color w:val="auto"/>
                      <w:sz w:val="18"/>
                      <w:szCs w:val="18"/>
                      <w:highlight w:val="none"/>
                      <w:lang w:val="en-US" w:eastAsia="zh-CN"/>
                    </w:rPr>
                    <w:t>海门经济技术开发区扬子江路2288号现有厂房</w:t>
                  </w:r>
                  <w:r>
                    <w:rPr>
                      <w:rFonts w:hint="default" w:ascii="Times New Roman" w:hAnsi="Times New Roman" w:cs="Times New Roman"/>
                      <w:color w:val="auto"/>
                      <w:kern w:val="0"/>
                      <w:sz w:val="18"/>
                      <w:szCs w:val="18"/>
                      <w:highlight w:val="none"/>
                      <w:lang w:val="en-US" w:eastAsia="zh-CN" w:bidi="ar"/>
                    </w:rPr>
                    <w:t>，</w:t>
                  </w:r>
                  <w:r>
                    <w:rPr>
                      <w:rFonts w:hint="default" w:ascii="Times New Roman" w:hAnsi="Times New Roman" w:eastAsia="宋体" w:cs="Times New Roman"/>
                      <w:b w:val="0"/>
                      <w:bCs w:val="0"/>
                      <w:color w:val="auto"/>
                      <w:sz w:val="18"/>
                      <w:szCs w:val="18"/>
                      <w:highlight w:val="none"/>
                    </w:rPr>
                    <w:t>本项目不在开发区限制及禁止类名单内，符合园区产业定位</w:t>
                  </w:r>
                  <w:r>
                    <w:rPr>
                      <w:rFonts w:hint="eastAsia" w:ascii="Times New Roman" w:hAnsi="Times New Roman" w:cs="Times New Roman"/>
                      <w:b w:val="0"/>
                      <w:bCs w:val="0"/>
                      <w:color w:val="auto"/>
                      <w:sz w:val="18"/>
                      <w:szCs w:val="18"/>
                      <w:highlight w:val="none"/>
                      <w:lang w:eastAsia="zh-CN"/>
                    </w:rPr>
                    <w:t>。</w:t>
                  </w:r>
                </w:p>
              </w:tc>
              <w:tc>
                <w:tcPr>
                  <w:tcW w:w="866" w:type="dxa"/>
                  <w:noWrap w:val="0"/>
                  <w:vAlign w:val="center"/>
                </w:tcPr>
                <w:p w14:paraId="7FE548F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14:paraId="7A9C0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dxa"/>
                  <w:vMerge w:val="continue"/>
                  <w:noWrap w:val="0"/>
                  <w:vAlign w:val="center"/>
                </w:tcPr>
                <w:p w14:paraId="18CE742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p>
              </w:tc>
              <w:tc>
                <w:tcPr>
                  <w:tcW w:w="663" w:type="dxa"/>
                  <w:noWrap w:val="0"/>
                  <w:vAlign w:val="center"/>
                </w:tcPr>
                <w:p w14:paraId="6C0274D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优先引入</w:t>
                  </w:r>
                </w:p>
              </w:tc>
              <w:tc>
                <w:tcPr>
                  <w:tcW w:w="4032" w:type="dxa"/>
                  <w:noWrap w:val="0"/>
                  <w:vAlign w:val="center"/>
                </w:tcPr>
                <w:p w14:paraId="686A3DD4">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1</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优先引入符合产业定位且属于相关产业政策文件中的鼓励类和重点发展行业中的产品、工艺和技术；</w:t>
                  </w:r>
                </w:p>
                <w:p w14:paraId="14521A5A">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2</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优先引入符合产业定位的国家战略需要和尖端科技事业相关的项目，高性能、技术含量高的关键性、基础性、资源优势性的项目；</w:t>
                  </w:r>
                </w:p>
                <w:p w14:paraId="0FDAAF88">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3</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鼓励依托龙头企业发展上下游关联度强、技术水平高、绿色安全环保的企业和项目，进一步补链、延链、强链。</w:t>
                  </w:r>
                </w:p>
              </w:tc>
              <w:tc>
                <w:tcPr>
                  <w:tcW w:w="1670" w:type="dxa"/>
                  <w:vMerge w:val="continue"/>
                  <w:noWrap w:val="0"/>
                  <w:vAlign w:val="center"/>
                </w:tcPr>
                <w:p w14:paraId="33CD59D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p>
              </w:tc>
              <w:tc>
                <w:tcPr>
                  <w:tcW w:w="866" w:type="dxa"/>
                  <w:noWrap w:val="0"/>
                  <w:vAlign w:val="center"/>
                </w:tcPr>
                <w:p w14:paraId="58054FF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14:paraId="17218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dxa"/>
                  <w:vMerge w:val="continue"/>
                  <w:noWrap w:val="0"/>
                  <w:vAlign w:val="center"/>
                </w:tcPr>
                <w:p w14:paraId="7BFE5A9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p>
              </w:tc>
              <w:tc>
                <w:tcPr>
                  <w:tcW w:w="663" w:type="dxa"/>
                  <w:noWrap w:val="0"/>
                  <w:vAlign w:val="center"/>
                </w:tcPr>
                <w:p w14:paraId="3FAF9A6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禁止引入</w:t>
                  </w:r>
                </w:p>
              </w:tc>
              <w:tc>
                <w:tcPr>
                  <w:tcW w:w="4032" w:type="dxa"/>
                  <w:noWrap w:val="0"/>
                  <w:vAlign w:val="center"/>
                </w:tcPr>
                <w:p w14:paraId="1B3048D0">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1</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禁止引入与国家、地方现行产业政策相冲突的项目；</w:t>
                  </w:r>
                </w:p>
                <w:p w14:paraId="45C9DD45">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2</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禁止新建纯电镀项目</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为本地产业配套的“绿岛”类项目除外</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、新引进含印染的项目，禁止现有印染企业新建、扩建印染项目；</w:t>
                  </w:r>
                </w:p>
                <w:p w14:paraId="1CB786FD">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3</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禁止引入金属或非金属表面处理外加工产业</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不包括新一代信息、海工装备、智能制造等产业生产工艺流程中必备的磷化、喷涂、电泳等工序</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w:t>
                  </w:r>
                </w:p>
                <w:p w14:paraId="1D3163E9">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4</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禁止引入使用高VOCs含量的溶剂型涂料、油墨、胶粘剂等项目；</w:t>
                  </w:r>
                </w:p>
                <w:p w14:paraId="4FCDA4D7">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5</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禁止引入生产工艺及设备落后、风险防范措施疏漏、抗风险能力差的项目。</w:t>
                  </w:r>
                </w:p>
              </w:tc>
              <w:tc>
                <w:tcPr>
                  <w:tcW w:w="1670" w:type="dxa"/>
                  <w:vMerge w:val="continue"/>
                  <w:noWrap w:val="0"/>
                  <w:vAlign w:val="center"/>
                </w:tcPr>
                <w:p w14:paraId="459907B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p>
              </w:tc>
              <w:tc>
                <w:tcPr>
                  <w:tcW w:w="866" w:type="dxa"/>
                  <w:noWrap w:val="0"/>
                  <w:vAlign w:val="center"/>
                </w:tcPr>
                <w:p w14:paraId="0E6ED54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14:paraId="517E0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dxa"/>
                  <w:vMerge w:val="continue"/>
                  <w:noWrap w:val="0"/>
                  <w:vAlign w:val="center"/>
                </w:tcPr>
                <w:p w14:paraId="5792B9A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p>
              </w:tc>
              <w:tc>
                <w:tcPr>
                  <w:tcW w:w="663" w:type="dxa"/>
                  <w:noWrap w:val="0"/>
                  <w:vAlign w:val="center"/>
                </w:tcPr>
                <w:p w14:paraId="2370110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限制引入</w:t>
                  </w:r>
                </w:p>
              </w:tc>
              <w:tc>
                <w:tcPr>
                  <w:tcW w:w="4032" w:type="dxa"/>
                  <w:noWrap w:val="0"/>
                  <w:vAlign w:val="center"/>
                </w:tcPr>
                <w:p w14:paraId="5DF1805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国家和地方产业政策限制类的建设项目和工艺。</w:t>
                  </w:r>
                </w:p>
              </w:tc>
              <w:tc>
                <w:tcPr>
                  <w:tcW w:w="1670" w:type="dxa"/>
                  <w:vMerge w:val="continue"/>
                  <w:noWrap w:val="0"/>
                  <w:vAlign w:val="center"/>
                </w:tcPr>
                <w:p w14:paraId="07D9343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p>
              </w:tc>
              <w:tc>
                <w:tcPr>
                  <w:tcW w:w="866" w:type="dxa"/>
                  <w:noWrap w:val="0"/>
                  <w:vAlign w:val="center"/>
                </w:tcPr>
                <w:p w14:paraId="50684DE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14:paraId="5A6C1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0" w:type="dxa"/>
                  <w:gridSpan w:val="2"/>
                  <w:noWrap w:val="0"/>
                  <w:vAlign w:val="center"/>
                </w:tcPr>
                <w:p w14:paraId="0E15DA1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空间布局约束</w:t>
                  </w:r>
                </w:p>
              </w:tc>
              <w:tc>
                <w:tcPr>
                  <w:tcW w:w="4032" w:type="dxa"/>
                  <w:noWrap w:val="0"/>
                  <w:vAlign w:val="center"/>
                </w:tcPr>
                <w:p w14:paraId="54508DC0">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1</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依据《基本农田保护条例》，对基本农田实行严格保护，确保基本农田面积不减、质量提升、布局稳定；</w:t>
                  </w:r>
                </w:p>
                <w:p w14:paraId="0EBB24EF">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2</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区内水域和防护绿地作为生态空间重点保护，原则上不得开发和占用；</w:t>
                  </w:r>
                </w:p>
                <w:p w14:paraId="01130CC3">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3</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各类开发建设活动应符合相关规划要求，落实生态红线管控要求；</w:t>
                  </w:r>
                </w:p>
                <w:p w14:paraId="17DF2F10">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4</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工业用地与人口集中居住区之间，应设置以道路</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河道</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+防护林为主要形式的空间防护带，防护带的宽度原则上不小于50米，非生产型企业空间防护距离可以适当缩小，但不应小于30米；居住用地周边10</w:t>
                  </w:r>
                  <w:r>
                    <w:rPr>
                      <w:rFonts w:hint="eastAsia"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米范围内工业用地禁止引入含喷涂、酸洗、危化品仓库的项目，排放VOCs、氨气等废气污染物的企业远离居住用地布置。</w:t>
                  </w:r>
                </w:p>
              </w:tc>
              <w:tc>
                <w:tcPr>
                  <w:tcW w:w="1670" w:type="dxa"/>
                  <w:noWrap w:val="0"/>
                  <w:vAlign w:val="center"/>
                </w:tcPr>
                <w:p w14:paraId="4F1E290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本项目不涉及生态管控区间内，位于工业用地，</w:t>
                  </w:r>
                  <w:r>
                    <w:rPr>
                      <w:rFonts w:hint="eastAsia" w:ascii="Times New Roman" w:hAnsi="Times New Roman" w:cs="Times New Roman"/>
                      <w:color w:val="auto"/>
                      <w:sz w:val="18"/>
                      <w:szCs w:val="18"/>
                      <w:highlight w:val="none"/>
                      <w:lang w:val="en-US" w:eastAsia="zh-CN"/>
                    </w:rPr>
                    <w:t>并且远离居住用地</w:t>
                  </w:r>
                  <w:r>
                    <w:rPr>
                      <w:rFonts w:hint="default" w:ascii="Times New Roman" w:hAnsi="Times New Roman" w:eastAsia="宋体" w:cs="Times New Roman"/>
                      <w:color w:val="auto"/>
                      <w:sz w:val="18"/>
                      <w:szCs w:val="18"/>
                      <w:highlight w:val="none"/>
                      <w:lang w:val="en-US" w:eastAsia="zh-CN"/>
                    </w:rPr>
                    <w:t>。</w:t>
                  </w:r>
                </w:p>
              </w:tc>
              <w:tc>
                <w:tcPr>
                  <w:tcW w:w="866" w:type="dxa"/>
                  <w:noWrap w:val="0"/>
                  <w:vAlign w:val="center"/>
                </w:tcPr>
                <w:p w14:paraId="6AA4B6B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14:paraId="222D1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dxa"/>
                  <w:vMerge w:val="restart"/>
                  <w:noWrap w:val="0"/>
                  <w:vAlign w:val="center"/>
                </w:tcPr>
                <w:p w14:paraId="428E14C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污染物排放管控</w:t>
                  </w:r>
                </w:p>
              </w:tc>
              <w:tc>
                <w:tcPr>
                  <w:tcW w:w="663" w:type="dxa"/>
                  <w:noWrap w:val="0"/>
                  <w:vAlign w:val="center"/>
                </w:tcPr>
                <w:p w14:paraId="5D44AF8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环境质量</w:t>
                  </w:r>
                </w:p>
              </w:tc>
              <w:tc>
                <w:tcPr>
                  <w:tcW w:w="4032" w:type="dxa"/>
                  <w:noWrap w:val="0"/>
                  <w:vAlign w:val="center"/>
                </w:tcPr>
                <w:p w14:paraId="363048B9">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1</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大气环境质量达到《环境空气质量标准》二级标准、《环境影响评价技术导则大气环境》</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HJ2.2-2018</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附录 D其他污染物空气质量浓度参考限值等；2025年，环境空气细颗粒物</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PM2.5</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、臭氧、二氧化氮浓度分别达到25、160、17微克/立方米；2035年，环境空气细颗粒物</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PM2.5</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达到23微克/立方米，环境质量持续改善；</w:t>
                  </w:r>
                </w:p>
                <w:p w14:paraId="10EDAE9E">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2</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大港河、新江海河、立新河、浒通河、海门河稳定达到III类水质标准；</w:t>
                  </w:r>
                </w:p>
                <w:p w14:paraId="4D4C0F80">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3</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土壤达到《土壤环境质量建设用地土壤污染风险管控标准</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试行</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GB36600-2018</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筛选值中的第一类、第二类用地标准；</w:t>
                  </w:r>
                </w:p>
                <w:p w14:paraId="4AC43BBB">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4</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工业区声环境满足《声环境质量标准》</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GB3096-2008</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中3类标准要求；居住区、商业区满足2类标准要求；交通干线两侧满足4a类标准要求。</w:t>
                  </w:r>
                </w:p>
              </w:tc>
              <w:tc>
                <w:tcPr>
                  <w:tcW w:w="1670" w:type="dxa"/>
                  <w:noWrap w:val="0"/>
                  <w:vAlign w:val="center"/>
                </w:tcPr>
                <w:p w14:paraId="0E4C4C7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本项目建成后，</w:t>
                  </w:r>
                  <w:r>
                    <w:rPr>
                      <w:rFonts w:hint="eastAsia" w:cs="Times New Roman"/>
                      <w:color w:val="auto"/>
                      <w:sz w:val="18"/>
                      <w:szCs w:val="18"/>
                      <w:highlight w:val="none"/>
                      <w:lang w:val="en-US" w:eastAsia="zh-CN"/>
                    </w:rPr>
                    <w:t>不产生</w:t>
                  </w:r>
                  <w:r>
                    <w:rPr>
                      <w:rFonts w:hint="default" w:ascii="Times New Roman" w:hAnsi="Times New Roman" w:cs="Times New Roman"/>
                      <w:color w:val="auto"/>
                      <w:sz w:val="18"/>
                      <w:szCs w:val="18"/>
                      <w:highlight w:val="none"/>
                    </w:rPr>
                    <w:t>废气废水</w:t>
                  </w:r>
                  <w:r>
                    <w:rPr>
                      <w:rFonts w:hint="eastAsia"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噪声可达标排放</w:t>
                  </w:r>
                  <w:r>
                    <w:rPr>
                      <w:rFonts w:hint="eastAsia" w:cs="Times New Roman"/>
                      <w:color w:val="auto"/>
                      <w:sz w:val="18"/>
                      <w:szCs w:val="18"/>
                      <w:highlight w:val="none"/>
                      <w:lang w:val="en-US" w:eastAsia="zh-CN"/>
                    </w:rPr>
                    <w:t>，固废均合理处置</w:t>
                  </w:r>
                  <w:r>
                    <w:rPr>
                      <w:rFonts w:hint="default" w:ascii="Times New Roman" w:hAnsi="Times New Roman" w:cs="Times New Roman"/>
                      <w:color w:val="auto"/>
                      <w:sz w:val="18"/>
                      <w:szCs w:val="18"/>
                      <w:highlight w:val="none"/>
                    </w:rPr>
                    <w:t>，对周边环境影响较小，不会降低所在地的环境功能质量，符合环境质量底线标准</w:t>
                  </w:r>
                  <w:r>
                    <w:rPr>
                      <w:rFonts w:hint="eastAsia" w:ascii="Times New Roman" w:hAnsi="Times New Roman" w:cs="Times New Roman"/>
                      <w:color w:val="auto"/>
                      <w:sz w:val="18"/>
                      <w:szCs w:val="18"/>
                      <w:highlight w:val="none"/>
                      <w:lang w:eastAsia="zh-CN"/>
                    </w:rPr>
                    <w:t>。</w:t>
                  </w:r>
                </w:p>
              </w:tc>
              <w:tc>
                <w:tcPr>
                  <w:tcW w:w="866" w:type="dxa"/>
                  <w:noWrap w:val="0"/>
                  <w:vAlign w:val="center"/>
                </w:tcPr>
                <w:p w14:paraId="10F43A1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14:paraId="29AB0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7" w:type="dxa"/>
                  <w:vMerge w:val="continue"/>
                  <w:noWrap w:val="0"/>
                  <w:vAlign w:val="center"/>
                </w:tcPr>
                <w:p w14:paraId="48174FA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sz w:val="18"/>
                      <w:szCs w:val="18"/>
                      <w:highlight w:val="none"/>
                      <w:lang w:val="en-US" w:eastAsia="zh-CN"/>
                    </w:rPr>
                  </w:pPr>
                </w:p>
              </w:tc>
              <w:tc>
                <w:tcPr>
                  <w:tcW w:w="663" w:type="dxa"/>
                  <w:noWrap w:val="0"/>
                  <w:vAlign w:val="center"/>
                </w:tcPr>
                <w:p w14:paraId="440D7DF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污染物排放总量</w:t>
                  </w:r>
                </w:p>
              </w:tc>
              <w:tc>
                <w:tcPr>
                  <w:tcW w:w="4032" w:type="dxa"/>
                  <w:noWrap w:val="0"/>
                  <w:vAlign w:val="center"/>
                </w:tcPr>
                <w:p w14:paraId="653B8174">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2"/>
                      <w:sz w:val="18"/>
                      <w:szCs w:val="18"/>
                      <w:highlight w:val="none"/>
                      <w:lang w:val="en-US" w:eastAsia="zh-CN" w:bidi="ar-SA"/>
                    </w:rPr>
                    <w:t>（1）</w:t>
                  </w:r>
                  <w:r>
                    <w:rPr>
                      <w:rFonts w:hint="default" w:ascii="Times New Roman" w:hAnsi="Times New Roman" w:cs="Times New Roman"/>
                      <w:color w:val="auto"/>
                      <w:sz w:val="18"/>
                      <w:szCs w:val="18"/>
                      <w:highlight w:val="none"/>
                    </w:rPr>
                    <w:t>废水污染物</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外排量</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：2025年排放量，化学需氧量小于592.46吨/年，氨氮小于46.44吨/年、总磷小于 5.92吨/年、总氮小于228.98 吨/年；2035年排放量，化学需氧量小于 859.80 吨/年，氨氮小于54.07 吨/年、总磷小于8.60吨/年、总氮小于356.05吨/年；</w:t>
                  </w:r>
                </w:p>
                <w:p w14:paraId="30DD4784">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2"/>
                      <w:sz w:val="18"/>
                      <w:szCs w:val="18"/>
                      <w:highlight w:val="none"/>
                      <w:lang w:val="en-US" w:eastAsia="zh-CN" w:bidi="ar-SA"/>
                    </w:rPr>
                    <w:t>（2）</w:t>
                  </w:r>
                  <w:r>
                    <w:rPr>
                      <w:rFonts w:hint="default" w:ascii="Times New Roman" w:hAnsi="Times New Roman" w:cs="Times New Roman"/>
                      <w:color w:val="auto"/>
                      <w:sz w:val="18"/>
                      <w:szCs w:val="18"/>
                      <w:highlight w:val="none"/>
                    </w:rPr>
                    <w:t>大气污染物：2025年排放量,二氧化硫小于524.14吨/年，氮氧化物小于446.93 吨/年，颗粒物小于 724.79 吨/年，VOCs小于113.61吨/年；2035年排放量，二氧化硫小于 535.07吨/年，氮氧化物小于454.81 吨/年，颗粒物小于750.19吨/年，VOCs小于128.33吨/年；</w:t>
                  </w:r>
                </w:p>
                <w:p w14:paraId="5026F50D">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2"/>
                      <w:sz w:val="18"/>
                      <w:szCs w:val="18"/>
                      <w:highlight w:val="none"/>
                      <w:lang w:val="en-US" w:eastAsia="zh-CN" w:bidi="ar-SA"/>
                    </w:rPr>
                    <w:t>（3）</w:t>
                  </w:r>
                  <w:r>
                    <w:rPr>
                      <w:rFonts w:hint="default" w:ascii="Times New Roman" w:hAnsi="Times New Roman" w:cs="Times New Roman"/>
                      <w:color w:val="auto"/>
                      <w:sz w:val="18"/>
                      <w:szCs w:val="18"/>
                      <w:highlight w:val="none"/>
                    </w:rPr>
                    <w:t>2025年一般工业固废8.16万吨/年，危险废物0.65万吨/年；2035 年一般工业固废9.11万吨/年，危险废物1.20万吨/年，全部综合利用或者委外合法安全处置。</w:t>
                  </w:r>
                </w:p>
              </w:tc>
              <w:tc>
                <w:tcPr>
                  <w:tcW w:w="1670" w:type="dxa"/>
                  <w:noWrap w:val="0"/>
                  <w:vAlign w:val="center"/>
                </w:tcPr>
                <w:p w14:paraId="736D8BFA">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本项目采取有效污染防治措施，噪声可达标排放</w:t>
                  </w:r>
                  <w:r>
                    <w:rPr>
                      <w:rFonts w:hint="eastAsia" w:cs="Times New Roman"/>
                      <w:color w:val="auto"/>
                      <w:sz w:val="18"/>
                      <w:szCs w:val="18"/>
                      <w:highlight w:val="none"/>
                      <w:lang w:val="en-US" w:eastAsia="zh-CN"/>
                    </w:rPr>
                    <w:t>，固废均合理处置</w:t>
                  </w:r>
                  <w:r>
                    <w:rPr>
                      <w:rFonts w:hint="eastAsia" w:ascii="Times New Roman" w:hAnsi="Times New Roman" w:eastAsia="宋体" w:cs="Times New Roman"/>
                      <w:color w:val="auto"/>
                      <w:sz w:val="18"/>
                      <w:szCs w:val="18"/>
                      <w:highlight w:val="none"/>
                      <w:lang w:val="en-US" w:eastAsia="zh-CN"/>
                    </w:rPr>
                    <w:t>。本项目无需申请总量。</w:t>
                  </w:r>
                </w:p>
              </w:tc>
              <w:tc>
                <w:tcPr>
                  <w:tcW w:w="866" w:type="dxa"/>
                  <w:noWrap w:val="0"/>
                  <w:vAlign w:val="center"/>
                </w:tcPr>
                <w:p w14:paraId="627223F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14:paraId="36DD8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0" w:type="dxa"/>
                  <w:gridSpan w:val="2"/>
                  <w:noWrap w:val="0"/>
                  <w:vAlign w:val="center"/>
                </w:tcPr>
                <w:p w14:paraId="45276264">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环境风险管控</w:t>
                  </w:r>
                </w:p>
              </w:tc>
              <w:tc>
                <w:tcPr>
                  <w:tcW w:w="4032" w:type="dxa"/>
                  <w:noWrap w:val="0"/>
                  <w:vAlign w:val="center"/>
                </w:tcPr>
                <w:p w14:paraId="50461DBF">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1</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建立区内环境风险物质和环境风险防控措施两个清单;及时完成环境应急预案更新、备案；定期开展环境应急演练，完善环境应急响应联动机制，提升应急实战水平；建立突发环境事件隐患排查长效机制，定期排查整治突发环境事件隐患，督促区内企业开展突发环境事件应急预案“一图两单两卡”管理，指导区内较大及以上重点环境风险企业按要求实施“三落实三必须”；应急物资库配备必要的污染物吸附、拦截、消减及现场快速检测设备等应急物资,提高环境应急救援能力；</w:t>
                  </w:r>
                </w:p>
                <w:p w14:paraId="68CA9400">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2</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根据新一代信息技术产业片区引进产业，建立突发水污染事件等环境应急防范体系，完善“企业-公共管网- 区内水体”水污染三级防控基础设施建设；建立有毒有害气体监控预警体系，完善重点监控区域预警和应急机制，涉及有毒有害气体的企业全部安装毒害气体监控预警装置并与当地生态环境主管部门或开发区管理平台联网，加强监控；</w:t>
                  </w:r>
                </w:p>
                <w:p w14:paraId="281CFC6E">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3</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按照相关管理要求申报、处置废弃危险化学品。强化对危险废物的收集、贮存和处置的监督管理，实现危险废物监管无盲区、无死角。</w:t>
                  </w:r>
                </w:p>
              </w:tc>
              <w:tc>
                <w:tcPr>
                  <w:tcW w:w="1670" w:type="dxa"/>
                  <w:noWrap w:val="0"/>
                  <w:vAlign w:val="center"/>
                </w:tcPr>
                <w:p w14:paraId="7DDD580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本项目建设后按要求进行应急预案</w:t>
                  </w:r>
                  <w:r>
                    <w:rPr>
                      <w:rFonts w:hint="eastAsia" w:cs="Times New Roman"/>
                      <w:color w:val="auto"/>
                      <w:sz w:val="18"/>
                      <w:szCs w:val="18"/>
                      <w:highlight w:val="none"/>
                      <w:lang w:val="en-US" w:eastAsia="zh-CN"/>
                    </w:rPr>
                    <w:t>修编</w:t>
                  </w:r>
                  <w:r>
                    <w:rPr>
                      <w:rFonts w:hint="default" w:ascii="Times New Roman" w:hAnsi="Times New Roman" w:eastAsia="宋体" w:cs="Times New Roman"/>
                      <w:color w:val="auto"/>
                      <w:sz w:val="18"/>
                      <w:szCs w:val="18"/>
                      <w:highlight w:val="none"/>
                      <w:lang w:val="en-US" w:eastAsia="zh-CN"/>
                    </w:rPr>
                    <w:t>，并按照相关要求例行监测。</w:t>
                  </w:r>
                </w:p>
              </w:tc>
              <w:tc>
                <w:tcPr>
                  <w:tcW w:w="866" w:type="dxa"/>
                  <w:noWrap w:val="0"/>
                  <w:vAlign w:val="center"/>
                </w:tcPr>
                <w:p w14:paraId="0B5C31D4">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14:paraId="2264D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0" w:type="dxa"/>
                  <w:gridSpan w:val="2"/>
                  <w:noWrap w:val="0"/>
                  <w:vAlign w:val="center"/>
                </w:tcPr>
                <w:p w14:paraId="6BC5AE5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资源开发利用要求</w:t>
                  </w:r>
                </w:p>
              </w:tc>
              <w:tc>
                <w:tcPr>
                  <w:tcW w:w="4032" w:type="dxa"/>
                  <w:noWrap w:val="0"/>
                  <w:vAlign w:val="center"/>
                </w:tcPr>
                <w:p w14:paraId="0478D0D9">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1</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单位工业增加值新鲜水耗不高于6.5吨/万元；</w:t>
                  </w:r>
                </w:p>
                <w:p w14:paraId="1EEAC08B">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2</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建设用地总量上限不高于50.99平方公里，工业用地及仓储用地总量不高于18.83平方公里；</w:t>
                  </w:r>
                </w:p>
                <w:p w14:paraId="7225D1EB">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3</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单位工业增加值综合能耗不高于0.4</w:t>
                  </w: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吨标煤/万元；</w:t>
                  </w:r>
                </w:p>
                <w:p w14:paraId="7DD1BE33">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0"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kern w:val="2"/>
                      <w:sz w:val="18"/>
                      <w:szCs w:val="18"/>
                      <w:highlight w:val="none"/>
                      <w:lang w:val="en-US" w:eastAsia="zh-CN" w:bidi="ar-SA"/>
                    </w:rPr>
                    <w:t>4</w:t>
                  </w:r>
                  <w:r>
                    <w:rPr>
                      <w:rFonts w:hint="eastAsia"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rPr>
                    <w:t>引进项目的生产工艺、设备，以及单位产品水耗、能耗、污染物排放和资源利用效率等应达到同行业国际先进水平；</w:t>
                  </w:r>
                </w:p>
                <w:p w14:paraId="5F1761D3">
                  <w:pPr>
                    <w:keepNext w:val="0"/>
                    <w:keepLines w:val="0"/>
                    <w:pageBreakBefore w:val="0"/>
                    <w:widowControl w:val="0"/>
                    <w:numPr>
                      <w:ilvl w:val="0"/>
                      <w:numId w:val="0"/>
                    </w:numPr>
                    <w:kinsoku/>
                    <w:wordWrap/>
                    <w:overflowPunct/>
                    <w:topLinePunct w:val="0"/>
                    <w:autoSpaceDE w:val="0"/>
                    <w:autoSpaceDN/>
                    <w:bidi w:val="0"/>
                    <w:adjustRightInd w:val="0"/>
                    <w:snapToGrid w:val="0"/>
                    <w:spacing w:line="240" w:lineRule="auto"/>
                    <w:ind w:leftChars="0" w:firstLine="0" w:firstLineChars="0"/>
                    <w:jc w:val="both"/>
                    <w:textAlignment w:val="baseline"/>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5</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企业应加强水的循环利用，提高水的重复利用率，推进节水型企业、节水型园区建设，提高区域中水回用率，2035年开发区工业污水处理厂中水回用率不低于30%。</w:t>
                  </w:r>
                </w:p>
              </w:tc>
              <w:tc>
                <w:tcPr>
                  <w:tcW w:w="1670" w:type="dxa"/>
                  <w:noWrap w:val="0"/>
                  <w:vAlign w:val="center"/>
                </w:tcPr>
                <w:p w14:paraId="54D9B8FA">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w:t>
                  </w:r>
                  <w:r>
                    <w:rPr>
                      <w:rFonts w:hint="eastAsia" w:ascii="Times New Roman" w:hAnsi="Times New Roman" w:cs="Times New Roman"/>
                      <w:color w:val="auto"/>
                      <w:sz w:val="18"/>
                      <w:szCs w:val="18"/>
                      <w:highlight w:val="none"/>
                      <w:lang w:val="en-US" w:eastAsia="zh-CN"/>
                    </w:rPr>
                    <w:t>不新增废水，利用现有厂房及用地，</w:t>
                  </w:r>
                  <w:r>
                    <w:rPr>
                      <w:rFonts w:hint="eastAsia" w:cs="Times New Roman"/>
                      <w:color w:val="auto"/>
                      <w:sz w:val="18"/>
                      <w:szCs w:val="18"/>
                      <w:highlight w:val="none"/>
                      <w:lang w:val="en-US" w:eastAsia="zh-CN"/>
                    </w:rPr>
                    <w:t>能耗较低产品附加值较高，</w:t>
                  </w:r>
                  <w:r>
                    <w:rPr>
                      <w:rFonts w:hint="default" w:ascii="Times New Roman" w:hAnsi="Times New Roman" w:cs="Times New Roman"/>
                      <w:color w:val="auto"/>
                      <w:sz w:val="18"/>
                      <w:szCs w:val="18"/>
                      <w:highlight w:val="none"/>
                    </w:rPr>
                    <w:t>单位工业增加值综合能耗</w:t>
                  </w:r>
                  <w:r>
                    <w:rPr>
                      <w:rFonts w:hint="eastAsia" w:cs="Times New Roman"/>
                      <w:color w:val="auto"/>
                      <w:sz w:val="18"/>
                      <w:szCs w:val="18"/>
                      <w:highlight w:val="none"/>
                      <w:lang w:val="en-US" w:eastAsia="zh-CN"/>
                    </w:rPr>
                    <w:t>满足要求</w:t>
                  </w:r>
                  <w:r>
                    <w:rPr>
                      <w:rFonts w:hint="default" w:ascii="Times New Roman" w:hAnsi="Times New Roman" w:cs="Times New Roman"/>
                      <w:color w:val="auto"/>
                      <w:sz w:val="18"/>
                      <w:szCs w:val="18"/>
                      <w:highlight w:val="none"/>
                    </w:rPr>
                    <w:t>，本项目</w:t>
                  </w:r>
                  <w:r>
                    <w:rPr>
                      <w:rFonts w:hint="eastAsia" w:cs="Times New Roman"/>
                      <w:color w:val="auto"/>
                      <w:sz w:val="18"/>
                      <w:szCs w:val="18"/>
                      <w:highlight w:val="none"/>
                      <w:lang w:val="en-US" w:eastAsia="zh-CN"/>
                    </w:rPr>
                    <w:t>生产无需用水排水以及废气排放，</w:t>
                  </w:r>
                  <w:r>
                    <w:rPr>
                      <w:rFonts w:hint="default" w:ascii="Times New Roman" w:hAnsi="Times New Roman" w:cs="Times New Roman"/>
                      <w:color w:val="auto"/>
                      <w:sz w:val="18"/>
                      <w:szCs w:val="18"/>
                      <w:highlight w:val="none"/>
                    </w:rPr>
                    <w:t>拟</w:t>
                  </w:r>
                  <w:r>
                    <w:rPr>
                      <w:rFonts w:hint="eastAsia" w:ascii="Times New Roman" w:hAnsi="Times New Roman" w:cs="Times New Roman"/>
                      <w:color w:val="auto"/>
                      <w:sz w:val="18"/>
                      <w:szCs w:val="18"/>
                      <w:highlight w:val="none"/>
                      <w:lang w:val="en-US" w:eastAsia="zh-CN"/>
                    </w:rPr>
                    <w:t>定</w:t>
                  </w:r>
                  <w:r>
                    <w:rPr>
                      <w:rFonts w:hint="default" w:ascii="Times New Roman" w:hAnsi="Times New Roman" w:cs="Times New Roman"/>
                      <w:color w:val="auto"/>
                      <w:sz w:val="18"/>
                      <w:szCs w:val="18"/>
                      <w:highlight w:val="none"/>
                    </w:rPr>
                    <w:t>生产工艺、设备，以及单位产品能耗和资源利用效率等均达到同行业国际先进水平，因此符合园区规划要求。</w:t>
                  </w:r>
                </w:p>
              </w:tc>
              <w:tc>
                <w:tcPr>
                  <w:tcW w:w="866" w:type="dxa"/>
                  <w:noWrap w:val="0"/>
                  <w:vAlign w:val="center"/>
                </w:tcPr>
                <w:p w14:paraId="673B85F4">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bl>
          <w:p w14:paraId="126D95C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本项目与</w:t>
            </w:r>
            <w:r>
              <w:rPr>
                <w:rFonts w:eastAsia="新宋体"/>
                <w:color w:val="auto"/>
                <w:sz w:val="21"/>
                <w:szCs w:val="21"/>
                <w:highlight w:val="none"/>
              </w:rPr>
              <w:t>《</w:t>
            </w:r>
            <w:r>
              <w:rPr>
                <w:rFonts w:hint="eastAsia" w:eastAsia="新宋体"/>
                <w:color w:val="auto"/>
                <w:sz w:val="21"/>
                <w:szCs w:val="21"/>
                <w:highlight w:val="none"/>
              </w:rPr>
              <w:t>省生态环境厅关于海门经济技术开发区建设规划（2022-2035年）环境影响报告书的审查意见</w:t>
            </w:r>
            <w:r>
              <w:rPr>
                <w:rFonts w:eastAsia="新宋体"/>
                <w:color w:val="auto"/>
                <w:sz w:val="21"/>
                <w:szCs w:val="21"/>
                <w:highlight w:val="none"/>
              </w:rPr>
              <w:t>》（</w:t>
            </w:r>
            <w:r>
              <w:rPr>
                <w:rFonts w:hint="eastAsia" w:eastAsia="新宋体"/>
                <w:color w:val="auto"/>
                <w:sz w:val="21"/>
                <w:szCs w:val="21"/>
                <w:highlight w:val="none"/>
              </w:rPr>
              <w:t>苏</w:t>
            </w:r>
            <w:r>
              <w:rPr>
                <w:color w:val="auto"/>
                <w:sz w:val="21"/>
                <w:szCs w:val="21"/>
                <w:highlight w:val="none"/>
              </w:rPr>
              <w:t>环审</w:t>
            </w:r>
            <w:r>
              <w:rPr>
                <w:rFonts w:hint="default" w:ascii="Times New Roman" w:hAnsi="Times New Roman" w:eastAsia="宋体" w:cs="Times New Roman"/>
                <w:color w:val="auto"/>
                <w:sz w:val="18"/>
                <w:szCs w:val="18"/>
                <w:lang w:eastAsia="zh-CN"/>
              </w:rPr>
              <w:t>〔</w:t>
            </w:r>
            <w:r>
              <w:rPr>
                <w:color w:val="auto"/>
                <w:sz w:val="21"/>
                <w:szCs w:val="21"/>
                <w:highlight w:val="none"/>
              </w:rPr>
              <w:t>20</w:t>
            </w:r>
            <w:r>
              <w:rPr>
                <w:rFonts w:hint="eastAsia"/>
                <w:color w:val="auto"/>
                <w:sz w:val="21"/>
                <w:szCs w:val="21"/>
                <w:highlight w:val="none"/>
              </w:rPr>
              <w:t>24</w:t>
            </w:r>
            <w:r>
              <w:rPr>
                <w:rFonts w:hint="default" w:ascii="Times New Roman" w:hAnsi="Times New Roman" w:eastAsia="宋体" w:cs="Times New Roman"/>
                <w:color w:val="auto"/>
                <w:sz w:val="18"/>
                <w:szCs w:val="18"/>
                <w:lang w:eastAsia="zh-CN"/>
              </w:rPr>
              <w:t>〕</w:t>
            </w:r>
            <w:r>
              <w:rPr>
                <w:rFonts w:hint="eastAsia"/>
                <w:color w:val="auto"/>
                <w:sz w:val="21"/>
                <w:szCs w:val="21"/>
                <w:highlight w:val="none"/>
              </w:rPr>
              <w:t>7</w:t>
            </w:r>
            <w:r>
              <w:rPr>
                <w:color w:val="auto"/>
                <w:sz w:val="21"/>
                <w:szCs w:val="21"/>
                <w:highlight w:val="none"/>
              </w:rPr>
              <w:t>号）</w:t>
            </w:r>
            <w:r>
              <w:rPr>
                <w:rFonts w:hint="eastAsia"/>
                <w:color w:val="auto"/>
                <w:kern w:val="11"/>
                <w:sz w:val="21"/>
                <w:szCs w:val="21"/>
                <w:highlight w:val="none"/>
              </w:rPr>
              <w:t>相符性分析见表1-</w:t>
            </w:r>
            <w:r>
              <w:rPr>
                <w:rFonts w:hint="eastAsia"/>
                <w:color w:val="auto"/>
                <w:kern w:val="11"/>
                <w:sz w:val="21"/>
                <w:szCs w:val="21"/>
                <w:highlight w:val="none"/>
                <w:lang w:val="en-US" w:eastAsia="zh-CN"/>
              </w:rPr>
              <w:t>2</w:t>
            </w:r>
            <w:r>
              <w:rPr>
                <w:rFonts w:hint="eastAsia"/>
                <w:color w:val="auto"/>
                <w:kern w:val="11"/>
                <w:sz w:val="21"/>
                <w:szCs w:val="21"/>
                <w:highlight w:val="none"/>
              </w:rPr>
              <w:t>。</w:t>
            </w:r>
          </w:p>
          <w:p w14:paraId="5AA8C8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b/>
                <w:bCs/>
                <w:color w:val="auto"/>
                <w:sz w:val="21"/>
                <w:szCs w:val="21"/>
                <w:highlight w:val="none"/>
              </w:rPr>
              <w:t>表1-</w:t>
            </w:r>
            <w:r>
              <w:rPr>
                <w:rFonts w:hint="eastAsia"/>
                <w:b/>
                <w:bCs/>
                <w:color w:val="auto"/>
                <w:sz w:val="21"/>
                <w:szCs w:val="21"/>
                <w:highlight w:val="none"/>
                <w:lang w:val="en-US" w:eastAsia="zh-CN"/>
              </w:rPr>
              <w:t>2</w:t>
            </w:r>
            <w:r>
              <w:rPr>
                <w:b/>
                <w:bCs/>
                <w:color w:val="auto"/>
                <w:sz w:val="21"/>
                <w:szCs w:val="21"/>
                <w:highlight w:val="none"/>
              </w:rPr>
              <w:t xml:space="preserve">  与</w:t>
            </w:r>
            <w:r>
              <w:rPr>
                <w:rFonts w:hint="eastAsia"/>
                <w:b/>
                <w:bCs/>
                <w:color w:val="auto"/>
                <w:kern w:val="11"/>
                <w:sz w:val="21"/>
                <w:szCs w:val="21"/>
                <w:highlight w:val="none"/>
              </w:rPr>
              <w:t>苏</w:t>
            </w:r>
            <w:r>
              <w:rPr>
                <w:b/>
                <w:bCs/>
                <w:color w:val="auto"/>
                <w:kern w:val="11"/>
                <w:sz w:val="21"/>
                <w:szCs w:val="21"/>
                <w:highlight w:val="none"/>
              </w:rPr>
              <w:t>环审</w:t>
            </w:r>
            <w:r>
              <w:rPr>
                <w:rFonts w:hint="default" w:ascii="Times New Roman" w:hAnsi="Times New Roman" w:eastAsia="宋体" w:cs="Times New Roman"/>
                <w:b/>
                <w:bCs/>
                <w:color w:val="auto"/>
                <w:sz w:val="18"/>
                <w:szCs w:val="18"/>
                <w:lang w:eastAsia="zh-CN"/>
              </w:rPr>
              <w:t>〔</w:t>
            </w:r>
            <w:r>
              <w:rPr>
                <w:b/>
                <w:bCs/>
                <w:color w:val="auto"/>
                <w:kern w:val="11"/>
                <w:sz w:val="21"/>
                <w:szCs w:val="21"/>
                <w:highlight w:val="none"/>
              </w:rPr>
              <w:t>20</w:t>
            </w:r>
            <w:r>
              <w:rPr>
                <w:rFonts w:hint="eastAsia"/>
                <w:b/>
                <w:bCs/>
                <w:color w:val="auto"/>
                <w:kern w:val="11"/>
                <w:sz w:val="21"/>
                <w:szCs w:val="21"/>
                <w:highlight w:val="none"/>
              </w:rPr>
              <w:t>24</w:t>
            </w:r>
            <w:r>
              <w:rPr>
                <w:rFonts w:hint="default" w:ascii="Times New Roman" w:hAnsi="Times New Roman" w:eastAsia="宋体" w:cs="Times New Roman"/>
                <w:b/>
                <w:bCs/>
                <w:color w:val="auto"/>
                <w:sz w:val="18"/>
                <w:szCs w:val="18"/>
                <w:lang w:eastAsia="zh-CN"/>
              </w:rPr>
              <w:t>〕</w:t>
            </w:r>
            <w:r>
              <w:rPr>
                <w:rFonts w:hint="eastAsia"/>
                <w:b/>
                <w:bCs/>
                <w:color w:val="auto"/>
                <w:kern w:val="11"/>
                <w:sz w:val="21"/>
                <w:szCs w:val="21"/>
                <w:highlight w:val="none"/>
              </w:rPr>
              <w:t>7</w:t>
            </w:r>
            <w:r>
              <w:rPr>
                <w:b/>
                <w:bCs/>
                <w:color w:val="auto"/>
                <w:kern w:val="11"/>
                <w:sz w:val="21"/>
                <w:szCs w:val="21"/>
                <w:highlight w:val="none"/>
              </w:rPr>
              <w:t>号</w:t>
            </w:r>
            <w:r>
              <w:rPr>
                <w:rFonts w:hint="eastAsia"/>
                <w:b/>
                <w:bCs/>
                <w:color w:val="auto"/>
                <w:kern w:val="11"/>
                <w:sz w:val="21"/>
                <w:szCs w:val="21"/>
                <w:highlight w:val="none"/>
                <w:lang w:val="en-US" w:eastAsia="zh-CN"/>
              </w:rPr>
              <w:t>文</w:t>
            </w:r>
            <w:r>
              <w:rPr>
                <w:b/>
                <w:bCs/>
                <w:color w:val="auto"/>
                <w:kern w:val="11"/>
                <w:sz w:val="21"/>
                <w:szCs w:val="21"/>
                <w:highlight w:val="none"/>
              </w:rPr>
              <w:t>相符性分析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4162"/>
              <w:gridCol w:w="2400"/>
              <w:gridCol w:w="646"/>
            </w:tblGrid>
            <w:tr w14:paraId="0C524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8" w:type="pct"/>
                  <w:tcBorders>
                    <w:tl2br w:val="nil"/>
                    <w:tr2bl w:val="nil"/>
                  </w:tcBorders>
                  <w:shd w:val="clear" w:color="auto" w:fill="D7D7D7" w:themeFill="background1" w:themeFillShade="D8"/>
                  <w:noWrap w:val="0"/>
                  <w:vAlign w:val="center"/>
                </w:tcPr>
                <w:p w14:paraId="77357C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highlight w:val="none"/>
                    </w:rPr>
                  </w:pPr>
                  <w:r>
                    <w:rPr>
                      <w:b/>
                      <w:bCs/>
                      <w:color w:val="auto"/>
                      <w:sz w:val="18"/>
                      <w:szCs w:val="18"/>
                      <w:highlight w:val="none"/>
                    </w:rPr>
                    <w:t>序号</w:t>
                  </w:r>
                </w:p>
              </w:tc>
              <w:tc>
                <w:tcPr>
                  <w:tcW w:w="2714" w:type="pct"/>
                  <w:tcBorders>
                    <w:tl2br w:val="nil"/>
                    <w:tr2bl w:val="nil"/>
                  </w:tcBorders>
                  <w:shd w:val="clear" w:color="auto" w:fill="D7D7D7" w:themeFill="background1" w:themeFillShade="D8"/>
                  <w:noWrap w:val="0"/>
                  <w:vAlign w:val="center"/>
                </w:tcPr>
                <w:p w14:paraId="62ADD7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highlight w:val="none"/>
                    </w:rPr>
                  </w:pPr>
                  <w:r>
                    <w:rPr>
                      <w:rFonts w:hint="eastAsia"/>
                      <w:b/>
                      <w:bCs/>
                      <w:color w:val="auto"/>
                      <w:kern w:val="11"/>
                      <w:sz w:val="18"/>
                      <w:szCs w:val="18"/>
                      <w:highlight w:val="none"/>
                    </w:rPr>
                    <w:t>规划环评批复具体内容</w:t>
                  </w:r>
                </w:p>
              </w:tc>
              <w:tc>
                <w:tcPr>
                  <w:tcW w:w="1565" w:type="pct"/>
                  <w:tcBorders>
                    <w:tl2br w:val="nil"/>
                    <w:tr2bl w:val="nil"/>
                  </w:tcBorders>
                  <w:shd w:val="clear" w:color="auto" w:fill="D7D7D7" w:themeFill="background1" w:themeFillShade="D8"/>
                  <w:noWrap w:val="0"/>
                  <w:vAlign w:val="center"/>
                </w:tcPr>
                <w:p w14:paraId="403794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highlight w:val="none"/>
                    </w:rPr>
                  </w:pPr>
                  <w:r>
                    <w:rPr>
                      <w:rFonts w:hint="eastAsia"/>
                      <w:b/>
                      <w:bCs/>
                      <w:color w:val="auto"/>
                      <w:sz w:val="18"/>
                      <w:szCs w:val="18"/>
                      <w:highlight w:val="none"/>
                    </w:rPr>
                    <w:t>本项目情况</w:t>
                  </w:r>
                </w:p>
              </w:tc>
              <w:tc>
                <w:tcPr>
                  <w:tcW w:w="421" w:type="pct"/>
                  <w:tcBorders>
                    <w:tl2br w:val="nil"/>
                    <w:tr2bl w:val="nil"/>
                  </w:tcBorders>
                  <w:shd w:val="clear" w:color="auto" w:fill="D7D7D7" w:themeFill="background1" w:themeFillShade="D8"/>
                  <w:noWrap w:val="0"/>
                  <w:vAlign w:val="center"/>
                </w:tcPr>
                <w:p w14:paraId="012CC2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highlight w:val="none"/>
                    </w:rPr>
                  </w:pPr>
                  <w:r>
                    <w:rPr>
                      <w:b/>
                      <w:bCs/>
                      <w:color w:val="auto"/>
                      <w:sz w:val="18"/>
                      <w:szCs w:val="18"/>
                      <w:highlight w:val="none"/>
                    </w:rPr>
                    <w:t>相符性</w:t>
                  </w:r>
                </w:p>
              </w:tc>
            </w:tr>
            <w:tr w14:paraId="4A358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8" w:type="pct"/>
                  <w:tcBorders>
                    <w:tl2br w:val="nil"/>
                    <w:tr2bl w:val="nil"/>
                  </w:tcBorders>
                  <w:noWrap w:val="0"/>
                  <w:vAlign w:val="center"/>
                </w:tcPr>
                <w:p w14:paraId="7BE148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1</w:t>
                  </w:r>
                </w:p>
              </w:tc>
              <w:tc>
                <w:tcPr>
                  <w:tcW w:w="2714" w:type="pct"/>
                  <w:tcBorders>
                    <w:tl2br w:val="nil"/>
                    <w:tr2bl w:val="nil"/>
                  </w:tcBorders>
                  <w:noWrap w:val="0"/>
                  <w:vAlign w:val="center"/>
                </w:tcPr>
                <w:p w14:paraId="0CCF90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rFonts w:hint="eastAsia"/>
                      <w:color w:val="auto"/>
                      <w:sz w:val="18"/>
                      <w:szCs w:val="18"/>
                      <w:highlight w:val="none"/>
                      <w:lang w:eastAsia="zh-CN"/>
                    </w:rPr>
                    <w:t>（</w:t>
                  </w:r>
                  <w:r>
                    <w:rPr>
                      <w:color w:val="auto"/>
                      <w:sz w:val="18"/>
                      <w:szCs w:val="18"/>
                      <w:highlight w:val="none"/>
                    </w:rPr>
                    <w:t>一</w:t>
                  </w:r>
                  <w:r>
                    <w:rPr>
                      <w:rFonts w:hint="eastAsia"/>
                      <w:color w:val="auto"/>
                      <w:sz w:val="18"/>
                      <w:szCs w:val="18"/>
                      <w:highlight w:val="none"/>
                      <w:lang w:eastAsia="zh-CN"/>
                    </w:rPr>
                    <w:t>）</w:t>
                  </w:r>
                  <w:r>
                    <w:rPr>
                      <w:color w:val="auto"/>
                      <w:sz w:val="18"/>
                      <w:szCs w:val="18"/>
                      <w:highlight w:val="none"/>
                    </w:rPr>
                    <w:t>《规划》应深入贯彻落实习近平生态文明思想，完整、准确、全面贯彻新发展理念，坚持生态优先、节约集约、绿色低碳发展，以生态保护和环境质量持续改善为目标，做好与国土空间总体规划和生态环境分区管控体系的协调衔接，进一步优化《规划》布局、产业结构和发展规模，降低区域环境风险，协同推进生态环境高水平保护与经济高质量发展。</w:t>
                  </w:r>
                </w:p>
              </w:tc>
              <w:tc>
                <w:tcPr>
                  <w:tcW w:w="1565" w:type="pct"/>
                  <w:tcBorders>
                    <w:tl2br w:val="nil"/>
                    <w:tr2bl w:val="nil"/>
                  </w:tcBorders>
                  <w:noWrap w:val="0"/>
                  <w:vAlign w:val="center"/>
                </w:tcPr>
                <w:p w14:paraId="072084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rFonts w:hint="eastAsia"/>
                      <w:color w:val="auto"/>
                      <w:kern w:val="11"/>
                      <w:sz w:val="18"/>
                      <w:szCs w:val="18"/>
                      <w:highlight w:val="none"/>
                    </w:rPr>
                    <w:t>本项目坚持生态优先、节约集约、绿色低碳发展理念，降低项目环境风险。</w:t>
                  </w:r>
                </w:p>
              </w:tc>
              <w:tc>
                <w:tcPr>
                  <w:tcW w:w="421" w:type="pct"/>
                  <w:tcBorders>
                    <w:tl2br w:val="nil"/>
                    <w:tr2bl w:val="nil"/>
                  </w:tcBorders>
                  <w:noWrap w:val="0"/>
                  <w:vAlign w:val="center"/>
                </w:tcPr>
                <w:p w14:paraId="5C332B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相符</w:t>
                  </w:r>
                </w:p>
              </w:tc>
            </w:tr>
            <w:tr w14:paraId="57D1B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8" w:type="pct"/>
                  <w:tcBorders>
                    <w:tl2br w:val="nil"/>
                    <w:tr2bl w:val="nil"/>
                  </w:tcBorders>
                  <w:noWrap w:val="0"/>
                  <w:vAlign w:val="center"/>
                </w:tcPr>
                <w:p w14:paraId="621738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2</w:t>
                  </w:r>
                </w:p>
              </w:tc>
              <w:tc>
                <w:tcPr>
                  <w:tcW w:w="2714" w:type="pct"/>
                  <w:tcBorders>
                    <w:tl2br w:val="nil"/>
                    <w:tr2bl w:val="nil"/>
                  </w:tcBorders>
                  <w:noWrap w:val="0"/>
                  <w:vAlign w:val="center"/>
                </w:tcPr>
                <w:p w14:paraId="6A2A35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rFonts w:hint="eastAsia"/>
                      <w:color w:val="auto"/>
                      <w:kern w:val="0"/>
                      <w:sz w:val="18"/>
                      <w:szCs w:val="18"/>
                      <w:highlight w:val="none"/>
                      <w:lang w:eastAsia="zh-CN" w:bidi="ar"/>
                    </w:rPr>
                    <w:t>（</w:t>
                  </w:r>
                  <w:r>
                    <w:rPr>
                      <w:color w:val="auto"/>
                      <w:kern w:val="0"/>
                      <w:sz w:val="18"/>
                      <w:szCs w:val="18"/>
                      <w:highlight w:val="none"/>
                      <w:lang w:bidi="ar"/>
                    </w:rPr>
                    <w:t>二</w:t>
                  </w:r>
                  <w:r>
                    <w:rPr>
                      <w:rFonts w:hint="eastAsia"/>
                      <w:color w:val="auto"/>
                      <w:kern w:val="0"/>
                      <w:sz w:val="18"/>
                      <w:szCs w:val="18"/>
                      <w:highlight w:val="none"/>
                      <w:lang w:eastAsia="zh-CN" w:bidi="ar"/>
                    </w:rPr>
                    <w:t>）</w:t>
                  </w:r>
                  <w:r>
                    <w:rPr>
                      <w:color w:val="auto"/>
                      <w:kern w:val="0"/>
                      <w:sz w:val="18"/>
                      <w:szCs w:val="18"/>
                      <w:highlight w:val="none"/>
                      <w:lang w:bidi="ar"/>
                    </w:rPr>
                    <w:t>严格空间管控，优化空间布局。严格落实生态空间管控要求，海门河清水通道维护区、海门区沿江堤防生态公益林和謇公湖重要湿地等 3 处生态空间管控区原则上不得开展有损主导生态功能的开发建设活动，不得随意占用和调整。开发区内绿地及水域在规划期内原则上不得开发利用。加快推进老城片区工居混杂用地综合整治，南通市先锋印刷有限公司、南通东莲纺织品有限公司、乾钟鞋业</w:t>
                  </w:r>
                  <w:r>
                    <w:rPr>
                      <w:rFonts w:hint="eastAsia"/>
                      <w:color w:val="auto"/>
                      <w:kern w:val="0"/>
                      <w:sz w:val="18"/>
                      <w:szCs w:val="18"/>
                      <w:highlight w:val="none"/>
                      <w:lang w:eastAsia="zh-CN" w:bidi="ar"/>
                    </w:rPr>
                    <w:t>（</w:t>
                  </w:r>
                  <w:r>
                    <w:rPr>
                      <w:color w:val="auto"/>
                      <w:kern w:val="0"/>
                      <w:sz w:val="18"/>
                      <w:szCs w:val="18"/>
                      <w:highlight w:val="none"/>
                      <w:lang w:bidi="ar"/>
                    </w:rPr>
                    <w:t>海门</w:t>
                  </w:r>
                  <w:r>
                    <w:rPr>
                      <w:rFonts w:hint="eastAsia"/>
                      <w:color w:val="auto"/>
                      <w:kern w:val="0"/>
                      <w:sz w:val="18"/>
                      <w:szCs w:val="18"/>
                      <w:highlight w:val="none"/>
                      <w:lang w:eastAsia="zh-CN" w:bidi="ar"/>
                    </w:rPr>
                    <w:t>）</w:t>
                  </w:r>
                  <w:r>
                    <w:rPr>
                      <w:color w:val="auto"/>
                      <w:kern w:val="0"/>
                      <w:sz w:val="18"/>
                      <w:szCs w:val="18"/>
                      <w:highlight w:val="none"/>
                      <w:lang w:bidi="ar"/>
                    </w:rPr>
                    <w:t>有限公司、海门市星苑绣衣有限责任公司、南通铭家纺织品有限公司等 5家企业于 2025 年前退出。强化工业企业退出和产业升级过程中的污染防治、生态修复。严格落实企业卫生防护距离要求，企业卫生防护距离内不得规划布局敏感目标。加强滨江片区浒通河两侧居住用地与工业用地之间100米绿化防护带建设，排放 VOCs、氨气等废气污染物的企业远离居住用地布置，确保开发区产业布局与生态环境保护、人居环境安全相协调。</w:t>
                  </w:r>
                </w:p>
              </w:tc>
              <w:tc>
                <w:tcPr>
                  <w:tcW w:w="1565" w:type="pct"/>
                  <w:tcBorders>
                    <w:tl2br w:val="nil"/>
                    <w:tr2bl w:val="nil"/>
                  </w:tcBorders>
                  <w:noWrap w:val="0"/>
                  <w:vAlign w:val="center"/>
                </w:tcPr>
                <w:p w14:paraId="3E157C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rFonts w:hint="eastAsia"/>
                      <w:color w:val="auto"/>
                      <w:kern w:val="0"/>
                      <w:sz w:val="18"/>
                      <w:szCs w:val="18"/>
                      <w:highlight w:val="none"/>
                      <w:lang w:bidi="ar"/>
                    </w:rPr>
                    <w:t>本项目不占用生态空间管控区域</w:t>
                  </w:r>
                  <w:r>
                    <w:rPr>
                      <w:rFonts w:hint="eastAsia"/>
                      <w:color w:val="auto"/>
                      <w:kern w:val="0"/>
                      <w:sz w:val="18"/>
                      <w:szCs w:val="18"/>
                      <w:highlight w:val="none"/>
                      <w:lang w:eastAsia="zh-CN" w:bidi="ar"/>
                    </w:rPr>
                    <w:t>，</w:t>
                  </w:r>
                  <w:r>
                    <w:rPr>
                      <w:rFonts w:hint="eastAsia"/>
                      <w:color w:val="auto"/>
                      <w:kern w:val="0"/>
                      <w:sz w:val="18"/>
                      <w:szCs w:val="18"/>
                      <w:highlight w:val="none"/>
                      <w:lang w:val="en-US" w:eastAsia="zh-CN" w:bidi="ar"/>
                    </w:rPr>
                    <w:t>不排放</w:t>
                  </w:r>
                  <w:r>
                    <w:rPr>
                      <w:color w:val="auto"/>
                      <w:kern w:val="0"/>
                      <w:sz w:val="18"/>
                      <w:szCs w:val="18"/>
                      <w:highlight w:val="none"/>
                      <w:lang w:bidi="ar"/>
                    </w:rPr>
                    <w:t>VOCs、氨气等废气污染物</w:t>
                  </w:r>
                  <w:r>
                    <w:rPr>
                      <w:rFonts w:hint="eastAsia"/>
                      <w:color w:val="auto"/>
                      <w:kern w:val="0"/>
                      <w:sz w:val="18"/>
                      <w:szCs w:val="18"/>
                      <w:highlight w:val="none"/>
                      <w:lang w:eastAsia="zh-CN" w:bidi="ar"/>
                    </w:rPr>
                    <w:t>，</w:t>
                  </w:r>
                  <w:r>
                    <w:rPr>
                      <w:rFonts w:hint="eastAsia"/>
                      <w:color w:val="auto"/>
                      <w:kern w:val="0"/>
                      <w:sz w:val="18"/>
                      <w:szCs w:val="18"/>
                      <w:highlight w:val="none"/>
                      <w:lang w:bidi="ar"/>
                    </w:rPr>
                    <w:t>项目与生态环境保护、人居环境安全相协调。</w:t>
                  </w:r>
                </w:p>
              </w:tc>
              <w:tc>
                <w:tcPr>
                  <w:tcW w:w="421" w:type="pct"/>
                  <w:tcBorders>
                    <w:tl2br w:val="nil"/>
                    <w:tr2bl w:val="nil"/>
                  </w:tcBorders>
                  <w:noWrap w:val="0"/>
                  <w:vAlign w:val="center"/>
                </w:tcPr>
                <w:p w14:paraId="58CC50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相符</w:t>
                  </w:r>
                </w:p>
              </w:tc>
            </w:tr>
            <w:tr w14:paraId="02495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8" w:type="pct"/>
                  <w:tcBorders>
                    <w:tl2br w:val="nil"/>
                    <w:tr2bl w:val="nil"/>
                  </w:tcBorders>
                  <w:noWrap w:val="0"/>
                  <w:vAlign w:val="center"/>
                </w:tcPr>
                <w:p w14:paraId="4A0E1A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3</w:t>
                  </w:r>
                </w:p>
              </w:tc>
              <w:tc>
                <w:tcPr>
                  <w:tcW w:w="2714" w:type="pct"/>
                  <w:tcBorders>
                    <w:tl2br w:val="nil"/>
                    <w:tr2bl w:val="nil"/>
                  </w:tcBorders>
                  <w:noWrap w:val="0"/>
                  <w:vAlign w:val="center"/>
                </w:tcPr>
                <w:p w14:paraId="2E1D70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rFonts w:hint="eastAsia"/>
                      <w:color w:val="auto"/>
                      <w:sz w:val="18"/>
                      <w:szCs w:val="18"/>
                      <w:highlight w:val="none"/>
                      <w:lang w:eastAsia="zh-CN"/>
                    </w:rPr>
                    <w:t>（</w:t>
                  </w:r>
                  <w:r>
                    <w:rPr>
                      <w:color w:val="auto"/>
                      <w:sz w:val="18"/>
                      <w:szCs w:val="18"/>
                      <w:highlight w:val="none"/>
                    </w:rPr>
                    <w:t>三</w:t>
                  </w:r>
                  <w:r>
                    <w:rPr>
                      <w:rFonts w:hint="eastAsia"/>
                      <w:color w:val="auto"/>
                      <w:sz w:val="18"/>
                      <w:szCs w:val="18"/>
                      <w:highlight w:val="none"/>
                      <w:lang w:eastAsia="zh-CN"/>
                    </w:rPr>
                    <w:t>）</w:t>
                  </w:r>
                  <w:r>
                    <w:rPr>
                      <w:color w:val="auto"/>
                      <w:sz w:val="18"/>
                      <w:szCs w:val="18"/>
                      <w:highlight w:val="none"/>
                    </w:rPr>
                    <w:t>严守环境质量底线，实施污染物排放限值限量管理。落实国家和江苏省关于大气、水、土壤、噪声污染防治、区域生态环境分区管控、工业园区</w:t>
                  </w:r>
                  <w:r>
                    <w:rPr>
                      <w:rFonts w:hint="eastAsia"/>
                      <w:color w:val="auto"/>
                      <w:sz w:val="18"/>
                      <w:szCs w:val="18"/>
                      <w:highlight w:val="none"/>
                      <w:lang w:eastAsia="zh-CN"/>
                    </w:rPr>
                    <w:t>（</w:t>
                  </w:r>
                  <w:r>
                    <w:rPr>
                      <w:color w:val="auto"/>
                      <w:sz w:val="18"/>
                      <w:szCs w:val="18"/>
                      <w:highlight w:val="none"/>
                    </w:rPr>
                    <w:t>集中区</w:t>
                  </w:r>
                  <w:r>
                    <w:rPr>
                      <w:rFonts w:hint="eastAsia"/>
                      <w:color w:val="auto"/>
                      <w:sz w:val="18"/>
                      <w:szCs w:val="18"/>
                      <w:highlight w:val="none"/>
                      <w:lang w:eastAsia="zh-CN"/>
                    </w:rPr>
                    <w:t>）</w:t>
                  </w:r>
                  <w:r>
                    <w:rPr>
                      <w:color w:val="auto"/>
                      <w:sz w:val="18"/>
                      <w:szCs w:val="18"/>
                      <w:highlight w:val="none"/>
                    </w:rPr>
                    <w:t>污染物排放限值限量管理相关要求，建立以环境质量为核心的污染物总量控制管理体系，实施主要污染物排放浓度和总量“双管控”。2025年，开发区环境空气细颗粒物</w:t>
                  </w:r>
                  <w:r>
                    <w:rPr>
                      <w:rFonts w:hint="eastAsia"/>
                      <w:color w:val="auto"/>
                      <w:sz w:val="18"/>
                      <w:szCs w:val="18"/>
                      <w:highlight w:val="none"/>
                      <w:lang w:eastAsia="zh-CN"/>
                    </w:rPr>
                    <w:t>（</w:t>
                  </w:r>
                  <w:r>
                    <w:rPr>
                      <w:color w:val="auto"/>
                      <w:sz w:val="18"/>
                      <w:szCs w:val="18"/>
                      <w:highlight w:val="none"/>
                    </w:rPr>
                    <w:t>PM2.5</w:t>
                  </w:r>
                  <w:r>
                    <w:rPr>
                      <w:rFonts w:hint="eastAsia"/>
                      <w:color w:val="auto"/>
                      <w:sz w:val="18"/>
                      <w:szCs w:val="18"/>
                      <w:highlight w:val="none"/>
                      <w:lang w:eastAsia="zh-CN"/>
                    </w:rPr>
                    <w:t>）</w:t>
                  </w:r>
                  <w:r>
                    <w:rPr>
                      <w:color w:val="auto"/>
                      <w:sz w:val="18"/>
                      <w:szCs w:val="18"/>
                      <w:highlight w:val="none"/>
                    </w:rPr>
                    <w:t>年均浓度应达到25微克/立方米；大港河、新江海河、立新河稳定达到 II 类水质标准。</w:t>
                  </w:r>
                </w:p>
              </w:tc>
              <w:tc>
                <w:tcPr>
                  <w:tcW w:w="1565" w:type="pct"/>
                  <w:tcBorders>
                    <w:tl2br w:val="nil"/>
                    <w:tr2bl w:val="nil"/>
                  </w:tcBorders>
                  <w:noWrap w:val="0"/>
                  <w:vAlign w:val="center"/>
                </w:tcPr>
                <w:p w14:paraId="1EE0D2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bidi="ar"/>
                    </w:rPr>
                    <w:t>本项目</w:t>
                  </w:r>
                  <w:r>
                    <w:rPr>
                      <w:rFonts w:hint="eastAsia"/>
                      <w:color w:val="auto"/>
                      <w:kern w:val="0"/>
                      <w:sz w:val="18"/>
                      <w:szCs w:val="18"/>
                      <w:highlight w:val="none"/>
                      <w:lang w:val="en-US" w:eastAsia="zh-CN" w:bidi="ar"/>
                    </w:rPr>
                    <w:t>不排放废气及废水</w:t>
                  </w:r>
                  <w:r>
                    <w:rPr>
                      <w:rFonts w:hint="eastAsia"/>
                      <w:color w:val="auto"/>
                      <w:kern w:val="0"/>
                      <w:sz w:val="18"/>
                      <w:szCs w:val="18"/>
                      <w:highlight w:val="none"/>
                      <w:lang w:bidi="ar"/>
                    </w:rPr>
                    <w:t>，</w:t>
                  </w:r>
                  <w:r>
                    <w:rPr>
                      <w:color w:val="auto"/>
                      <w:kern w:val="0"/>
                      <w:sz w:val="18"/>
                      <w:szCs w:val="18"/>
                      <w:highlight w:val="none"/>
                      <w:lang w:bidi="ar"/>
                    </w:rPr>
                    <w:t>采取有效污染防治措施，噪声可达标排放</w:t>
                  </w:r>
                  <w:r>
                    <w:rPr>
                      <w:rFonts w:hint="eastAsia"/>
                      <w:color w:val="auto"/>
                      <w:kern w:val="0"/>
                      <w:sz w:val="18"/>
                      <w:szCs w:val="18"/>
                      <w:highlight w:val="none"/>
                      <w:lang w:eastAsia="zh-CN" w:bidi="ar"/>
                    </w:rPr>
                    <w:t>。</w:t>
                  </w:r>
                  <w:r>
                    <w:rPr>
                      <w:rFonts w:hint="eastAsia" w:ascii="Times New Roman" w:hAnsi="Times New Roman" w:eastAsia="宋体" w:cs="Times New Roman"/>
                      <w:color w:val="auto"/>
                      <w:sz w:val="18"/>
                      <w:szCs w:val="18"/>
                      <w:highlight w:val="none"/>
                      <w:lang w:val="en-US" w:eastAsia="zh-CN"/>
                    </w:rPr>
                    <w:t>本项目</w:t>
                  </w:r>
                  <w:r>
                    <w:rPr>
                      <w:rFonts w:hint="eastAsia" w:cs="Times New Roman"/>
                      <w:color w:val="auto"/>
                      <w:sz w:val="18"/>
                      <w:szCs w:val="18"/>
                      <w:highlight w:val="none"/>
                      <w:lang w:val="en-US" w:eastAsia="zh-CN"/>
                    </w:rPr>
                    <w:t>无需申请总量</w:t>
                  </w:r>
                  <w:r>
                    <w:rPr>
                      <w:rFonts w:hint="eastAsia" w:ascii="Times New Roman" w:hAnsi="Times New Roman" w:eastAsia="宋体" w:cs="Times New Roman"/>
                      <w:color w:val="auto"/>
                      <w:sz w:val="18"/>
                      <w:szCs w:val="18"/>
                      <w:highlight w:val="none"/>
                      <w:lang w:val="en-US" w:eastAsia="zh-CN"/>
                    </w:rPr>
                    <w:t>。</w:t>
                  </w:r>
                </w:p>
              </w:tc>
              <w:tc>
                <w:tcPr>
                  <w:tcW w:w="421" w:type="pct"/>
                  <w:tcBorders>
                    <w:tl2br w:val="nil"/>
                    <w:tr2bl w:val="nil"/>
                  </w:tcBorders>
                  <w:noWrap w:val="0"/>
                  <w:vAlign w:val="center"/>
                </w:tcPr>
                <w:p w14:paraId="31D095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color w:val="auto"/>
                      <w:kern w:val="0"/>
                      <w:sz w:val="18"/>
                      <w:szCs w:val="18"/>
                      <w:highlight w:val="none"/>
                      <w:lang w:bidi="ar"/>
                    </w:rPr>
                    <w:t>相符</w:t>
                  </w:r>
                </w:p>
              </w:tc>
            </w:tr>
            <w:tr w14:paraId="188F4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8" w:type="pct"/>
                  <w:tcBorders>
                    <w:tl2br w:val="nil"/>
                    <w:tr2bl w:val="nil"/>
                  </w:tcBorders>
                  <w:noWrap w:val="0"/>
                  <w:vAlign w:val="center"/>
                </w:tcPr>
                <w:p w14:paraId="5EF7C8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4</w:t>
                  </w:r>
                </w:p>
              </w:tc>
              <w:tc>
                <w:tcPr>
                  <w:tcW w:w="2714" w:type="pct"/>
                  <w:tcBorders>
                    <w:tl2br w:val="nil"/>
                    <w:tr2bl w:val="nil"/>
                  </w:tcBorders>
                  <w:noWrap w:val="0"/>
                  <w:vAlign w:val="center"/>
                </w:tcPr>
                <w:p w14:paraId="72CBE3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rFonts w:hint="eastAsia"/>
                      <w:color w:val="auto"/>
                      <w:kern w:val="0"/>
                      <w:sz w:val="18"/>
                      <w:szCs w:val="18"/>
                      <w:highlight w:val="none"/>
                      <w:lang w:eastAsia="zh-CN" w:bidi="ar"/>
                    </w:rPr>
                    <w:t>（</w:t>
                  </w:r>
                  <w:r>
                    <w:rPr>
                      <w:color w:val="auto"/>
                      <w:kern w:val="0"/>
                      <w:sz w:val="18"/>
                      <w:szCs w:val="18"/>
                      <w:highlight w:val="none"/>
                      <w:lang w:bidi="ar"/>
                    </w:rPr>
                    <w:t>四</w:t>
                  </w:r>
                  <w:r>
                    <w:rPr>
                      <w:rFonts w:hint="eastAsia"/>
                      <w:color w:val="auto"/>
                      <w:kern w:val="0"/>
                      <w:sz w:val="18"/>
                      <w:szCs w:val="18"/>
                      <w:highlight w:val="none"/>
                      <w:lang w:eastAsia="zh-CN" w:bidi="ar"/>
                    </w:rPr>
                    <w:t>）</w:t>
                  </w:r>
                  <w:r>
                    <w:rPr>
                      <w:color w:val="auto"/>
                      <w:kern w:val="0"/>
                      <w:sz w:val="18"/>
                      <w:szCs w:val="18"/>
                      <w:highlight w:val="none"/>
                      <w:lang w:bidi="ar"/>
                    </w:rPr>
                    <w:t>加强源头治理，协同推进减污降碳。严格落实生态环境准入清单</w:t>
                  </w:r>
                  <w:r>
                    <w:rPr>
                      <w:rFonts w:hint="eastAsia"/>
                      <w:color w:val="auto"/>
                      <w:kern w:val="0"/>
                      <w:sz w:val="18"/>
                      <w:szCs w:val="18"/>
                      <w:highlight w:val="none"/>
                      <w:lang w:eastAsia="zh-CN" w:bidi="ar"/>
                    </w:rPr>
                    <w:t>（</w:t>
                  </w:r>
                  <w:r>
                    <w:rPr>
                      <w:color w:val="auto"/>
                      <w:kern w:val="0"/>
                      <w:sz w:val="18"/>
                      <w:szCs w:val="18"/>
                      <w:highlight w:val="none"/>
                      <w:lang w:bidi="ar"/>
                    </w:rPr>
                    <w:t>附件2</w:t>
                  </w:r>
                  <w:r>
                    <w:rPr>
                      <w:rFonts w:hint="eastAsia"/>
                      <w:color w:val="auto"/>
                      <w:kern w:val="0"/>
                      <w:sz w:val="18"/>
                      <w:szCs w:val="18"/>
                      <w:highlight w:val="none"/>
                      <w:lang w:eastAsia="zh-CN" w:bidi="ar"/>
                    </w:rPr>
                    <w:t>）</w:t>
                  </w:r>
                  <w:r>
                    <w:rPr>
                      <w:color w:val="auto"/>
                      <w:kern w:val="0"/>
                      <w:sz w:val="18"/>
                      <w:szCs w:val="18"/>
                      <w:highlight w:val="none"/>
                      <w:lang w:bidi="ar"/>
                    </w:rPr>
                    <w:t>，落实《报告书》提出的生态环境准入要求，严格限制与主导产业不相关且排污负荷大的项目入区，执行最严格的废水、废气排放控制要求。强化企业特征污染物排放控制、高效治理设施建设，落实精细化管控要求。引进项目的生产工艺、设备，以及单位产品水耗、能耗、污染物排放和资源利用效率等应达到同行业国际先进水平。全面开展清洁生产审核，推动重点行业依法实施强制性审核，引导其他行业自觉自愿开展审核，不断提高现有企业清洁生产和污染治理水平。根据国家和地方碳减排、碳达峰行动方案和路径要求，推进开发区绿色低碳转型发展，优化产业结构、能源结构、交通运输等规划</w:t>
                  </w:r>
                  <w:r>
                    <w:rPr>
                      <w:rFonts w:hint="eastAsia"/>
                      <w:color w:val="auto"/>
                      <w:kern w:val="0"/>
                      <w:sz w:val="18"/>
                      <w:szCs w:val="18"/>
                      <w:highlight w:val="none"/>
                      <w:lang w:eastAsia="zh-CN" w:bidi="ar"/>
                    </w:rPr>
                    <w:t>内容，实现减污降碳协同增效目标。</w:t>
                  </w:r>
                </w:p>
              </w:tc>
              <w:tc>
                <w:tcPr>
                  <w:tcW w:w="1565" w:type="pct"/>
                  <w:tcBorders>
                    <w:tl2br w:val="nil"/>
                    <w:tr2bl w:val="nil"/>
                  </w:tcBorders>
                  <w:noWrap w:val="0"/>
                  <w:vAlign w:val="center"/>
                </w:tcPr>
                <w:p w14:paraId="0268FF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0"/>
                      <w:sz w:val="18"/>
                      <w:szCs w:val="18"/>
                      <w:highlight w:val="none"/>
                      <w:lang w:eastAsia="zh-CN" w:bidi="ar"/>
                    </w:rPr>
                  </w:pPr>
                  <w:r>
                    <w:rPr>
                      <w:rFonts w:hint="eastAsia"/>
                      <w:color w:val="auto"/>
                      <w:kern w:val="0"/>
                      <w:sz w:val="18"/>
                      <w:szCs w:val="18"/>
                      <w:highlight w:val="none"/>
                      <w:lang w:bidi="ar"/>
                    </w:rPr>
                    <w:t>本项目严格执行生态环境准入清单要求，本项目不属于排污负荷大的项目。拟</w:t>
                  </w:r>
                  <w:r>
                    <w:rPr>
                      <w:rFonts w:hint="eastAsia"/>
                      <w:color w:val="auto"/>
                      <w:kern w:val="0"/>
                      <w:sz w:val="18"/>
                      <w:szCs w:val="18"/>
                      <w:highlight w:val="none"/>
                      <w:lang w:val="en-US" w:eastAsia="zh-CN" w:bidi="ar"/>
                    </w:rPr>
                    <w:t>引进的</w:t>
                  </w:r>
                  <w:r>
                    <w:rPr>
                      <w:rFonts w:hint="eastAsia"/>
                      <w:color w:val="auto"/>
                      <w:kern w:val="0"/>
                      <w:sz w:val="18"/>
                      <w:szCs w:val="18"/>
                      <w:highlight w:val="none"/>
                      <w:lang w:bidi="ar"/>
                    </w:rPr>
                    <w:t>生产工艺、设备，以及单位产品能耗和资源利用效率等均应达到同行业国际先进水平</w:t>
                  </w:r>
                  <w:r>
                    <w:rPr>
                      <w:rFonts w:hint="eastAsia"/>
                      <w:color w:val="auto"/>
                      <w:kern w:val="0"/>
                      <w:sz w:val="18"/>
                      <w:szCs w:val="18"/>
                      <w:highlight w:val="none"/>
                      <w:lang w:eastAsia="zh-CN" w:bidi="ar"/>
                    </w:rPr>
                    <w:t>。</w:t>
                  </w:r>
                </w:p>
              </w:tc>
              <w:tc>
                <w:tcPr>
                  <w:tcW w:w="421" w:type="pct"/>
                  <w:tcBorders>
                    <w:tl2br w:val="nil"/>
                    <w:tr2bl w:val="nil"/>
                  </w:tcBorders>
                  <w:noWrap w:val="0"/>
                  <w:vAlign w:val="center"/>
                </w:tcPr>
                <w:p w14:paraId="27010B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相符</w:t>
                  </w:r>
                </w:p>
              </w:tc>
            </w:tr>
            <w:tr w14:paraId="5C2EE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8" w:type="pct"/>
                  <w:tcBorders>
                    <w:tl2br w:val="nil"/>
                    <w:tr2bl w:val="nil"/>
                  </w:tcBorders>
                  <w:noWrap w:val="0"/>
                  <w:vAlign w:val="center"/>
                </w:tcPr>
                <w:p w14:paraId="61F291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5</w:t>
                  </w:r>
                </w:p>
              </w:tc>
              <w:tc>
                <w:tcPr>
                  <w:tcW w:w="2714" w:type="pct"/>
                  <w:tcBorders>
                    <w:tl2br w:val="nil"/>
                    <w:tr2bl w:val="nil"/>
                  </w:tcBorders>
                  <w:noWrap w:val="0"/>
                  <w:vAlign w:val="center"/>
                </w:tcPr>
                <w:p w14:paraId="32C1B3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rFonts w:hint="eastAsia"/>
                      <w:color w:val="auto"/>
                      <w:kern w:val="0"/>
                      <w:sz w:val="18"/>
                      <w:szCs w:val="18"/>
                      <w:highlight w:val="none"/>
                      <w:lang w:eastAsia="zh-CN" w:bidi="ar"/>
                    </w:rPr>
                    <w:t>（</w:t>
                  </w:r>
                  <w:r>
                    <w:rPr>
                      <w:color w:val="auto"/>
                      <w:kern w:val="0"/>
                      <w:sz w:val="18"/>
                      <w:szCs w:val="18"/>
                      <w:highlight w:val="none"/>
                      <w:lang w:bidi="ar"/>
                    </w:rPr>
                    <w:t>五</w:t>
                  </w:r>
                  <w:r>
                    <w:rPr>
                      <w:rFonts w:hint="eastAsia"/>
                      <w:color w:val="auto"/>
                      <w:kern w:val="0"/>
                      <w:sz w:val="18"/>
                      <w:szCs w:val="18"/>
                      <w:highlight w:val="none"/>
                      <w:lang w:eastAsia="zh-CN" w:bidi="ar"/>
                    </w:rPr>
                    <w:t>）</w:t>
                  </w:r>
                  <w:r>
                    <w:rPr>
                      <w:color w:val="auto"/>
                      <w:kern w:val="0"/>
                      <w:sz w:val="18"/>
                      <w:szCs w:val="18"/>
                      <w:highlight w:val="none"/>
                      <w:lang w:bidi="ar"/>
                    </w:rPr>
                    <w:t>完善环境基础设施建设，提高基础设施运行效能。完善区域污水管网建设，加快推进东洲污水处理厂、开发区污水处理厂扩建工程，确保工业废水与生活污水分类收集、分质处理；根据新一代信息技术产业项目引进情况推进工业绿岛建设，确保重金属废水“零排放”。推进中水回用设施及配套管网建设，确保开发区中水回用率不低于 30%。定期开展开发区污水管网渗漏排查工作，建立健全地下水污染监督、检查、管理及修复机制。积极推进供热管网建设，依托海门鑫源热电厂实施集中供热。加强开发区固体废物资源化、减量化、无害化处理，一般工业固废、危险废物应依法依规收集、处理处置，做到“就地分类收集、就近转移处置”。推进开发区固体废物储运中心建设，提升园区危废监管水平。</w:t>
                  </w:r>
                </w:p>
              </w:tc>
              <w:tc>
                <w:tcPr>
                  <w:tcW w:w="1565" w:type="pct"/>
                  <w:tcBorders>
                    <w:tl2br w:val="nil"/>
                    <w:tr2bl w:val="nil"/>
                  </w:tcBorders>
                  <w:noWrap w:val="0"/>
                  <w:vAlign w:val="center"/>
                </w:tcPr>
                <w:p w14:paraId="1EC4E8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rFonts w:hint="eastAsia" w:ascii="Times New Roman" w:hAnsi="Times New Roman" w:eastAsia="宋体" w:cs="Times New Roman"/>
                      <w:color w:val="auto"/>
                      <w:kern w:val="0"/>
                      <w:sz w:val="18"/>
                      <w:szCs w:val="18"/>
                      <w:highlight w:val="none"/>
                      <w:lang w:eastAsia="zh-CN" w:bidi="ar"/>
                    </w:rPr>
                    <w:t>本项目不涉及</w:t>
                  </w:r>
                  <w:r>
                    <w:rPr>
                      <w:rFonts w:hint="eastAsia" w:cs="Times New Roman"/>
                      <w:color w:val="auto"/>
                      <w:kern w:val="0"/>
                      <w:sz w:val="18"/>
                      <w:szCs w:val="18"/>
                      <w:highlight w:val="none"/>
                      <w:lang w:val="en-US" w:eastAsia="zh-CN" w:bidi="ar"/>
                    </w:rPr>
                    <w:t>废水排放。产生的</w:t>
                  </w:r>
                  <w:r>
                    <w:rPr>
                      <w:rFonts w:hint="eastAsia" w:ascii="Times New Roman" w:hAnsi="Times New Roman" w:eastAsia="宋体" w:cs="Times New Roman"/>
                      <w:color w:val="auto"/>
                      <w:kern w:val="0"/>
                      <w:sz w:val="18"/>
                      <w:szCs w:val="18"/>
                      <w:highlight w:val="none"/>
                      <w:lang w:bidi="ar"/>
                    </w:rPr>
                    <w:t>固废</w:t>
                  </w:r>
                  <w:r>
                    <w:rPr>
                      <w:rFonts w:hint="eastAsia" w:ascii="Times New Roman" w:hAnsi="Times New Roman" w:eastAsia="宋体" w:cs="Times New Roman"/>
                      <w:color w:val="auto"/>
                      <w:kern w:val="0"/>
                      <w:sz w:val="18"/>
                      <w:szCs w:val="18"/>
                      <w:highlight w:val="none"/>
                      <w:lang w:eastAsia="zh-CN" w:bidi="ar"/>
                    </w:rPr>
                    <w:t>均合法处置</w:t>
                  </w:r>
                  <w:r>
                    <w:rPr>
                      <w:rFonts w:hint="eastAsia" w:ascii="Times New Roman" w:hAnsi="Times New Roman" w:eastAsia="宋体" w:cs="Times New Roman"/>
                      <w:color w:val="auto"/>
                      <w:kern w:val="0"/>
                      <w:sz w:val="18"/>
                      <w:szCs w:val="18"/>
                      <w:highlight w:val="none"/>
                      <w:lang w:bidi="ar"/>
                    </w:rPr>
                    <w:t>。</w:t>
                  </w:r>
                </w:p>
              </w:tc>
              <w:tc>
                <w:tcPr>
                  <w:tcW w:w="421" w:type="pct"/>
                  <w:tcBorders>
                    <w:tl2br w:val="nil"/>
                    <w:tr2bl w:val="nil"/>
                  </w:tcBorders>
                  <w:noWrap w:val="0"/>
                  <w:vAlign w:val="center"/>
                </w:tcPr>
                <w:p w14:paraId="2E64B6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color w:val="auto"/>
                      <w:sz w:val="18"/>
                      <w:szCs w:val="18"/>
                      <w:highlight w:val="none"/>
                    </w:rPr>
                    <w:t>相符</w:t>
                  </w:r>
                </w:p>
              </w:tc>
            </w:tr>
            <w:tr w14:paraId="6F3FE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8" w:type="pct"/>
                  <w:tcBorders>
                    <w:tl2br w:val="nil"/>
                    <w:tr2bl w:val="nil"/>
                  </w:tcBorders>
                  <w:noWrap w:val="0"/>
                  <w:vAlign w:val="center"/>
                </w:tcPr>
                <w:p w14:paraId="0302B8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6</w:t>
                  </w:r>
                </w:p>
              </w:tc>
              <w:tc>
                <w:tcPr>
                  <w:tcW w:w="2714" w:type="pct"/>
                  <w:tcBorders>
                    <w:tl2br w:val="nil"/>
                    <w:tr2bl w:val="nil"/>
                  </w:tcBorders>
                  <w:noWrap w:val="0"/>
                  <w:vAlign w:val="center"/>
                </w:tcPr>
                <w:p w14:paraId="06BBF7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rFonts w:hint="eastAsia"/>
                      <w:color w:val="auto"/>
                      <w:kern w:val="0"/>
                      <w:sz w:val="18"/>
                      <w:szCs w:val="18"/>
                      <w:highlight w:val="none"/>
                      <w:lang w:eastAsia="zh-CN" w:bidi="ar"/>
                    </w:rPr>
                    <w:t>（</w:t>
                  </w:r>
                  <w:r>
                    <w:rPr>
                      <w:color w:val="auto"/>
                      <w:kern w:val="0"/>
                      <w:sz w:val="18"/>
                      <w:szCs w:val="18"/>
                      <w:highlight w:val="none"/>
                      <w:lang w:bidi="ar"/>
                    </w:rPr>
                    <w:t>六</w:t>
                  </w:r>
                  <w:r>
                    <w:rPr>
                      <w:rFonts w:hint="eastAsia"/>
                      <w:color w:val="auto"/>
                      <w:kern w:val="0"/>
                      <w:sz w:val="18"/>
                      <w:szCs w:val="18"/>
                      <w:highlight w:val="none"/>
                      <w:lang w:eastAsia="zh-CN" w:bidi="ar"/>
                    </w:rPr>
                    <w:t>）</w:t>
                  </w:r>
                  <w:r>
                    <w:rPr>
                      <w:color w:val="auto"/>
                      <w:kern w:val="0"/>
                      <w:sz w:val="18"/>
                      <w:szCs w:val="18"/>
                      <w:highlight w:val="none"/>
                      <w:lang w:bidi="ar"/>
                    </w:rPr>
                    <w:t>建立健全环境监测监控体系。开展包括环境空气、地表水、地下水、土壤、底泥等环境要素的长期跟踪监测与管理。结合区域跟踪监测情况，动态调整开发区开发建设规模和时序进度，优化生态环境保护措施，确保区域环境质量不恶化。对于企业关闭、搬迁遗留的污染地块应依法开展土壤污染状况调查、治理与修复工作。严格落实环境质量监测要求，建立开发区土壤和地下水隐患排查制度并纳入监控预警体系。探索开展新污染物环境本底调查监测，依法公开新污染物信息。指导区内企业规范安装在线监测设备并联网，推进区内排污许可重点管理单位自动监测全覆盖;暂不具备安装在线监测设备条件的企业，应做好委托监测工作。积极推进氟化物污染物排放及水环境质量的监测监控，区内重点涉氟企业雨水、污水排放口应安装氟化物自动监控系统并联网。</w:t>
                  </w:r>
                </w:p>
              </w:tc>
              <w:tc>
                <w:tcPr>
                  <w:tcW w:w="1565" w:type="pct"/>
                  <w:tcBorders>
                    <w:tl2br w:val="nil"/>
                    <w:tr2bl w:val="nil"/>
                  </w:tcBorders>
                  <w:noWrap w:val="0"/>
                  <w:vAlign w:val="center"/>
                </w:tcPr>
                <w:p w14:paraId="06AEB8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rFonts w:hint="eastAsia" w:ascii="Times New Roman" w:hAnsi="Times New Roman" w:eastAsia="宋体" w:cs="Times New Roman"/>
                      <w:color w:val="auto"/>
                      <w:kern w:val="0"/>
                      <w:sz w:val="18"/>
                      <w:szCs w:val="18"/>
                      <w:highlight w:val="none"/>
                      <w:lang w:eastAsia="zh-CN" w:bidi="ar"/>
                    </w:rPr>
                    <w:t>本项目</w:t>
                  </w:r>
                  <w:r>
                    <w:rPr>
                      <w:rFonts w:hint="eastAsia" w:cs="Times New Roman"/>
                      <w:color w:val="auto"/>
                      <w:kern w:val="0"/>
                      <w:sz w:val="18"/>
                      <w:szCs w:val="18"/>
                      <w:highlight w:val="none"/>
                      <w:lang w:val="en-US" w:eastAsia="zh-CN" w:bidi="ar"/>
                    </w:rPr>
                    <w:t>制定污染源监测计划，建成后按计划落实</w:t>
                  </w:r>
                  <w:r>
                    <w:rPr>
                      <w:rFonts w:hint="eastAsia" w:ascii="Times New Roman" w:hAnsi="Times New Roman" w:eastAsia="宋体" w:cs="Times New Roman"/>
                      <w:color w:val="auto"/>
                      <w:kern w:val="0"/>
                      <w:sz w:val="18"/>
                      <w:szCs w:val="18"/>
                      <w:highlight w:val="none"/>
                      <w:lang w:eastAsia="zh-CN" w:bidi="ar"/>
                    </w:rPr>
                    <w:t>。</w:t>
                  </w:r>
                </w:p>
              </w:tc>
              <w:tc>
                <w:tcPr>
                  <w:tcW w:w="421" w:type="pct"/>
                  <w:tcBorders>
                    <w:tl2br w:val="nil"/>
                    <w:tr2bl w:val="nil"/>
                  </w:tcBorders>
                  <w:noWrap w:val="0"/>
                  <w:vAlign w:val="center"/>
                </w:tcPr>
                <w:p w14:paraId="2E8055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color w:val="auto"/>
                      <w:kern w:val="0"/>
                      <w:sz w:val="18"/>
                      <w:szCs w:val="18"/>
                      <w:highlight w:val="none"/>
                      <w:lang w:bidi="ar"/>
                    </w:rPr>
                    <w:t>相符</w:t>
                  </w:r>
                </w:p>
              </w:tc>
            </w:tr>
            <w:tr w14:paraId="5A314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8" w:type="pct"/>
                  <w:tcBorders>
                    <w:tl2br w:val="nil"/>
                    <w:tr2bl w:val="nil"/>
                  </w:tcBorders>
                  <w:noWrap w:val="0"/>
                  <w:vAlign w:val="center"/>
                </w:tcPr>
                <w:p w14:paraId="29E734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rPr>
                  </w:pPr>
                  <w:r>
                    <w:rPr>
                      <w:color w:val="auto"/>
                      <w:kern w:val="0"/>
                      <w:sz w:val="18"/>
                      <w:szCs w:val="18"/>
                      <w:highlight w:val="none"/>
                    </w:rPr>
                    <w:t>7</w:t>
                  </w:r>
                </w:p>
              </w:tc>
              <w:tc>
                <w:tcPr>
                  <w:tcW w:w="2714" w:type="pct"/>
                  <w:tcBorders>
                    <w:tl2br w:val="nil"/>
                    <w:tr2bl w:val="nil"/>
                  </w:tcBorders>
                  <w:noWrap w:val="0"/>
                  <w:vAlign w:val="center"/>
                </w:tcPr>
                <w:p w14:paraId="09183C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rFonts w:hint="eastAsia"/>
                      <w:color w:val="auto"/>
                      <w:kern w:val="0"/>
                      <w:sz w:val="18"/>
                      <w:szCs w:val="18"/>
                      <w:highlight w:val="none"/>
                      <w:lang w:eastAsia="zh-CN" w:bidi="ar"/>
                    </w:rPr>
                    <w:t>（</w:t>
                  </w:r>
                  <w:r>
                    <w:rPr>
                      <w:color w:val="auto"/>
                      <w:kern w:val="0"/>
                      <w:sz w:val="18"/>
                      <w:szCs w:val="18"/>
                      <w:highlight w:val="none"/>
                      <w:lang w:bidi="ar"/>
                    </w:rPr>
                    <w:t>七</w:t>
                  </w:r>
                  <w:r>
                    <w:rPr>
                      <w:rFonts w:hint="eastAsia"/>
                      <w:color w:val="auto"/>
                      <w:kern w:val="0"/>
                      <w:sz w:val="18"/>
                      <w:szCs w:val="18"/>
                      <w:highlight w:val="none"/>
                      <w:lang w:eastAsia="zh-CN" w:bidi="ar"/>
                    </w:rPr>
                    <w:t>）</w:t>
                  </w:r>
                  <w:r>
                    <w:rPr>
                      <w:color w:val="auto"/>
                      <w:kern w:val="0"/>
                      <w:sz w:val="18"/>
                      <w:szCs w:val="18"/>
                      <w:highlight w:val="none"/>
                      <w:lang w:bidi="ar"/>
                    </w:rPr>
                    <w:t>健全环境风险防控体系，提升环境应急能力。强化入河排污口监督管理，有效管控入河污染物排放，加强通江河流环境风险管理，确保海门长江饮用水源保护区用水安全。进一步完善开发区特别是以涉重片区为重点的突发水污染事件风险防控体系建设，确保“小事故不出厂区、大事故不出园区”。加强环境应急基础设施建设，配备充足的应急装备物资,提高环境应急救援能力。建立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重点关注并督促指导涉重金属企业构筑“风险单元-管网、应急池-厂界”环境风险防控体系，严防涉重金属突发水污染事件。</w:t>
                  </w:r>
                </w:p>
              </w:tc>
              <w:tc>
                <w:tcPr>
                  <w:tcW w:w="1565" w:type="pct"/>
                  <w:tcBorders>
                    <w:tl2br w:val="nil"/>
                    <w:tr2bl w:val="nil"/>
                  </w:tcBorders>
                  <w:noWrap w:val="0"/>
                  <w:vAlign w:val="center"/>
                </w:tcPr>
                <w:p w14:paraId="3881BC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rFonts w:hint="eastAsia"/>
                      <w:color w:val="auto"/>
                      <w:kern w:val="0"/>
                      <w:sz w:val="18"/>
                      <w:szCs w:val="18"/>
                      <w:highlight w:val="none"/>
                      <w:lang w:bidi="ar"/>
                    </w:rPr>
                    <w:t>项目</w:t>
                  </w:r>
                  <w:r>
                    <w:rPr>
                      <w:rFonts w:hint="eastAsia"/>
                      <w:color w:val="auto"/>
                      <w:kern w:val="0"/>
                      <w:sz w:val="18"/>
                      <w:szCs w:val="18"/>
                      <w:highlight w:val="none"/>
                      <w:lang w:val="en-US" w:eastAsia="zh-CN" w:bidi="ar"/>
                    </w:rPr>
                    <w:t>不涉及废气废水排放</w:t>
                  </w:r>
                  <w:r>
                    <w:rPr>
                      <w:rFonts w:hint="eastAsia"/>
                      <w:color w:val="auto"/>
                      <w:kern w:val="0"/>
                      <w:sz w:val="18"/>
                      <w:szCs w:val="18"/>
                      <w:highlight w:val="none"/>
                      <w:lang w:eastAsia="zh-CN" w:bidi="ar"/>
                    </w:rPr>
                    <w:t>；</w:t>
                  </w:r>
                  <w:r>
                    <w:rPr>
                      <w:rFonts w:hint="eastAsia"/>
                      <w:color w:val="auto"/>
                      <w:kern w:val="0"/>
                      <w:sz w:val="18"/>
                      <w:szCs w:val="18"/>
                      <w:highlight w:val="none"/>
                      <w:lang w:bidi="ar"/>
                    </w:rPr>
                    <w:t>严格执行生态环境准入清单要求，本项目不属于排污负荷大的项目</w:t>
                  </w:r>
                  <w:r>
                    <w:rPr>
                      <w:rFonts w:hint="eastAsia"/>
                      <w:color w:val="auto"/>
                      <w:kern w:val="0"/>
                      <w:sz w:val="18"/>
                      <w:szCs w:val="18"/>
                      <w:highlight w:val="none"/>
                      <w:lang w:eastAsia="zh-CN" w:bidi="ar"/>
                    </w:rPr>
                    <w:t>；</w:t>
                  </w:r>
                  <w:r>
                    <w:rPr>
                      <w:rFonts w:hint="eastAsia"/>
                      <w:color w:val="auto"/>
                      <w:sz w:val="18"/>
                      <w:szCs w:val="18"/>
                      <w:highlight w:val="none"/>
                      <w:lang w:eastAsia="zh-CN"/>
                    </w:rPr>
                    <w:t>本项目建立</w:t>
                  </w:r>
                  <w:r>
                    <w:rPr>
                      <w:rFonts w:hint="eastAsia"/>
                      <w:color w:val="auto"/>
                      <w:sz w:val="18"/>
                      <w:szCs w:val="18"/>
                      <w:highlight w:val="none"/>
                    </w:rPr>
                    <w:t>环境风险防控体系，</w:t>
                  </w:r>
                  <w:r>
                    <w:rPr>
                      <w:rFonts w:hint="eastAsia"/>
                      <w:color w:val="auto"/>
                      <w:sz w:val="18"/>
                      <w:szCs w:val="18"/>
                      <w:highlight w:val="none"/>
                      <w:lang w:eastAsia="zh-CN"/>
                    </w:rPr>
                    <w:t>投产后</w:t>
                  </w:r>
                  <w:r>
                    <w:rPr>
                      <w:rFonts w:hint="eastAsia"/>
                      <w:color w:val="auto"/>
                      <w:sz w:val="18"/>
                      <w:szCs w:val="18"/>
                      <w:highlight w:val="none"/>
                      <w:lang w:val="en-US" w:eastAsia="zh-CN"/>
                    </w:rPr>
                    <w:t>修编</w:t>
                  </w:r>
                  <w:r>
                    <w:rPr>
                      <w:rFonts w:hint="eastAsia"/>
                      <w:color w:val="auto"/>
                      <w:sz w:val="18"/>
                      <w:szCs w:val="18"/>
                      <w:highlight w:val="none"/>
                      <w:lang w:eastAsia="zh-CN"/>
                    </w:rPr>
                    <w:t>突发环境事件应急预案并报生态环境部门备案，以</w:t>
                  </w:r>
                  <w:r>
                    <w:rPr>
                      <w:rFonts w:hint="eastAsia"/>
                      <w:color w:val="auto"/>
                      <w:sz w:val="18"/>
                      <w:szCs w:val="18"/>
                      <w:highlight w:val="none"/>
                    </w:rPr>
                    <w:t>提升环境应急能力。</w:t>
                  </w:r>
                  <w:r>
                    <w:rPr>
                      <w:rFonts w:hint="eastAsia"/>
                      <w:color w:val="auto"/>
                      <w:sz w:val="18"/>
                      <w:szCs w:val="18"/>
                      <w:highlight w:val="none"/>
                      <w:lang w:eastAsia="zh-CN"/>
                    </w:rPr>
                    <w:t>企业</w:t>
                  </w:r>
                  <w:r>
                    <w:rPr>
                      <w:rFonts w:hint="eastAsia"/>
                      <w:color w:val="auto"/>
                      <w:sz w:val="18"/>
                      <w:szCs w:val="18"/>
                      <w:highlight w:val="none"/>
                    </w:rPr>
                    <w:t>配备充足的应急装备物资，定期开展环境应急演练，</w:t>
                  </w:r>
                  <w:r>
                    <w:rPr>
                      <w:rFonts w:hint="eastAsia"/>
                      <w:color w:val="auto"/>
                      <w:sz w:val="18"/>
                      <w:szCs w:val="18"/>
                      <w:highlight w:val="none"/>
                      <w:lang w:eastAsia="zh-CN"/>
                    </w:rPr>
                    <w:t>以</w:t>
                  </w:r>
                  <w:r>
                    <w:rPr>
                      <w:rFonts w:hint="eastAsia"/>
                      <w:color w:val="auto"/>
                      <w:sz w:val="18"/>
                      <w:szCs w:val="18"/>
                      <w:highlight w:val="none"/>
                    </w:rPr>
                    <w:t>提升应急实战水平。</w:t>
                  </w:r>
                  <w:r>
                    <w:rPr>
                      <w:rFonts w:hint="eastAsia"/>
                      <w:color w:val="auto"/>
                      <w:sz w:val="18"/>
                      <w:szCs w:val="18"/>
                      <w:highlight w:val="none"/>
                      <w:lang w:eastAsia="zh-CN"/>
                    </w:rPr>
                    <w:t>营运期</w:t>
                  </w:r>
                  <w:r>
                    <w:rPr>
                      <w:rFonts w:hint="eastAsia"/>
                      <w:color w:val="auto"/>
                      <w:sz w:val="18"/>
                      <w:szCs w:val="18"/>
                      <w:highlight w:val="none"/>
                    </w:rPr>
                    <w:t>定期排查突发环境事件隐患，建立隐患清单并督促整改到位</w:t>
                  </w:r>
                  <w:r>
                    <w:rPr>
                      <w:rFonts w:hint="eastAsia"/>
                      <w:color w:val="auto"/>
                      <w:sz w:val="18"/>
                      <w:szCs w:val="18"/>
                      <w:highlight w:val="none"/>
                      <w:lang w:eastAsia="zh-CN"/>
                    </w:rPr>
                    <w:t>。</w:t>
                  </w:r>
                </w:p>
              </w:tc>
              <w:tc>
                <w:tcPr>
                  <w:tcW w:w="421" w:type="pct"/>
                  <w:tcBorders>
                    <w:tl2br w:val="nil"/>
                    <w:tr2bl w:val="nil"/>
                  </w:tcBorders>
                  <w:noWrap w:val="0"/>
                  <w:vAlign w:val="center"/>
                </w:tcPr>
                <w:p w14:paraId="584FB9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auto"/>
                      <w:kern w:val="0"/>
                      <w:sz w:val="18"/>
                      <w:szCs w:val="18"/>
                      <w:highlight w:val="none"/>
                      <w:lang w:bidi="ar"/>
                    </w:rPr>
                  </w:pPr>
                  <w:r>
                    <w:rPr>
                      <w:color w:val="auto"/>
                      <w:kern w:val="0"/>
                      <w:sz w:val="18"/>
                      <w:szCs w:val="18"/>
                      <w:highlight w:val="none"/>
                      <w:lang w:bidi="ar"/>
                    </w:rPr>
                    <w:t>相符</w:t>
                  </w:r>
                </w:p>
              </w:tc>
            </w:tr>
          </w:tbl>
          <w:p w14:paraId="3602074C">
            <w:pPr>
              <w:autoSpaceDE w:val="0"/>
              <w:autoSpaceDN w:val="0"/>
              <w:spacing w:line="360" w:lineRule="auto"/>
              <w:ind w:firstLine="422"/>
              <w:rPr>
                <w:b/>
                <w:bCs/>
                <w:color w:val="auto"/>
                <w:kern w:val="0"/>
                <w:szCs w:val="21"/>
              </w:rPr>
            </w:pPr>
            <w:r>
              <w:rPr>
                <w:rFonts w:hint="eastAsia"/>
                <w:bCs/>
                <w:color w:val="auto"/>
                <w:sz w:val="21"/>
                <w:szCs w:val="21"/>
                <w:highlight w:val="none"/>
                <w:lang w:val="en-US" w:eastAsia="zh-CN"/>
              </w:rPr>
              <w:t>综上所述</w:t>
            </w:r>
            <w:r>
              <w:rPr>
                <w:rFonts w:hint="eastAsia"/>
                <w:bCs/>
                <w:color w:val="auto"/>
                <w:sz w:val="21"/>
                <w:szCs w:val="21"/>
                <w:highlight w:val="none"/>
              </w:rPr>
              <w:t>，本项目建设符合</w:t>
            </w:r>
            <w:r>
              <w:rPr>
                <w:rFonts w:eastAsia="新宋体"/>
                <w:color w:val="auto"/>
                <w:sz w:val="21"/>
                <w:szCs w:val="21"/>
                <w:highlight w:val="none"/>
              </w:rPr>
              <w:t>《</w:t>
            </w:r>
            <w:r>
              <w:rPr>
                <w:rFonts w:hint="eastAsia" w:eastAsia="新宋体"/>
                <w:color w:val="auto"/>
                <w:sz w:val="21"/>
                <w:szCs w:val="21"/>
                <w:highlight w:val="none"/>
              </w:rPr>
              <w:t>省生态环境厅关于海门经济技术开发区建设规划（2022-2035年）环境影响报告书的审查意见</w:t>
            </w:r>
            <w:r>
              <w:rPr>
                <w:rFonts w:eastAsia="新宋体"/>
                <w:color w:val="auto"/>
                <w:sz w:val="21"/>
                <w:szCs w:val="21"/>
                <w:highlight w:val="none"/>
              </w:rPr>
              <w:t>》（</w:t>
            </w:r>
            <w:r>
              <w:rPr>
                <w:rFonts w:hint="eastAsia" w:eastAsia="新宋体"/>
                <w:color w:val="auto"/>
                <w:sz w:val="21"/>
                <w:szCs w:val="21"/>
                <w:highlight w:val="none"/>
              </w:rPr>
              <w:t>苏</w:t>
            </w:r>
            <w:r>
              <w:rPr>
                <w:color w:val="auto"/>
                <w:sz w:val="21"/>
                <w:szCs w:val="21"/>
                <w:highlight w:val="none"/>
              </w:rPr>
              <w:t>环审</w:t>
            </w:r>
            <w:r>
              <w:rPr>
                <w:rFonts w:hint="default" w:ascii="Times New Roman" w:hAnsi="Times New Roman" w:eastAsia="宋体" w:cs="Times New Roman"/>
                <w:color w:val="auto"/>
                <w:sz w:val="18"/>
                <w:szCs w:val="18"/>
                <w:lang w:eastAsia="zh-CN"/>
              </w:rPr>
              <w:t>〔</w:t>
            </w:r>
            <w:r>
              <w:rPr>
                <w:color w:val="auto"/>
                <w:sz w:val="21"/>
                <w:szCs w:val="21"/>
                <w:highlight w:val="none"/>
              </w:rPr>
              <w:t>20</w:t>
            </w:r>
            <w:r>
              <w:rPr>
                <w:rFonts w:hint="eastAsia"/>
                <w:color w:val="auto"/>
                <w:sz w:val="21"/>
                <w:szCs w:val="21"/>
                <w:highlight w:val="none"/>
              </w:rPr>
              <w:t>24</w:t>
            </w:r>
            <w:r>
              <w:rPr>
                <w:rFonts w:hint="default" w:ascii="Times New Roman" w:hAnsi="Times New Roman" w:eastAsia="宋体" w:cs="Times New Roman"/>
                <w:color w:val="auto"/>
                <w:sz w:val="18"/>
                <w:szCs w:val="18"/>
                <w:lang w:eastAsia="zh-CN"/>
              </w:rPr>
              <w:t>〕</w:t>
            </w:r>
            <w:r>
              <w:rPr>
                <w:rFonts w:hint="eastAsia"/>
                <w:color w:val="auto"/>
                <w:sz w:val="21"/>
                <w:szCs w:val="21"/>
                <w:highlight w:val="none"/>
              </w:rPr>
              <w:t>7</w:t>
            </w:r>
            <w:r>
              <w:rPr>
                <w:color w:val="auto"/>
                <w:sz w:val="21"/>
                <w:szCs w:val="21"/>
                <w:highlight w:val="none"/>
              </w:rPr>
              <w:t>号）</w:t>
            </w:r>
            <w:r>
              <w:rPr>
                <w:rFonts w:hint="eastAsia"/>
                <w:color w:val="auto"/>
                <w:sz w:val="21"/>
                <w:szCs w:val="21"/>
                <w:highlight w:val="none"/>
              </w:rPr>
              <w:t>的相关要求。</w:t>
            </w:r>
          </w:p>
          <w:p w14:paraId="7F5F0E80">
            <w:pPr>
              <w:adjustRightInd w:val="0"/>
              <w:snapToGrid w:val="0"/>
              <w:spacing w:line="360" w:lineRule="auto"/>
              <w:ind w:firstLine="422" w:firstLineChars="200"/>
              <w:jc w:val="left"/>
              <w:rPr>
                <w:rFonts w:hint="eastAsia" w:eastAsia="宋体"/>
                <w:b/>
                <w:bCs/>
                <w:color w:val="auto"/>
                <w:kern w:val="11"/>
                <w:sz w:val="21"/>
                <w:szCs w:val="21"/>
                <w:highlight w:val="none"/>
                <w:lang w:eastAsia="zh-CN"/>
              </w:rPr>
            </w:pPr>
            <w:r>
              <w:rPr>
                <w:rFonts w:hint="eastAsia"/>
                <w:b/>
                <w:bCs w:val="0"/>
                <w:color w:val="auto"/>
                <w:sz w:val="21"/>
                <w:szCs w:val="21"/>
                <w:highlight w:val="none"/>
                <w:lang w:val="en-US" w:eastAsia="zh-CN"/>
              </w:rPr>
              <w:t>3、</w:t>
            </w:r>
            <w:r>
              <w:rPr>
                <w:rFonts w:hint="eastAsia"/>
                <w:b/>
                <w:bCs/>
                <w:color w:val="auto"/>
                <w:kern w:val="11"/>
                <w:sz w:val="21"/>
                <w:szCs w:val="21"/>
                <w:highlight w:val="none"/>
                <w:lang w:eastAsia="zh-CN"/>
              </w:rPr>
              <w:t>园区基础设施规划建设情况</w:t>
            </w:r>
          </w:p>
          <w:p w14:paraId="7D54579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园区基础设施规划主要包括：给水工程、排水工程、供热工程、供电工程、燃气工程等。</w:t>
            </w:r>
          </w:p>
          <w:p w14:paraId="4B624F3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①给水工程</w:t>
            </w:r>
          </w:p>
          <w:p w14:paraId="176A5F7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规划2035年海门经济技术开发区总用水量为20万立方米/日。开发区规划由海门长江水厂及南通区域供水联合供给。海门长江水厂以长江为供水水源，取水口规模为10万立方米/日，规划远期供水能力扩容至20万立方米/日。区域供水主要依托通久线、通吕线，通久线现状供给海门15.0万立方米/日，规划供水增加至25万立方米/日，通吕线供水8.5万立方米/日保持不变，通汇线供水</w:t>
            </w:r>
            <w:r>
              <w:rPr>
                <w:rFonts w:hint="eastAsia"/>
                <w:color w:val="auto"/>
                <w:kern w:val="11"/>
                <w:sz w:val="21"/>
                <w:szCs w:val="21"/>
                <w:highlight w:val="none"/>
                <w:lang w:val="en-US" w:eastAsia="zh-CN"/>
              </w:rPr>
              <w:t>5</w:t>
            </w:r>
            <w:r>
              <w:rPr>
                <w:rFonts w:hint="eastAsia"/>
                <w:color w:val="auto"/>
                <w:kern w:val="11"/>
                <w:sz w:val="21"/>
                <w:szCs w:val="21"/>
                <w:highlight w:val="none"/>
              </w:rPr>
              <w:t>万立方米/日，远期区域供水规模达到38.5万立方米/日，污水处理厂中水回用规模5.5万立方米/日，总供水能力为64万立方米/日。</w:t>
            </w:r>
          </w:p>
          <w:p w14:paraId="37C8251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开发区现状由海门长江水厂及南通区域供水联合供给，互联互通。给水干管环状布置，规划沿滨港大道向北敷设2根DN1200毫米引入管接通久线区域供水管。南北向主干管布置在叠港路、富江路、北海路、瑞江路、望江路；东西向主干管布置在336省道、丝绸路、北京路、海门大道、香港路。主干管管径DN500~DN1400，其它道路上布置DN200~DN400供水管。管道沿道路敷设，红线大于40米的道路应布置双管。</w:t>
            </w:r>
          </w:p>
          <w:p w14:paraId="51D0AE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eastAsia="宋体"/>
                <w:color w:val="auto"/>
                <w:kern w:val="11"/>
                <w:sz w:val="21"/>
                <w:szCs w:val="21"/>
                <w:highlight w:val="none"/>
                <w:lang w:val="en-US" w:eastAsia="zh-CN"/>
              </w:rPr>
            </w:pPr>
            <w:r>
              <w:rPr>
                <w:rFonts w:hint="eastAsia"/>
                <w:color w:val="auto"/>
                <w:kern w:val="11"/>
                <w:sz w:val="21"/>
                <w:szCs w:val="21"/>
                <w:highlight w:val="none"/>
                <w:lang w:val="en-US" w:eastAsia="zh-CN"/>
              </w:rPr>
              <w:t>本项目不新增供水需求，无需依托供水工程设施。</w:t>
            </w:r>
          </w:p>
          <w:p w14:paraId="46E26F9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②排水工程</w:t>
            </w:r>
          </w:p>
          <w:p w14:paraId="34CE3CC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规划排水体制采用雨污分流制，雨水就近排入水体，污水集中处理后排放。</w:t>
            </w:r>
          </w:p>
          <w:p w14:paraId="775C1B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雨水工程规划：新建及改造地区严格采用雨污分流制；部分地区近期采用分流制有困难时，可采用截流式雨污合流制，远期逐步过渡到雨污分流制。雨水管道就近接入片区内水体。雨水支管按照重力流为原则，沿道路顺坡敷设，收集雨水并以最短的距离接入雨水干管中。</w:t>
            </w:r>
          </w:p>
          <w:p w14:paraId="3F02171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污水工程规划：开发区污水规划由海门经济技术开发区污水处理厂、开发区污水厂工业绿岛（重金属废水零排放）项目和区外的海门东洲水处理有限公司集中处理。</w:t>
            </w:r>
          </w:p>
          <w:p w14:paraId="4E9DF3F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eastAsia="宋体"/>
                <w:color w:val="auto"/>
                <w:kern w:val="11"/>
                <w:sz w:val="21"/>
                <w:szCs w:val="21"/>
                <w:highlight w:val="none"/>
                <w:lang w:val="en-US" w:eastAsia="zh-CN"/>
              </w:rPr>
            </w:pPr>
            <w:r>
              <w:rPr>
                <w:rFonts w:hint="eastAsia"/>
                <w:color w:val="auto"/>
                <w:kern w:val="11"/>
                <w:sz w:val="21"/>
                <w:szCs w:val="21"/>
                <w:highlight w:val="none"/>
                <w:lang w:val="en-US" w:eastAsia="zh-CN"/>
              </w:rPr>
              <w:t>本项目不新增排水，无需依托排水工程设施。</w:t>
            </w:r>
          </w:p>
          <w:p w14:paraId="14DD791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③供电规划</w:t>
            </w:r>
          </w:p>
          <w:p w14:paraId="5792F58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eastAsia="宋体"/>
                <w:color w:val="auto"/>
                <w:kern w:val="11"/>
                <w:sz w:val="21"/>
                <w:szCs w:val="21"/>
                <w:highlight w:val="none"/>
                <w:lang w:val="en-US" w:eastAsia="zh-CN"/>
              </w:rPr>
            </w:pPr>
            <w:r>
              <w:rPr>
                <w:rFonts w:hint="eastAsia"/>
                <w:color w:val="auto"/>
                <w:kern w:val="11"/>
                <w:sz w:val="21"/>
                <w:szCs w:val="21"/>
                <w:highlight w:val="none"/>
              </w:rPr>
              <w:t>规划到2025年，开发区全社会用电量为21亿千瓦时，最高用电负荷为133万千瓦；到2035年，开发区全社会用电量为46.8亿千瓦时，最高用电负荷为141万千瓦，负荷密度2.55万 kW/km</w:t>
            </w:r>
            <w:r>
              <w:rPr>
                <w:rFonts w:hint="eastAsia"/>
                <w:color w:val="auto"/>
                <w:kern w:val="11"/>
                <w:sz w:val="21"/>
                <w:szCs w:val="21"/>
                <w:highlight w:val="none"/>
                <w:vertAlign w:val="superscript"/>
              </w:rPr>
              <w:t>2</w:t>
            </w:r>
            <w:r>
              <w:rPr>
                <w:rFonts w:hint="eastAsia"/>
                <w:color w:val="auto"/>
                <w:kern w:val="11"/>
                <w:sz w:val="21"/>
                <w:szCs w:val="21"/>
                <w:highlight w:val="none"/>
              </w:rPr>
              <w:t>。</w:t>
            </w:r>
            <w:r>
              <w:rPr>
                <w:rFonts w:hint="eastAsia"/>
                <w:color w:val="auto"/>
                <w:kern w:val="11"/>
                <w:sz w:val="21"/>
                <w:szCs w:val="21"/>
                <w:highlight w:val="none"/>
                <w:lang w:val="en-US" w:eastAsia="zh-CN"/>
              </w:rPr>
              <w:t>本项目仅新增一套磁控溅射设备，新增设备较少，总用电量较低，不会对现有供电系统造成冲击。</w:t>
            </w:r>
          </w:p>
          <w:p w14:paraId="497DD01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④燃气工程</w:t>
            </w:r>
          </w:p>
          <w:p w14:paraId="0C83D9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预测开发区至2035年天然气年用气量将达10500万 Nm</w:t>
            </w:r>
            <w:r>
              <w:rPr>
                <w:rFonts w:hint="eastAsia"/>
                <w:color w:val="auto"/>
                <w:kern w:val="11"/>
                <w:sz w:val="21"/>
                <w:szCs w:val="21"/>
                <w:highlight w:val="none"/>
                <w:vertAlign w:val="superscript"/>
                <w:lang w:val="en-US" w:eastAsia="zh-CN"/>
              </w:rPr>
              <w:t>3</w:t>
            </w:r>
            <w:r>
              <w:rPr>
                <w:rFonts w:hint="eastAsia"/>
                <w:color w:val="auto"/>
                <w:kern w:val="11"/>
                <w:sz w:val="21"/>
                <w:szCs w:val="21"/>
                <w:highlight w:val="none"/>
              </w:rPr>
              <w:t>/年。区域用气以天然气为主，上级气源来自规划城东门站和城西门站，通过滨江高中压调压站和海门高中压调压站调至0.4MPa后，通过中压燃气管为本片区供气。</w:t>
            </w:r>
          </w:p>
          <w:p w14:paraId="25A905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规划在丝绸路、叠港公路交界区域，新建一座城西门站，接收刘桥分输站引入的西气东输天然气或中俄管道天然气。规划新建2座高中压调压站，1 座位于位于上海路、嫩江路交界处，规划设计规模为6万 m³/时；另1座滨江高中压调压站，位于珠海路、扬子江路交界处，规划设计规模为2万</w:t>
            </w:r>
            <w:r>
              <w:rPr>
                <w:rFonts w:hint="eastAsia"/>
                <w:color w:val="auto"/>
                <w:kern w:val="11"/>
                <w:sz w:val="21"/>
                <w:szCs w:val="21"/>
                <w:highlight w:val="none"/>
                <w:lang w:val="en-US" w:eastAsia="zh-CN"/>
              </w:rPr>
              <w:t>m</w:t>
            </w:r>
            <w:r>
              <w:rPr>
                <w:rFonts w:hint="eastAsia"/>
                <w:color w:val="auto"/>
                <w:kern w:val="11"/>
                <w:sz w:val="21"/>
                <w:szCs w:val="21"/>
                <w:highlight w:val="none"/>
                <w:vertAlign w:val="superscript"/>
                <w:lang w:val="en-US" w:eastAsia="zh-CN"/>
              </w:rPr>
              <w:t>3</w:t>
            </w:r>
            <w:r>
              <w:rPr>
                <w:rFonts w:hint="eastAsia"/>
                <w:color w:val="auto"/>
                <w:kern w:val="11"/>
                <w:sz w:val="21"/>
                <w:szCs w:val="21"/>
                <w:highlight w:val="none"/>
              </w:rPr>
              <w:t>时，为开发区工业企业及周边居民用户服务。燃气管网的布置采用环状为主、环枝结合的方式。</w:t>
            </w:r>
          </w:p>
          <w:p w14:paraId="1CA6810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eastAsia="宋体"/>
                <w:color w:val="auto"/>
                <w:kern w:val="11"/>
                <w:sz w:val="21"/>
                <w:szCs w:val="21"/>
                <w:highlight w:val="none"/>
                <w:lang w:val="en-US" w:eastAsia="zh-CN"/>
              </w:rPr>
            </w:pPr>
            <w:r>
              <w:rPr>
                <w:rFonts w:hint="eastAsia"/>
                <w:color w:val="auto"/>
                <w:kern w:val="11"/>
                <w:sz w:val="21"/>
                <w:szCs w:val="21"/>
                <w:highlight w:val="none"/>
                <w:lang w:val="en-US" w:eastAsia="zh-CN"/>
              </w:rPr>
              <w:t>本项目不使用燃气，无需依托燃气工程设施。</w:t>
            </w:r>
          </w:p>
          <w:p w14:paraId="7EB057D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⑤供热工程</w:t>
            </w:r>
          </w:p>
          <w:p w14:paraId="4EB839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规划区现有</w:t>
            </w:r>
            <w:r>
              <w:rPr>
                <w:rFonts w:hint="eastAsia"/>
                <w:color w:val="auto"/>
                <w:kern w:val="11"/>
                <w:sz w:val="21"/>
                <w:szCs w:val="21"/>
                <w:highlight w:val="none"/>
                <w:lang w:val="en-US" w:eastAsia="zh-CN"/>
              </w:rPr>
              <w:t>1</w:t>
            </w:r>
            <w:r>
              <w:rPr>
                <w:rFonts w:hint="eastAsia"/>
                <w:color w:val="auto"/>
                <w:kern w:val="11"/>
                <w:sz w:val="21"/>
                <w:szCs w:val="21"/>
                <w:highlight w:val="none"/>
              </w:rPr>
              <w:t>座热电厂——海门鑫源热电厂，位于秀山路以北、民生河以东，现有总装机容量为2×15MW，配备2×75t/h循环流化床锅炉，最大供热能力为280t/h，年发电能力1.6 亿kWh。2025年规划迁建至开发区青岛路北侧、湘江路东侧，工艺、规模维持不变，以燃煤作为主要燃料，为开发区提供用热服务。</w:t>
            </w:r>
          </w:p>
          <w:p w14:paraId="5B8F3F4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根据《南通市区热电联产规划（2022-2025年）》及其批复（苏发改能源发</w:t>
            </w:r>
            <w:r>
              <w:rPr>
                <w:rFonts w:hint="default" w:ascii="Times New Roman" w:hAnsi="Times New Roman" w:eastAsia="宋体" w:cs="Times New Roman"/>
                <w:color w:val="auto"/>
                <w:sz w:val="18"/>
                <w:szCs w:val="18"/>
                <w:lang w:eastAsia="zh-CN"/>
              </w:rPr>
              <w:t>〔</w:t>
            </w:r>
            <w:r>
              <w:rPr>
                <w:rFonts w:hint="eastAsia"/>
                <w:color w:val="auto"/>
                <w:kern w:val="11"/>
                <w:sz w:val="21"/>
                <w:szCs w:val="21"/>
                <w:highlight w:val="none"/>
              </w:rPr>
              <w:t>2022</w:t>
            </w:r>
            <w:r>
              <w:rPr>
                <w:rFonts w:hint="default" w:ascii="Times New Roman" w:hAnsi="Times New Roman" w:eastAsia="宋体" w:cs="Times New Roman"/>
                <w:color w:val="auto"/>
                <w:sz w:val="18"/>
                <w:szCs w:val="18"/>
                <w:lang w:eastAsia="zh-CN"/>
              </w:rPr>
              <w:t>〕</w:t>
            </w:r>
            <w:r>
              <w:rPr>
                <w:rFonts w:hint="eastAsia"/>
                <w:color w:val="auto"/>
                <w:kern w:val="11"/>
                <w:sz w:val="21"/>
                <w:szCs w:val="21"/>
                <w:highlight w:val="none"/>
              </w:rPr>
              <w:t>708号），开发区供热规划两部分组成，南区（张謇大道以西，上海路以南，主要为謇公湖创智区及滨江工业片区）由迁建后的鑫源热电集中供热，规划供热能力为180t/h；北区（张謇大道以东，上海路以北，主要为老城更新赋能片区）由区外南通深泰热电有限公司（原大千热电）供热，规划提供的供热负荷为60t/h。</w:t>
            </w:r>
          </w:p>
          <w:p w14:paraId="5DD9A7C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保留中心城区现状供热管，规划从燃气蒸汽联合循环热源点新增 1 条DN400供热干管。规划在开发区主要道路下敷设DN300~DN500供热干管。其中，向南沿滨港大道敷设一条DN350管道与滨江支线相连，长度约3.5km；向西至湘江路折向南至福州路，敷设一条DN500管道，长度约3公里；向北沿浒通河敷设DN350管线敷设至顾艺印染，长度约10公里。</w:t>
            </w:r>
          </w:p>
          <w:p w14:paraId="7E22FEF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eastAsia="宋体"/>
                <w:color w:val="auto"/>
                <w:kern w:val="11"/>
                <w:sz w:val="21"/>
                <w:szCs w:val="21"/>
                <w:highlight w:val="none"/>
                <w:lang w:val="en-US" w:eastAsia="zh-CN"/>
              </w:rPr>
            </w:pPr>
            <w:r>
              <w:rPr>
                <w:rFonts w:hint="eastAsia"/>
                <w:color w:val="auto"/>
                <w:kern w:val="11"/>
                <w:sz w:val="21"/>
                <w:szCs w:val="21"/>
                <w:highlight w:val="none"/>
                <w:lang w:val="en-US" w:eastAsia="zh-CN"/>
              </w:rPr>
              <w:t>本项目无需外购热量，无需依托供热工程设施。</w:t>
            </w:r>
          </w:p>
          <w:p w14:paraId="6AEE97F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⑥固废处置工程</w:t>
            </w:r>
          </w:p>
          <w:p w14:paraId="33B6C6D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近期生活垃圾送启东滨江工业园区垃圾焚烧厂处理；远期结合海门生活垃圾产生情况及启东垃圾焚烧厂的扩建条件，由启东滨江工业园区垃圾焚烧厂或海门自建垃圾焚烧厂（包场环保产业园）统一处理。餐厨垃圾送至海门-启东联合建设的餐厨废弃物处理中心处理。</w:t>
            </w:r>
          </w:p>
          <w:p w14:paraId="1D0DC7F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eastAsia="宋体"/>
                <w:color w:val="auto"/>
                <w:kern w:val="11"/>
                <w:sz w:val="21"/>
                <w:szCs w:val="21"/>
                <w:highlight w:val="none"/>
                <w:lang w:val="en-US" w:eastAsia="zh-CN"/>
              </w:rPr>
            </w:pPr>
            <w:r>
              <w:rPr>
                <w:rFonts w:hint="eastAsia"/>
                <w:color w:val="auto"/>
                <w:kern w:val="11"/>
                <w:sz w:val="21"/>
                <w:szCs w:val="21"/>
                <w:highlight w:val="none"/>
              </w:rPr>
              <w:t>规划在苏州路北、湘江路东新建海门经开区固体废物储运中心，用地面积约8.5公顷。工业固废由专业单位进行统一收集至规划新建海门经济开发区固体废物储运中心，根据种类分别委外处置。</w:t>
            </w:r>
            <w:r>
              <w:rPr>
                <w:rFonts w:hint="eastAsia"/>
                <w:color w:val="auto"/>
                <w:kern w:val="11"/>
                <w:sz w:val="21"/>
                <w:szCs w:val="21"/>
                <w:highlight w:val="none"/>
                <w:lang w:val="en-US" w:eastAsia="zh-CN"/>
              </w:rPr>
              <w:t>本项目固废均妥善处置，不会造成二次污染。</w:t>
            </w:r>
          </w:p>
          <w:p w14:paraId="368BA8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11"/>
                <w:sz w:val="21"/>
                <w:szCs w:val="21"/>
                <w:highlight w:val="none"/>
              </w:rPr>
            </w:pPr>
            <w:r>
              <w:rPr>
                <w:rFonts w:hint="eastAsia"/>
                <w:color w:val="auto"/>
                <w:kern w:val="11"/>
                <w:sz w:val="21"/>
                <w:szCs w:val="21"/>
                <w:highlight w:val="none"/>
              </w:rPr>
              <w:t>综上，园区基础设施配套建设完善，拟建项目依托可行。</w:t>
            </w:r>
          </w:p>
          <w:p w14:paraId="39A17D36">
            <w:pPr>
              <w:keepNext w:val="0"/>
              <w:keepLines w:val="0"/>
              <w:pageBreakBefore w:val="0"/>
              <w:wordWrap/>
              <w:topLinePunct w:val="0"/>
              <w:autoSpaceDE w:val="0"/>
              <w:autoSpaceDN w:val="0"/>
              <w:bidi w:val="0"/>
              <w:adjustRightInd w:val="0"/>
              <w:snapToGrid w:val="0"/>
              <w:spacing w:line="360" w:lineRule="auto"/>
              <w:ind w:left="0" w:right="0" w:firstLine="422"/>
              <w:rPr>
                <w:b/>
                <w:bCs/>
                <w:color w:val="auto"/>
                <w:kern w:val="0"/>
                <w:szCs w:val="21"/>
              </w:rPr>
            </w:pPr>
            <w:r>
              <w:rPr>
                <w:rFonts w:hint="eastAsia"/>
                <w:b/>
                <w:bCs/>
                <w:color w:val="auto"/>
                <w:kern w:val="0"/>
                <w:szCs w:val="21"/>
                <w:lang w:val="en-US" w:eastAsia="zh-CN"/>
              </w:rPr>
              <w:t>4</w:t>
            </w:r>
            <w:r>
              <w:rPr>
                <w:b/>
                <w:bCs/>
                <w:color w:val="auto"/>
                <w:kern w:val="0"/>
                <w:szCs w:val="21"/>
              </w:rPr>
              <w:t>、与国土空间规划相符性分析</w:t>
            </w:r>
          </w:p>
          <w:p w14:paraId="0C554460">
            <w:pPr>
              <w:autoSpaceDE w:val="0"/>
              <w:autoSpaceDN w:val="0"/>
              <w:adjustRightInd w:val="0"/>
              <w:snapToGrid w:val="0"/>
              <w:spacing w:line="360" w:lineRule="auto"/>
              <w:ind w:firstLine="420" w:firstLineChars="200"/>
              <w:rPr>
                <w:rFonts w:hint="eastAsia" w:eastAsia="宋体"/>
                <w:color w:val="auto"/>
                <w:spacing w:val="9"/>
                <w:lang w:val="en-US" w:eastAsia="zh-CN"/>
              </w:rPr>
            </w:pPr>
            <w:r>
              <w:rPr>
                <w:rFonts w:hint="eastAsia"/>
                <w:b w:val="0"/>
                <w:bCs w:val="0"/>
                <w:color w:val="auto"/>
                <w:kern w:val="0"/>
                <w:szCs w:val="21"/>
                <w:highlight w:val="none"/>
                <w:lang w:val="en-US" w:eastAsia="zh-CN"/>
              </w:rPr>
              <w:t>①与</w:t>
            </w:r>
            <w:r>
              <w:rPr>
                <w:rFonts w:hint="eastAsia"/>
                <w:b w:val="0"/>
                <w:bCs w:val="0"/>
                <w:color w:val="auto"/>
                <w:kern w:val="0"/>
                <w:szCs w:val="21"/>
                <w:highlight w:val="none"/>
              </w:rPr>
              <w:t>《南通市国土空间总体规划》（2021-2035年）</w:t>
            </w:r>
            <w:r>
              <w:rPr>
                <w:rFonts w:hint="eastAsia"/>
                <w:b w:val="0"/>
                <w:bCs w:val="0"/>
                <w:color w:val="auto"/>
                <w:kern w:val="0"/>
                <w:szCs w:val="21"/>
                <w:highlight w:val="none"/>
                <w:lang w:val="en-US" w:eastAsia="zh-CN"/>
              </w:rPr>
              <w:t>相符性</w:t>
            </w:r>
          </w:p>
          <w:p w14:paraId="3B62F3BC">
            <w:pPr>
              <w:autoSpaceDE w:val="0"/>
              <w:autoSpaceDN w:val="0"/>
              <w:adjustRightInd w:val="0"/>
              <w:snapToGrid w:val="0"/>
              <w:spacing w:line="360" w:lineRule="auto"/>
              <w:ind w:firstLine="420" w:firstLineChars="200"/>
              <w:rPr>
                <w:rFonts w:hint="default"/>
                <w:b w:val="0"/>
                <w:bCs w:val="0"/>
                <w:color w:val="auto"/>
                <w:kern w:val="0"/>
                <w:szCs w:val="21"/>
                <w:highlight w:val="none"/>
                <w:lang w:val="en-US" w:eastAsia="zh-CN"/>
              </w:rPr>
            </w:pPr>
            <w:r>
              <w:rPr>
                <w:rFonts w:hint="eastAsia"/>
                <w:b w:val="0"/>
                <w:bCs w:val="0"/>
                <w:color w:val="auto"/>
                <w:kern w:val="0"/>
                <w:szCs w:val="21"/>
                <w:highlight w:val="none"/>
                <w:lang w:val="en-US" w:eastAsia="zh-CN"/>
              </w:rPr>
              <w:t>2023年8月，江苏省政府发布了关于《南通市国土空间总体规划（2021—2035年）》的批复（苏政复〔2023〕24号）。根据《南通市国土空间总体规划（2021—2035年）》，规划范围为南通市行政辖区内全部国土空间，包括市域、市辖区和中心城区三个层次。规划基期年为2020年，规划期限为2021—2035年，近期目标年为2025年，规划目标年为2035年，远景展望至2050年。根据《南通市国土空间总体规划（2021—2035年）》，本项目位于海门经济技术开发区扬子江路2288号，位于国土空间规划中的城镇开发边界内，不占用生态红线及基本农田，符合规划要求。</w:t>
            </w:r>
          </w:p>
          <w:p w14:paraId="08FB50AD">
            <w:pPr>
              <w:autoSpaceDE w:val="0"/>
              <w:autoSpaceDN w:val="0"/>
              <w:adjustRightInd w:val="0"/>
              <w:snapToGrid w:val="0"/>
              <w:spacing w:line="360" w:lineRule="auto"/>
              <w:ind w:firstLine="456" w:firstLineChars="200"/>
              <w:rPr>
                <w:rFonts w:hint="eastAsia"/>
                <w:b w:val="0"/>
                <w:bCs w:val="0"/>
                <w:color w:val="auto"/>
                <w:kern w:val="0"/>
                <w:szCs w:val="21"/>
                <w:highlight w:val="none"/>
                <w:lang w:val="en-US" w:eastAsia="zh-CN"/>
              </w:rPr>
            </w:pPr>
            <w:r>
              <w:rPr>
                <w:rFonts w:hint="eastAsia"/>
                <w:color w:val="auto"/>
                <w:spacing w:val="9"/>
                <w:lang w:val="en-US" w:eastAsia="zh-CN"/>
              </w:rPr>
              <w:t>②与</w:t>
            </w:r>
            <w:r>
              <w:rPr>
                <w:rFonts w:hint="default" w:ascii="Times New Roman" w:hAnsi="Times New Roman" w:cs="Times New Roman"/>
                <w:b w:val="0"/>
                <w:bCs/>
                <w:color w:val="auto"/>
                <w:highlight w:val="none"/>
              </w:rPr>
              <w:t>《江苏省政府关于印发江苏省“三线一单”生态环境分区管控方案的通知》（苏政发〔2020〕49号文）</w:t>
            </w:r>
            <w:r>
              <w:rPr>
                <w:rFonts w:hint="eastAsia" w:ascii="Times New Roman" w:hAnsi="Times New Roman" w:cs="Times New Roman"/>
                <w:b w:val="0"/>
                <w:bCs/>
                <w:color w:val="auto"/>
                <w:highlight w:val="none"/>
                <w:lang w:eastAsia="zh-CN"/>
              </w:rPr>
              <w:t>、</w:t>
            </w:r>
            <w:r>
              <w:rPr>
                <w:color w:val="auto"/>
                <w:spacing w:val="9"/>
              </w:rPr>
              <w:t>《省政府关于印发江苏省国土空间规划（</w:t>
            </w:r>
            <w:r>
              <w:rPr>
                <w:rFonts w:eastAsia="Times New Roman" w:cs="Times New Roman"/>
                <w:color w:val="auto"/>
                <w:spacing w:val="9"/>
              </w:rPr>
              <w:t>2021-20</w:t>
            </w:r>
            <w:r>
              <w:rPr>
                <w:rFonts w:eastAsia="Times New Roman" w:cs="Times New Roman"/>
                <w:color w:val="auto"/>
                <w:spacing w:val="8"/>
              </w:rPr>
              <w:t>35</w:t>
            </w:r>
            <w:r>
              <w:rPr>
                <w:color w:val="auto"/>
                <w:spacing w:val="8"/>
              </w:rPr>
              <w:t>年）的通知》（苏政发〔</w:t>
            </w:r>
            <w:r>
              <w:rPr>
                <w:rFonts w:eastAsia="Times New Roman" w:cs="Times New Roman"/>
                <w:color w:val="auto"/>
                <w:spacing w:val="8"/>
              </w:rPr>
              <w:t>2023</w:t>
            </w:r>
            <w:r>
              <w:rPr>
                <w:color w:val="auto"/>
                <w:spacing w:val="8"/>
              </w:rPr>
              <w:t>〕</w:t>
            </w:r>
            <w:r>
              <w:rPr>
                <w:rFonts w:eastAsia="Times New Roman" w:cs="Times New Roman"/>
                <w:color w:val="auto"/>
                <w:spacing w:val="8"/>
              </w:rPr>
              <w:t>69</w:t>
            </w:r>
            <w:r>
              <w:rPr>
                <w:color w:val="auto"/>
                <w:spacing w:val="8"/>
              </w:rPr>
              <w:t>号）</w:t>
            </w:r>
            <w:r>
              <w:rPr>
                <w:rFonts w:hint="eastAsia"/>
                <w:color w:val="auto"/>
                <w:spacing w:val="8"/>
                <w:lang w:val="en-US" w:eastAsia="zh-CN"/>
              </w:rPr>
              <w:t>及</w:t>
            </w:r>
            <w:r>
              <w:rPr>
                <w:color w:val="auto"/>
                <w:spacing w:val="8"/>
              </w:rPr>
              <w:t>《江苏省</w:t>
            </w:r>
            <w:r>
              <w:rPr>
                <w:rFonts w:ascii="Times New Roman" w:hAnsi="Times New Roman" w:eastAsia="Times New Roman" w:cs="Times New Roman"/>
                <w:color w:val="auto"/>
                <w:spacing w:val="8"/>
              </w:rPr>
              <w:t>2023</w:t>
            </w:r>
            <w:r>
              <w:rPr>
                <w:color w:val="auto"/>
                <w:spacing w:val="8"/>
              </w:rPr>
              <w:t>年度生态环境分</w:t>
            </w:r>
            <w:r>
              <w:rPr>
                <w:color w:val="auto"/>
                <w:spacing w:val="7"/>
              </w:rPr>
              <w:t>区管控动态更新成果公</w:t>
            </w:r>
            <w:r>
              <w:rPr>
                <w:color w:val="auto"/>
                <w:spacing w:val="1"/>
              </w:rPr>
              <w:t>告》（</w:t>
            </w:r>
            <w:r>
              <w:rPr>
                <w:rFonts w:ascii="Times New Roman" w:hAnsi="Times New Roman" w:eastAsia="Times New Roman" w:cs="Times New Roman"/>
                <w:color w:val="auto"/>
                <w:spacing w:val="1"/>
              </w:rPr>
              <w:t>2024</w:t>
            </w:r>
            <w:r>
              <w:rPr>
                <w:color w:val="auto"/>
                <w:spacing w:val="1"/>
              </w:rPr>
              <w:t>年</w:t>
            </w:r>
            <w:r>
              <w:rPr>
                <w:rFonts w:ascii="Times New Roman" w:hAnsi="Times New Roman" w:eastAsia="Times New Roman" w:cs="Times New Roman"/>
                <w:color w:val="auto"/>
                <w:spacing w:val="1"/>
              </w:rPr>
              <w:t>6</w:t>
            </w:r>
            <w:r>
              <w:rPr>
                <w:color w:val="auto"/>
                <w:spacing w:val="1"/>
              </w:rPr>
              <w:t>月</w:t>
            </w:r>
            <w:r>
              <w:rPr>
                <w:rFonts w:ascii="Times New Roman" w:hAnsi="Times New Roman" w:eastAsia="Times New Roman" w:cs="Times New Roman"/>
                <w:color w:val="auto"/>
                <w:spacing w:val="1"/>
              </w:rPr>
              <w:t>13</w:t>
            </w:r>
            <w:r>
              <w:rPr>
                <w:color w:val="auto"/>
                <w:spacing w:val="1"/>
              </w:rPr>
              <w:t>日）</w:t>
            </w:r>
            <w:r>
              <w:rPr>
                <w:rFonts w:hint="eastAsia"/>
                <w:color w:val="auto"/>
                <w:spacing w:val="1"/>
                <w:lang w:val="en-US" w:eastAsia="zh-CN"/>
              </w:rPr>
              <w:t>相符性</w:t>
            </w:r>
          </w:p>
          <w:p w14:paraId="3048AADD">
            <w:pPr>
              <w:autoSpaceDE w:val="0"/>
              <w:autoSpaceDN w:val="0"/>
              <w:adjustRightInd w:val="0"/>
              <w:snapToGrid w:val="0"/>
              <w:spacing w:line="360" w:lineRule="auto"/>
              <w:ind w:firstLine="420" w:firstLineChars="200"/>
              <w:rPr>
                <w:color w:val="auto"/>
                <w:kern w:val="0"/>
                <w:szCs w:val="21"/>
                <w:highlight w:val="none"/>
              </w:rPr>
            </w:pPr>
            <w:r>
              <w:rPr>
                <w:rFonts w:hint="default" w:ascii="Times New Roman" w:hAnsi="Times New Roman" w:cs="Times New Roman"/>
                <w:b w:val="0"/>
                <w:bCs/>
                <w:color w:val="auto"/>
                <w:highlight w:val="none"/>
              </w:rPr>
              <w:t>对照《江苏省政府关于印发江苏省“三线一单”生态环境分区管控方案的通知》（苏政发〔2020〕49号文）中“（五）落实生态环境管控要求-严格落实生态环境法律法规标准，国家、省和重点区域（流域）环境管理政策，准确把握区域发展战略和生态功能定位，建立完善并落实省域、重点区域（流域）、市域及各类环境管控单元的“1+4+13+N”生态环境分区管控体系，包括全省“1”个总体管控要求，长江流域、太湖流域、淮河流域、沿海地区等“4”个重点区域（流域）管控要求，“13”个设区市管控要求，以及全省“N”个（4365个）环境管控单元的生态环境准入清单。”</w:t>
            </w:r>
            <w:r>
              <w:rPr>
                <w:color w:val="auto"/>
                <w:kern w:val="0"/>
                <w:szCs w:val="21"/>
                <w:highlight w:val="none"/>
              </w:rPr>
              <w:t>对照《省政府关于印发江苏省国家级生态保护红线规划的通知》（苏政发﹝2018﹞74号）中</w:t>
            </w:r>
            <w:r>
              <w:rPr>
                <w:rFonts w:hint="eastAsia"/>
                <w:color w:val="auto"/>
                <w:kern w:val="0"/>
                <w:szCs w:val="21"/>
                <w:highlight w:val="none"/>
              </w:rPr>
              <w:t>“</w:t>
            </w:r>
            <w:r>
              <w:rPr>
                <w:color w:val="auto"/>
                <w:kern w:val="0"/>
                <w:szCs w:val="21"/>
                <w:highlight w:val="none"/>
              </w:rPr>
              <w:t>江苏省国家级生态保护红线规划</w:t>
            </w:r>
            <w:r>
              <w:rPr>
                <w:rFonts w:hint="eastAsia"/>
                <w:color w:val="auto"/>
                <w:kern w:val="0"/>
                <w:szCs w:val="21"/>
                <w:highlight w:val="none"/>
              </w:rPr>
              <w:t>”</w:t>
            </w:r>
            <w:r>
              <w:rPr>
                <w:color w:val="auto"/>
                <w:kern w:val="0"/>
                <w:szCs w:val="21"/>
                <w:highlight w:val="none"/>
              </w:rPr>
              <w:t>，</w:t>
            </w:r>
            <w:r>
              <w:rPr>
                <w:rFonts w:hint="default"/>
                <w:color w:val="auto"/>
                <w:u w:val="none"/>
              </w:rPr>
              <w:t>距离项目最近江苏省国家级生态保护红线</w:t>
            </w:r>
            <w:r>
              <w:rPr>
                <w:rFonts w:hint="default"/>
                <w:color w:val="auto"/>
                <w:u w:val="none"/>
                <w:lang w:val="en-US" w:eastAsia="zh-CN"/>
              </w:rPr>
              <w:t>为海门长江饮用水水源保护区，</w:t>
            </w:r>
            <w:r>
              <w:rPr>
                <w:rFonts w:hint="eastAsia"/>
                <w:color w:val="auto"/>
                <w:u w:val="none"/>
                <w:lang w:val="en-US" w:eastAsia="zh-CN"/>
              </w:rPr>
              <w:t>位于本项目东南侧约4.9km，</w:t>
            </w:r>
            <w:r>
              <w:rPr>
                <w:rFonts w:hint="eastAsia"/>
                <w:color w:val="auto"/>
                <w:kern w:val="0"/>
                <w:szCs w:val="21"/>
                <w:highlight w:val="none"/>
              </w:rPr>
              <w:t>本项目不在国家级生态保护红线范围内，</w:t>
            </w:r>
            <w:r>
              <w:rPr>
                <w:color w:val="auto"/>
                <w:kern w:val="0"/>
                <w:szCs w:val="21"/>
                <w:highlight w:val="none"/>
              </w:rPr>
              <w:t>对照《省政府关于印发江苏省生态空间管控区域规划的通知》（苏政发﹝2020﹞1号）中</w:t>
            </w:r>
            <w:r>
              <w:rPr>
                <w:rFonts w:hint="eastAsia"/>
                <w:color w:val="auto"/>
                <w:kern w:val="0"/>
                <w:szCs w:val="21"/>
                <w:highlight w:val="none"/>
              </w:rPr>
              <w:t>“</w:t>
            </w:r>
            <w:r>
              <w:rPr>
                <w:color w:val="auto"/>
                <w:kern w:val="0"/>
                <w:szCs w:val="21"/>
                <w:highlight w:val="none"/>
              </w:rPr>
              <w:t>南通市生态空间保护区域名录</w:t>
            </w:r>
            <w:r>
              <w:rPr>
                <w:rFonts w:hint="eastAsia"/>
                <w:color w:val="auto"/>
                <w:kern w:val="0"/>
                <w:szCs w:val="21"/>
                <w:highlight w:val="none"/>
              </w:rPr>
              <w:t>”以及《江苏省自然资源厅关于南通市海门区生态空间管控区域调整方案的复函》（苏自然资函﹝2024﹞566号）</w:t>
            </w:r>
            <w:r>
              <w:rPr>
                <w:color w:val="auto"/>
                <w:kern w:val="0"/>
                <w:szCs w:val="21"/>
                <w:highlight w:val="none"/>
              </w:rPr>
              <w:t>，距离项目最近的生态空间管控区为海门市沿江堤防生态公益林</w:t>
            </w:r>
            <w:r>
              <w:rPr>
                <w:rFonts w:hint="eastAsia"/>
                <w:color w:val="auto"/>
                <w:kern w:val="0"/>
                <w:szCs w:val="21"/>
                <w:highlight w:val="none"/>
                <w:lang w:eastAsia="zh-CN"/>
              </w:rPr>
              <w:t>，</w:t>
            </w:r>
            <w:r>
              <w:rPr>
                <w:rFonts w:hint="eastAsia"/>
                <w:color w:val="auto"/>
                <w:kern w:val="0"/>
                <w:szCs w:val="21"/>
                <w:highlight w:val="none"/>
                <w:lang w:val="en-US" w:eastAsia="zh-CN"/>
              </w:rPr>
              <w:t>位于本项目东南侧，</w:t>
            </w:r>
            <w:r>
              <w:rPr>
                <w:rFonts w:hint="eastAsia"/>
                <w:color w:val="auto"/>
                <w:kern w:val="0"/>
                <w:szCs w:val="21"/>
                <w:highlight w:val="none"/>
              </w:rPr>
              <w:t>最近距离约为</w:t>
            </w:r>
            <w:r>
              <w:rPr>
                <w:rFonts w:hint="eastAsia"/>
                <w:color w:val="auto"/>
                <w:kern w:val="0"/>
                <w:szCs w:val="21"/>
                <w:highlight w:val="none"/>
                <w:lang w:val="en-US" w:eastAsia="zh-CN"/>
              </w:rPr>
              <w:t>1.9km。</w:t>
            </w:r>
            <w:r>
              <w:rPr>
                <w:color w:val="auto"/>
                <w:kern w:val="0"/>
                <w:szCs w:val="21"/>
                <w:highlight w:val="none"/>
              </w:rPr>
              <w:t>建设项目位于</w:t>
            </w:r>
            <w:r>
              <w:rPr>
                <w:rFonts w:hint="eastAsia"/>
                <w:b w:val="0"/>
                <w:bCs w:val="0"/>
                <w:color w:val="auto"/>
                <w:kern w:val="0"/>
                <w:szCs w:val="21"/>
                <w:highlight w:val="none"/>
                <w:lang w:val="en-US" w:eastAsia="zh-CN"/>
              </w:rPr>
              <w:t>海门经济技术开发区扬子江路2288号现有</w:t>
            </w:r>
            <w:r>
              <w:rPr>
                <w:rFonts w:hint="eastAsia"/>
                <w:color w:val="auto"/>
                <w:highlight w:val="none"/>
                <w:lang w:eastAsia="zh-CN"/>
              </w:rPr>
              <w:t>厂房内</w:t>
            </w:r>
            <w:r>
              <w:rPr>
                <w:color w:val="auto"/>
                <w:kern w:val="0"/>
                <w:szCs w:val="21"/>
                <w:highlight w:val="none"/>
              </w:rPr>
              <w:t>，不属于生态空间管控区内。</w:t>
            </w:r>
          </w:p>
          <w:p w14:paraId="4EB2700D">
            <w:pPr>
              <w:autoSpaceDE w:val="0"/>
              <w:autoSpaceDN w:val="0"/>
              <w:adjustRightInd w:val="0"/>
              <w:snapToGrid w:val="0"/>
              <w:spacing w:line="360" w:lineRule="auto"/>
              <w:ind w:firstLine="420" w:firstLineChars="200"/>
              <w:rPr>
                <w:rFonts w:hint="default"/>
                <w:b w:val="0"/>
                <w:bCs w:val="0"/>
                <w:color w:val="auto"/>
                <w:kern w:val="0"/>
                <w:szCs w:val="21"/>
                <w:highlight w:val="none"/>
                <w:lang w:val="en-US"/>
              </w:rPr>
            </w:pPr>
            <w:r>
              <w:rPr>
                <w:rFonts w:hint="default" w:ascii="Times New Roman" w:hAnsi="Times New Roman" w:cs="Times New Roman"/>
                <w:b w:val="0"/>
                <w:bCs/>
                <w:color w:val="auto"/>
                <w:highlight w:val="none"/>
              </w:rPr>
              <w:t>本项目</w:t>
            </w:r>
            <w:r>
              <w:rPr>
                <w:rFonts w:hint="eastAsia" w:ascii="Times New Roman" w:hAnsi="Times New Roman" w:cs="Times New Roman"/>
                <w:b w:val="0"/>
                <w:bCs/>
                <w:color w:val="auto"/>
                <w:highlight w:val="none"/>
                <w:lang w:val="en-US" w:eastAsia="zh-CN"/>
              </w:rPr>
              <w:t>位于南通市</w:t>
            </w:r>
            <w:r>
              <w:rPr>
                <w:rFonts w:hint="eastAsia"/>
                <w:b w:val="0"/>
                <w:bCs w:val="0"/>
                <w:color w:val="auto"/>
                <w:kern w:val="0"/>
                <w:szCs w:val="21"/>
                <w:highlight w:val="none"/>
                <w:lang w:val="en-US" w:eastAsia="zh-CN"/>
              </w:rPr>
              <w:t>海门经济技术开发区扬子江路2288号</w:t>
            </w:r>
            <w:r>
              <w:rPr>
                <w:rFonts w:hint="eastAsia" w:ascii="Times New Roman" w:hAnsi="Times New Roman" w:cs="Times New Roman"/>
                <w:b w:val="0"/>
                <w:bCs/>
                <w:color w:val="auto"/>
                <w:highlight w:val="none"/>
                <w:lang w:val="en-US" w:eastAsia="zh-CN"/>
              </w:rPr>
              <w:t>，</w:t>
            </w:r>
            <w:r>
              <w:rPr>
                <w:rFonts w:hint="default" w:ascii="Times New Roman" w:hAnsi="Times New Roman" w:cs="Times New Roman"/>
                <w:b w:val="0"/>
                <w:bCs/>
                <w:color w:val="auto"/>
                <w:highlight w:val="none"/>
              </w:rPr>
              <w:t>属于长江流域及沿海地区，</w:t>
            </w:r>
            <w:r>
              <w:rPr>
                <w:rFonts w:hint="eastAsia" w:ascii="Times New Roman" w:hAnsi="Times New Roman" w:cs="Times New Roman"/>
                <w:b w:val="0"/>
                <w:bCs/>
                <w:color w:val="auto"/>
                <w:highlight w:val="none"/>
                <w:lang w:val="en-US" w:eastAsia="zh-CN"/>
              </w:rPr>
              <w:t>与江苏省省域生态环境管控要求相符性分析见</w:t>
            </w:r>
            <w:r>
              <w:rPr>
                <w:rFonts w:hint="eastAsia" w:cs="Times New Roman"/>
                <w:b w:val="0"/>
                <w:bCs/>
                <w:color w:val="auto"/>
                <w:highlight w:val="none"/>
                <w:lang w:val="en-US" w:eastAsia="zh-CN"/>
              </w:rPr>
              <w:t>表1-3，</w:t>
            </w:r>
            <w:r>
              <w:rPr>
                <w:rFonts w:hint="eastAsia" w:ascii="Times New Roman" w:hAnsi="Times New Roman" w:cs="Times New Roman"/>
                <w:b w:val="0"/>
                <w:bCs/>
                <w:color w:val="auto"/>
                <w:highlight w:val="none"/>
                <w:lang w:val="en-US" w:eastAsia="zh-CN"/>
              </w:rPr>
              <w:t>与</w:t>
            </w:r>
            <w:r>
              <w:rPr>
                <w:rFonts w:hint="default" w:ascii="Times New Roman" w:hAnsi="Times New Roman" w:cs="Times New Roman"/>
                <w:b w:val="0"/>
                <w:bCs/>
                <w:color w:val="auto"/>
                <w:highlight w:val="none"/>
              </w:rPr>
              <w:t>江苏省重点区域（流域）生态环境分区管控要求</w:t>
            </w:r>
            <w:r>
              <w:rPr>
                <w:rFonts w:hint="eastAsia" w:ascii="Times New Roman" w:hAnsi="Times New Roman" w:cs="Times New Roman"/>
                <w:b w:val="0"/>
                <w:bCs/>
                <w:color w:val="auto"/>
                <w:highlight w:val="none"/>
                <w:lang w:val="en-US" w:eastAsia="zh-CN"/>
              </w:rPr>
              <w:t>相符性分析见</w:t>
            </w:r>
            <w:r>
              <w:rPr>
                <w:rFonts w:hint="eastAsia" w:cs="Times New Roman"/>
                <w:b w:val="0"/>
                <w:bCs/>
                <w:color w:val="auto"/>
                <w:highlight w:val="none"/>
                <w:lang w:val="en-US" w:eastAsia="zh-CN"/>
              </w:rPr>
              <w:t>表1-4。</w:t>
            </w:r>
          </w:p>
          <w:p w14:paraId="776B07BD">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ascii="Times New Roman" w:hAnsi="Times New Roman" w:cs="Times New Roman"/>
                <w:b/>
                <w:color w:val="auto"/>
                <w:sz w:val="21"/>
                <w:szCs w:val="21"/>
                <w:lang w:eastAsia="zh-CN"/>
              </w:rPr>
            </w:pPr>
            <w:bookmarkStart w:id="1" w:name="_Ref26019"/>
            <w:bookmarkStart w:id="2" w:name="_Ref26006"/>
            <w:r>
              <w:rPr>
                <w:rFonts w:ascii="Times New Roman" w:hAnsi="Times New Roman" w:cs="Times New Roman"/>
                <w:b/>
                <w:color w:val="auto"/>
                <w:sz w:val="21"/>
                <w:szCs w:val="21"/>
                <w:lang w:eastAsia="zh-CN"/>
              </w:rPr>
              <w:t>表</w:t>
            </w:r>
            <w:bookmarkEnd w:id="1"/>
            <w:r>
              <w:rPr>
                <w:rFonts w:hint="eastAsia" w:ascii="Times New Roman" w:hAnsi="Times New Roman" w:cs="Times New Roman"/>
                <w:b/>
                <w:color w:val="auto"/>
                <w:sz w:val="21"/>
                <w:szCs w:val="21"/>
                <w:lang w:val="en-US" w:eastAsia="zh-CN"/>
              </w:rPr>
              <w:t>1-3</w:t>
            </w:r>
            <w:r>
              <w:rPr>
                <w:rFonts w:hint="eastAsia" w:ascii="Times New Roman" w:hAnsi="Times New Roman" w:cs="Times New Roman"/>
                <w:b/>
                <w:color w:val="auto"/>
                <w:sz w:val="21"/>
                <w:szCs w:val="21"/>
                <w:lang w:eastAsia="zh-CN"/>
              </w:rPr>
              <w:t xml:space="preserve"> </w:t>
            </w:r>
            <w:r>
              <w:rPr>
                <w:rFonts w:ascii="Times New Roman" w:hAnsi="Times New Roman" w:cs="Times New Roman"/>
                <w:b/>
                <w:color w:val="auto"/>
                <w:sz w:val="21"/>
                <w:szCs w:val="21"/>
                <w:lang w:eastAsia="zh-CN"/>
              </w:rPr>
              <w:t>与江苏省省域</w:t>
            </w:r>
            <w:r>
              <w:rPr>
                <w:rFonts w:hint="eastAsia" w:ascii="Times New Roman" w:hAnsi="Times New Roman" w:eastAsia="宋体" w:cs="Times New Roman"/>
                <w:b/>
                <w:color w:val="auto"/>
                <w:sz w:val="21"/>
                <w:szCs w:val="21"/>
                <w:highlight w:val="none"/>
                <w:lang w:val="en-US" w:eastAsia="zh-CN"/>
              </w:rPr>
              <w:t>生态</w:t>
            </w:r>
            <w:r>
              <w:rPr>
                <w:rFonts w:ascii="Times New Roman" w:hAnsi="Times New Roman" w:cs="Times New Roman"/>
                <w:b/>
                <w:color w:val="auto"/>
                <w:sz w:val="21"/>
                <w:szCs w:val="21"/>
                <w:lang w:eastAsia="zh-CN"/>
              </w:rPr>
              <w:t>环境管控要求相符性</w:t>
            </w:r>
            <w:bookmarkEnd w:id="2"/>
          </w:p>
          <w:tbl>
            <w:tblPr>
              <w:tblStyle w:val="15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2"/>
              <w:gridCol w:w="4845"/>
              <w:gridCol w:w="1955"/>
              <w:gridCol w:w="483"/>
            </w:tblGrid>
            <w:tr w14:paraId="18F9B5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249" w:type="pct"/>
                  <w:tcBorders>
                    <w:tl2br w:val="nil"/>
                    <w:tr2bl w:val="nil"/>
                  </w:tcBorders>
                  <w:shd w:val="clear" w:color="auto" w:fill="D7D7D7" w:themeFill="background1" w:themeFillShade="D8"/>
                  <w:vAlign w:val="center"/>
                </w:tcPr>
                <w:p w14:paraId="6014D41F">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管控类别</w:t>
                  </w:r>
                </w:p>
              </w:tc>
              <w:tc>
                <w:tcPr>
                  <w:tcW w:w="3159" w:type="pct"/>
                  <w:tcBorders>
                    <w:tl2br w:val="nil"/>
                    <w:tr2bl w:val="nil"/>
                  </w:tcBorders>
                  <w:shd w:val="clear" w:color="auto" w:fill="D7D7D7" w:themeFill="background1" w:themeFillShade="D8"/>
                  <w:vAlign w:val="center"/>
                </w:tcPr>
                <w:p w14:paraId="1A1A89D9">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管控要求</w:t>
                  </w:r>
                </w:p>
              </w:tc>
              <w:tc>
                <w:tcPr>
                  <w:tcW w:w="1275" w:type="pct"/>
                  <w:tcBorders>
                    <w:tl2br w:val="nil"/>
                    <w:tr2bl w:val="nil"/>
                  </w:tcBorders>
                  <w:shd w:val="clear" w:color="auto" w:fill="D7D7D7" w:themeFill="background1" w:themeFillShade="D8"/>
                  <w:vAlign w:val="center"/>
                </w:tcPr>
                <w:p w14:paraId="0727027B">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相符性分析</w:t>
                  </w:r>
                </w:p>
              </w:tc>
              <w:tc>
                <w:tcPr>
                  <w:tcW w:w="315" w:type="pct"/>
                  <w:tcBorders>
                    <w:tl2br w:val="nil"/>
                    <w:tr2bl w:val="nil"/>
                  </w:tcBorders>
                  <w:shd w:val="clear" w:color="auto" w:fill="D7D7D7" w:themeFill="background1" w:themeFillShade="D8"/>
                  <w:vAlign w:val="center"/>
                </w:tcPr>
                <w:p w14:paraId="6C2CD48C">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是否相符</w:t>
                  </w:r>
                </w:p>
              </w:tc>
            </w:tr>
            <w:tr w14:paraId="5BC28B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9" w:type="pct"/>
                  <w:tcBorders>
                    <w:tl2br w:val="nil"/>
                    <w:tr2bl w:val="nil"/>
                  </w:tcBorders>
                  <w:vAlign w:val="center"/>
                </w:tcPr>
                <w:p w14:paraId="7E604D5A">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空间布局约束</w:t>
                  </w:r>
                </w:p>
              </w:tc>
              <w:tc>
                <w:tcPr>
                  <w:tcW w:w="3159" w:type="pct"/>
                  <w:tcBorders>
                    <w:tl2br w:val="nil"/>
                    <w:tr2bl w:val="nil"/>
                  </w:tcBorders>
                  <w:vAlign w:val="center"/>
                </w:tcPr>
                <w:p w14:paraId="4F848449">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①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②牢牢把握推动长江经济带发展“共抓大保护、不搞大开发”战略导向，对省域范围内需要重点保护的岸线、河段和区域实行严格管控，管住控好排放量大、耗能高、产能过剩的产业，推动长江经济带高质量发展。③大幅压减沿长江干支流两侧1公里范围内、环境敏感区域、城镇人口密集区、化工园区外和规模以下化工生产企业，着力破解“重化围江”突出问题，高起点同步推进沿江地区战略性转型和沿海地区战略性布局。④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⑤对列入国家和省规划，涉及生态保护红线和相关法定保护区的重要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275" w:type="pct"/>
                  <w:tcBorders>
                    <w:tl2br w:val="nil"/>
                    <w:tr2bl w:val="nil"/>
                  </w:tcBorders>
                  <w:vAlign w:val="center"/>
                </w:tcPr>
                <w:p w14:paraId="50A0D3BB">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本项目用地为工业用地，位于城镇开发边界线范围内，不涉及基本农田保护区、生态保护区和生态控制区。不属于化工类项目，不涉及钢铁行业。</w:t>
                  </w:r>
                </w:p>
              </w:tc>
              <w:tc>
                <w:tcPr>
                  <w:tcW w:w="315" w:type="pct"/>
                  <w:tcBorders>
                    <w:tl2br w:val="nil"/>
                    <w:tr2bl w:val="nil"/>
                  </w:tcBorders>
                  <w:vAlign w:val="center"/>
                </w:tcPr>
                <w:p w14:paraId="356A042C">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相符</w:t>
                  </w:r>
                </w:p>
              </w:tc>
            </w:tr>
            <w:tr w14:paraId="4F8307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9" w:type="pct"/>
                  <w:tcBorders>
                    <w:tl2br w:val="nil"/>
                    <w:tr2bl w:val="nil"/>
                  </w:tcBorders>
                  <w:vAlign w:val="center"/>
                </w:tcPr>
                <w:p w14:paraId="3BF3C9EA">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污染物排放管控</w:t>
                  </w:r>
                </w:p>
              </w:tc>
              <w:tc>
                <w:tcPr>
                  <w:tcW w:w="3159" w:type="pct"/>
                  <w:tcBorders>
                    <w:tl2br w:val="nil"/>
                    <w:tr2bl w:val="nil"/>
                  </w:tcBorders>
                  <w:vAlign w:val="center"/>
                </w:tcPr>
                <w:p w14:paraId="1295F086">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①坚持生态环境质量只能更好、不能变坏，实施污染物总量控制，以环境容量定产业、定项目、定规模，确保开发建设行为不突破生态环境承载力。②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1275" w:type="pct"/>
                  <w:tcBorders>
                    <w:tl2br w:val="nil"/>
                    <w:tr2bl w:val="nil"/>
                  </w:tcBorders>
                  <w:vAlign w:val="center"/>
                </w:tcPr>
                <w:p w14:paraId="1D390858">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本项目</w:t>
                  </w:r>
                  <w:r>
                    <w:rPr>
                      <w:rFonts w:hint="eastAsia" w:ascii="Times New Roman" w:hAnsi="Times New Roman" w:eastAsia="宋体" w:cs="Times New Roman"/>
                      <w:color w:val="auto"/>
                      <w:sz w:val="18"/>
                      <w:szCs w:val="18"/>
                      <w:lang w:val="en-US" w:eastAsia="zh-CN"/>
                    </w:rPr>
                    <w:t>不属于高耗能行业，不排放废气废水，无需进行总量平衡</w:t>
                  </w:r>
                  <w:r>
                    <w:rPr>
                      <w:rFonts w:hint="default" w:ascii="Times New Roman" w:hAnsi="Times New Roman" w:eastAsia="宋体" w:cs="Times New Roman"/>
                      <w:color w:val="auto"/>
                      <w:sz w:val="18"/>
                      <w:szCs w:val="18"/>
                      <w:lang w:eastAsia="zh-CN"/>
                    </w:rPr>
                    <w:t>。</w:t>
                  </w:r>
                </w:p>
              </w:tc>
              <w:tc>
                <w:tcPr>
                  <w:tcW w:w="315" w:type="pct"/>
                  <w:tcBorders>
                    <w:tl2br w:val="nil"/>
                    <w:tr2bl w:val="nil"/>
                  </w:tcBorders>
                  <w:vAlign w:val="center"/>
                </w:tcPr>
                <w:p w14:paraId="50752073">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相符</w:t>
                  </w:r>
                </w:p>
              </w:tc>
            </w:tr>
            <w:tr w14:paraId="333A7A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9" w:type="pct"/>
                  <w:tcBorders>
                    <w:tl2br w:val="nil"/>
                    <w:tr2bl w:val="nil"/>
                  </w:tcBorders>
                  <w:vAlign w:val="center"/>
                </w:tcPr>
                <w:p w14:paraId="500644AA">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环境风险防控</w:t>
                  </w:r>
                </w:p>
              </w:tc>
              <w:tc>
                <w:tcPr>
                  <w:tcW w:w="3159" w:type="pct"/>
                  <w:tcBorders>
                    <w:tl2br w:val="nil"/>
                    <w:tr2bl w:val="nil"/>
                  </w:tcBorders>
                  <w:vAlign w:val="center"/>
                </w:tcPr>
                <w:p w14:paraId="1B85002E">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①强化饮用水水源环境风险管控。县级以上城市全部建成应急水源或双源供水。②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③强化环境事故应急管理。深化跨部门、跨区域环境应急协调联动，分区域建立环境应急物资储备库。各级工业园区（集聚区）和企业的环境应急装备和储备物资应纳入储备体系。④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275" w:type="pct"/>
                  <w:tcBorders>
                    <w:tl2br w:val="nil"/>
                    <w:tr2bl w:val="nil"/>
                  </w:tcBorders>
                  <w:vAlign w:val="center"/>
                </w:tcPr>
                <w:p w14:paraId="5864B70E">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本项目不属于化工行业，本项目不涉及运输危化品港口码头，企业内储备有足够的环境应急物资，实现环境风险联防联控，故能满足环境风险防控的相关要求。</w:t>
                  </w:r>
                </w:p>
              </w:tc>
              <w:tc>
                <w:tcPr>
                  <w:tcW w:w="315" w:type="pct"/>
                  <w:tcBorders>
                    <w:tl2br w:val="nil"/>
                    <w:tr2bl w:val="nil"/>
                  </w:tcBorders>
                  <w:vAlign w:val="center"/>
                </w:tcPr>
                <w:p w14:paraId="508597CA">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相符</w:t>
                  </w:r>
                </w:p>
              </w:tc>
            </w:tr>
            <w:tr w14:paraId="62A5AB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9" w:type="pct"/>
                  <w:tcBorders>
                    <w:tl2br w:val="nil"/>
                    <w:tr2bl w:val="nil"/>
                  </w:tcBorders>
                  <w:vAlign w:val="center"/>
                </w:tcPr>
                <w:p w14:paraId="764DE583">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资源利用效率要求</w:t>
                  </w:r>
                </w:p>
              </w:tc>
              <w:tc>
                <w:tcPr>
                  <w:tcW w:w="3159" w:type="pct"/>
                  <w:tcBorders>
                    <w:tl2br w:val="nil"/>
                    <w:tr2bl w:val="nil"/>
                  </w:tcBorders>
                  <w:vAlign w:val="center"/>
                </w:tcPr>
                <w:p w14:paraId="256AC814">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①水资源利用总量及效率要求：到2025年，全省用水总量控制在525.9亿立方米以内，万元地区生产总值用水量、万元工业增加值用水量下降完成国家下达目标，农田灌溉水有效利用系数提高到0.625。②土地资源总量要求：到2025年，江苏省耕地保有量不低于5977万亩，其中永久基本农田保护面积不低于5344万亩。③禁燃区要求：在禁燃区内，禁止销售、燃用高污染燃料；禁止新建、扩建燃用高污染燃料的设施，已建成的，应当在城市人民政府规定的期限内改用天然气、页岩气、液化石油气、电或者其他清洁能源。</w:t>
                  </w:r>
                </w:p>
              </w:tc>
              <w:tc>
                <w:tcPr>
                  <w:tcW w:w="1275" w:type="pct"/>
                  <w:tcBorders>
                    <w:tl2br w:val="nil"/>
                    <w:tr2bl w:val="nil"/>
                  </w:tcBorders>
                  <w:vAlign w:val="center"/>
                </w:tcPr>
                <w:p w14:paraId="4E81EF0A">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本</w:t>
                  </w:r>
                  <w:r>
                    <w:rPr>
                      <w:rFonts w:hint="default" w:ascii="Times New Roman" w:hAnsi="Times New Roman" w:eastAsia="宋体" w:cs="Times New Roman"/>
                      <w:color w:val="auto"/>
                      <w:sz w:val="18"/>
                      <w:szCs w:val="18"/>
                      <w:lang w:eastAsia="zh-CN"/>
                    </w:rPr>
                    <w:t>项目不新增用地，现有用地为工业用地，不占用耕地或农田；未使用高污染燃料，故符合相关要求。</w:t>
                  </w:r>
                </w:p>
              </w:tc>
              <w:tc>
                <w:tcPr>
                  <w:tcW w:w="315" w:type="pct"/>
                  <w:tcBorders>
                    <w:tl2br w:val="nil"/>
                    <w:tr2bl w:val="nil"/>
                  </w:tcBorders>
                  <w:vAlign w:val="center"/>
                </w:tcPr>
                <w:p w14:paraId="578242C6">
                  <w:pPr>
                    <w:pStyle w:val="64"/>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相符</w:t>
                  </w:r>
                </w:p>
              </w:tc>
            </w:tr>
          </w:tbl>
          <w:p w14:paraId="251587F7">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表1-4  与江苏省重点区域（流域）生态环境分区管控要求相符性</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4066"/>
              <w:gridCol w:w="1975"/>
              <w:gridCol w:w="745"/>
            </w:tblGrid>
            <w:tr w14:paraId="04860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shd w:val="clear" w:color="auto" w:fill="D7D7D7" w:themeFill="background1" w:themeFillShade="D8"/>
                  <w:noWrap w:val="0"/>
                  <w:vAlign w:val="center"/>
                </w:tcPr>
                <w:p w14:paraId="5758C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highlight w:val="none"/>
                    </w:rPr>
                  </w:pPr>
                  <w:r>
                    <w:rPr>
                      <w:b/>
                      <w:bCs/>
                      <w:color w:val="auto"/>
                      <w:sz w:val="18"/>
                      <w:szCs w:val="18"/>
                      <w:highlight w:val="none"/>
                    </w:rPr>
                    <w:t>管控类别</w:t>
                  </w:r>
                </w:p>
              </w:tc>
              <w:tc>
                <w:tcPr>
                  <w:tcW w:w="2652" w:type="pct"/>
                  <w:shd w:val="clear" w:color="auto" w:fill="D7D7D7" w:themeFill="background1" w:themeFillShade="D8"/>
                  <w:noWrap w:val="0"/>
                  <w:vAlign w:val="center"/>
                </w:tcPr>
                <w:p w14:paraId="6D4B65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highlight w:val="none"/>
                    </w:rPr>
                  </w:pPr>
                  <w:r>
                    <w:rPr>
                      <w:b/>
                      <w:bCs/>
                      <w:color w:val="auto"/>
                      <w:sz w:val="18"/>
                      <w:szCs w:val="18"/>
                      <w:highlight w:val="none"/>
                    </w:rPr>
                    <w:t>重点管控要求</w:t>
                  </w:r>
                </w:p>
              </w:tc>
              <w:tc>
                <w:tcPr>
                  <w:tcW w:w="1287" w:type="pct"/>
                  <w:shd w:val="clear" w:color="auto" w:fill="D7D7D7" w:themeFill="background1" w:themeFillShade="D8"/>
                  <w:noWrap w:val="0"/>
                  <w:vAlign w:val="center"/>
                </w:tcPr>
                <w:p w14:paraId="1DC8C0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highlight w:val="none"/>
                    </w:rPr>
                  </w:pPr>
                  <w:r>
                    <w:rPr>
                      <w:b/>
                      <w:bCs/>
                      <w:color w:val="auto"/>
                      <w:sz w:val="18"/>
                      <w:szCs w:val="18"/>
                      <w:highlight w:val="none"/>
                    </w:rPr>
                    <w:t>相符性分析</w:t>
                  </w:r>
                </w:p>
              </w:tc>
              <w:tc>
                <w:tcPr>
                  <w:tcW w:w="485" w:type="pct"/>
                  <w:shd w:val="clear" w:color="auto" w:fill="D7D7D7" w:themeFill="background1" w:themeFillShade="D8"/>
                  <w:noWrap w:val="0"/>
                  <w:vAlign w:val="center"/>
                </w:tcPr>
                <w:p w14:paraId="1BA2E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highlight w:val="none"/>
                    </w:rPr>
                  </w:pPr>
                  <w:r>
                    <w:rPr>
                      <w:rFonts w:hint="eastAsia" w:ascii="Times New Roman" w:hAnsi="Times New Roman" w:eastAsia="宋体" w:cs="Times New Roman"/>
                      <w:b/>
                      <w:bCs/>
                      <w:color w:val="auto"/>
                      <w:sz w:val="18"/>
                      <w:szCs w:val="18"/>
                      <w:lang w:val="en-US" w:eastAsia="zh-CN"/>
                    </w:rPr>
                    <w:t>是否相符</w:t>
                  </w:r>
                </w:p>
              </w:tc>
            </w:tr>
            <w:tr w14:paraId="6FFAD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14:paraId="03753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18"/>
                      <w:szCs w:val="18"/>
                      <w:highlight w:val="none"/>
                    </w:rPr>
                  </w:pPr>
                  <w:r>
                    <w:rPr>
                      <w:rFonts w:hint="eastAsia"/>
                      <w:b/>
                      <w:bCs/>
                      <w:color w:val="auto"/>
                      <w:sz w:val="18"/>
                      <w:szCs w:val="18"/>
                      <w:highlight w:val="none"/>
                    </w:rPr>
                    <w:t>一、长江流域</w:t>
                  </w:r>
                </w:p>
              </w:tc>
            </w:tr>
            <w:tr w14:paraId="23339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noWrap w:val="0"/>
                  <w:vAlign w:val="center"/>
                </w:tcPr>
                <w:p w14:paraId="54698D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color w:val="auto"/>
                      <w:sz w:val="18"/>
                      <w:szCs w:val="18"/>
                      <w:highlight w:val="none"/>
                    </w:rPr>
                    <w:t>空间布局约束</w:t>
                  </w:r>
                </w:p>
              </w:tc>
              <w:tc>
                <w:tcPr>
                  <w:tcW w:w="2652" w:type="pct"/>
                  <w:noWrap w:val="0"/>
                  <w:vAlign w:val="center"/>
                </w:tcPr>
                <w:p w14:paraId="5F5F6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1、始终把长江生态修复放在首位，坚持共抓大保护、不搞大开发，引导长江流域产业转型升级和布局优化调整，实现科学发展、有序发展、高质量发展。</w:t>
                  </w:r>
                </w:p>
                <w:p w14:paraId="2092CE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2、加强生态空间保护，禁止在国家确定的生态保护红线和永久基本农田范围内，投资建设除国家重大战略资源勒查项目、生态保护修复和地质灾害治理项目、重大基础设施项目、军事国防项目以及农民基本生产生活等必要的民生项目以外的项目。</w:t>
                  </w:r>
                </w:p>
                <w:p w14:paraId="0C508C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36F6E0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594D6A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5、禁止新建独立焦化项目。</w:t>
                  </w:r>
                </w:p>
              </w:tc>
              <w:tc>
                <w:tcPr>
                  <w:tcW w:w="1287" w:type="pct"/>
                  <w:noWrap w:val="0"/>
                  <w:vAlign w:val="center"/>
                </w:tcPr>
                <w:p w14:paraId="59EB1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本项目为C2921塑料薄膜制造，选址不在国家级生态红线内，不在江苏省生态空间管控区内，不属于石油化工等规定的禁止项目，不涉及码头，不属于独立焦化项目。</w:t>
                  </w:r>
                </w:p>
              </w:tc>
              <w:tc>
                <w:tcPr>
                  <w:tcW w:w="485" w:type="pct"/>
                  <w:noWrap w:val="0"/>
                  <w:vAlign w:val="center"/>
                </w:tcPr>
                <w:p w14:paraId="7025AE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highlight w:val="none"/>
                    </w:rPr>
                  </w:pPr>
                </w:p>
              </w:tc>
            </w:tr>
            <w:tr w14:paraId="2FE80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noWrap w:val="0"/>
                  <w:vAlign w:val="center"/>
                </w:tcPr>
                <w:p w14:paraId="47609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color w:val="auto"/>
                      <w:sz w:val="18"/>
                      <w:szCs w:val="18"/>
                      <w:highlight w:val="none"/>
                    </w:rPr>
                    <w:t>污染物排放管控</w:t>
                  </w:r>
                </w:p>
              </w:tc>
              <w:tc>
                <w:tcPr>
                  <w:tcW w:w="2652" w:type="pct"/>
                  <w:noWrap w:val="0"/>
                  <w:vAlign w:val="center"/>
                </w:tcPr>
                <w:p w14:paraId="163518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1、根据《江苏省长江水污染防治条例》实施污染物总量控制制度。</w:t>
                  </w:r>
                </w:p>
                <w:p w14:paraId="5F86EF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2、全面加强和规范长江入河排污口管理，有效管控入河污染物排放，形成权责清晰、监控到位、管理规范的长江入河排污口体系，加快改善长江水环境质量。</w:t>
                  </w:r>
                </w:p>
              </w:tc>
              <w:tc>
                <w:tcPr>
                  <w:tcW w:w="1287" w:type="pct"/>
                  <w:noWrap w:val="0"/>
                  <w:vAlign w:val="center"/>
                </w:tcPr>
                <w:p w14:paraId="05755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color w:val="auto"/>
                      <w:sz w:val="18"/>
                      <w:szCs w:val="18"/>
                      <w:highlight w:val="none"/>
                    </w:rPr>
                    <w:t>本项目</w:t>
                  </w:r>
                  <w:r>
                    <w:rPr>
                      <w:rFonts w:hint="eastAsia" w:ascii="Times New Roman"/>
                      <w:color w:val="auto"/>
                      <w:spacing w:val="-2"/>
                      <w:kern w:val="2"/>
                      <w:sz w:val="18"/>
                      <w:szCs w:val="18"/>
                      <w:highlight w:val="none"/>
                      <w:lang w:eastAsia="zh-CN"/>
                    </w:rPr>
                    <w:t>无需申请总量</w:t>
                  </w:r>
                  <w:r>
                    <w:rPr>
                      <w:rFonts w:hint="eastAsia" w:ascii="Times New Roman"/>
                      <w:color w:val="auto"/>
                      <w:spacing w:val="-2"/>
                      <w:kern w:val="2"/>
                      <w:sz w:val="18"/>
                      <w:szCs w:val="18"/>
                      <w:highlight w:val="none"/>
                    </w:rPr>
                    <w:t>。</w:t>
                  </w:r>
                  <w:r>
                    <w:rPr>
                      <w:rFonts w:hint="eastAsia"/>
                      <w:color w:val="auto"/>
                      <w:sz w:val="18"/>
                      <w:szCs w:val="18"/>
                      <w:highlight w:val="none"/>
                    </w:rPr>
                    <w:t>项目不设长江入河排污口。</w:t>
                  </w:r>
                </w:p>
              </w:tc>
              <w:tc>
                <w:tcPr>
                  <w:tcW w:w="485" w:type="pct"/>
                  <w:noWrap w:val="0"/>
                  <w:vAlign w:val="center"/>
                </w:tcPr>
                <w:p w14:paraId="4E78C2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p>
              </w:tc>
            </w:tr>
            <w:tr w14:paraId="077F3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noWrap w:val="0"/>
                  <w:vAlign w:val="center"/>
                </w:tcPr>
                <w:p w14:paraId="5684AF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color w:val="auto"/>
                      <w:sz w:val="18"/>
                      <w:szCs w:val="18"/>
                      <w:highlight w:val="none"/>
                    </w:rPr>
                    <w:t>环境风险防控</w:t>
                  </w:r>
                </w:p>
              </w:tc>
              <w:tc>
                <w:tcPr>
                  <w:tcW w:w="2652" w:type="pct"/>
                  <w:noWrap w:val="0"/>
                  <w:vAlign w:val="center"/>
                </w:tcPr>
                <w:p w14:paraId="165204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1、防范沿江环境风险。深化沿江石化、化工、医药、纺织、印染、化纤、危化品和石油类仓储、涉重金属和危险废物处置等重点企业环境风险防控。</w:t>
                  </w:r>
                </w:p>
                <w:p w14:paraId="5F221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2、加强饮用水水源保护。优化水源保护区划定，推动饮用水水源地规范化建设。</w:t>
                  </w:r>
                </w:p>
              </w:tc>
              <w:tc>
                <w:tcPr>
                  <w:tcW w:w="1287" w:type="pct"/>
                  <w:noWrap w:val="0"/>
                  <w:vAlign w:val="center"/>
                </w:tcPr>
                <w:p w14:paraId="221A62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本项目建成后能够满足环境风险防控的相关要求，本项目不在饮用水水源保护区内。</w:t>
                  </w:r>
                </w:p>
              </w:tc>
              <w:tc>
                <w:tcPr>
                  <w:tcW w:w="485" w:type="pct"/>
                  <w:noWrap w:val="0"/>
                  <w:vAlign w:val="center"/>
                </w:tcPr>
                <w:p w14:paraId="282959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highlight w:val="none"/>
                    </w:rPr>
                  </w:pPr>
                </w:p>
              </w:tc>
            </w:tr>
            <w:tr w14:paraId="0AF3F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noWrap w:val="0"/>
                  <w:vAlign w:val="center"/>
                </w:tcPr>
                <w:p w14:paraId="52758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color w:val="auto"/>
                      <w:sz w:val="18"/>
                      <w:szCs w:val="18"/>
                      <w:highlight w:val="none"/>
                    </w:rPr>
                    <w:t>资源利用效率要求</w:t>
                  </w:r>
                </w:p>
              </w:tc>
              <w:tc>
                <w:tcPr>
                  <w:tcW w:w="2652" w:type="pct"/>
                  <w:noWrap w:val="0"/>
                  <w:vAlign w:val="center"/>
                </w:tcPr>
                <w:p w14:paraId="5DD23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到2020年长江干支流自然岸线保有率达到国家要求。</w:t>
                  </w:r>
                </w:p>
              </w:tc>
              <w:tc>
                <w:tcPr>
                  <w:tcW w:w="1287" w:type="pct"/>
                  <w:noWrap w:val="0"/>
                  <w:vAlign w:val="center"/>
                </w:tcPr>
                <w:p w14:paraId="42799F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本项目不在长江干支流自然岸线。</w:t>
                  </w:r>
                </w:p>
              </w:tc>
              <w:tc>
                <w:tcPr>
                  <w:tcW w:w="485" w:type="pct"/>
                  <w:noWrap w:val="0"/>
                  <w:vAlign w:val="center"/>
                </w:tcPr>
                <w:p w14:paraId="792AF5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highlight w:val="none"/>
                    </w:rPr>
                  </w:pPr>
                </w:p>
              </w:tc>
            </w:tr>
            <w:tr w14:paraId="68AA4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4" w:type="pct"/>
                  <w:gridSpan w:val="3"/>
                  <w:noWrap w:val="0"/>
                  <w:vAlign w:val="center"/>
                </w:tcPr>
                <w:p w14:paraId="484B32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rFonts w:hint="eastAsia"/>
                      <w:color w:val="auto"/>
                      <w:sz w:val="18"/>
                      <w:szCs w:val="18"/>
                      <w:highlight w:val="none"/>
                    </w:rPr>
                    <w:t>四、沿海地区</w:t>
                  </w:r>
                </w:p>
              </w:tc>
              <w:tc>
                <w:tcPr>
                  <w:tcW w:w="485" w:type="pct"/>
                  <w:noWrap w:val="0"/>
                  <w:vAlign w:val="center"/>
                </w:tcPr>
                <w:p w14:paraId="4EBE9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18"/>
                      <w:szCs w:val="18"/>
                      <w:highlight w:val="none"/>
                    </w:rPr>
                  </w:pPr>
                </w:p>
              </w:tc>
            </w:tr>
            <w:tr w14:paraId="0009A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noWrap w:val="0"/>
                  <w:vAlign w:val="center"/>
                </w:tcPr>
                <w:p w14:paraId="3C1177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color w:val="auto"/>
                      <w:sz w:val="18"/>
                      <w:szCs w:val="18"/>
                      <w:highlight w:val="none"/>
                    </w:rPr>
                    <w:t>空间布局约束</w:t>
                  </w:r>
                </w:p>
              </w:tc>
              <w:tc>
                <w:tcPr>
                  <w:tcW w:w="2652" w:type="pct"/>
                  <w:noWrap w:val="0"/>
                  <w:vAlign w:val="center"/>
                </w:tcPr>
                <w:p w14:paraId="024266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1、禁止在沿海陆域内新建不具备有效治理措施的化学制浆造纸、化工、印染、制革、电镀、酿造、炼油，岸边冲滩拆船以及其他严重污染海洋环境的工业生产项目。</w:t>
                  </w:r>
                </w:p>
                <w:p w14:paraId="0128ED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2、沿海地区严格控制新建医药、农药和染料中间体项目。</w:t>
                  </w:r>
                </w:p>
              </w:tc>
              <w:tc>
                <w:tcPr>
                  <w:tcW w:w="1287" w:type="pct"/>
                  <w:noWrap w:val="0"/>
                  <w:vAlign w:val="center"/>
                </w:tcPr>
                <w:p w14:paraId="0102AA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本项目为C2921塑料薄膜制造，不涉及禁止类项目。</w:t>
                  </w:r>
                </w:p>
              </w:tc>
              <w:tc>
                <w:tcPr>
                  <w:tcW w:w="485" w:type="pct"/>
                  <w:noWrap w:val="0"/>
                  <w:vAlign w:val="center"/>
                </w:tcPr>
                <w:p w14:paraId="10757A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highlight w:val="none"/>
                    </w:rPr>
                  </w:pPr>
                </w:p>
              </w:tc>
            </w:tr>
            <w:tr w14:paraId="3D006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noWrap w:val="0"/>
                  <w:vAlign w:val="center"/>
                </w:tcPr>
                <w:p w14:paraId="096820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color w:val="auto"/>
                      <w:sz w:val="18"/>
                      <w:szCs w:val="18"/>
                      <w:highlight w:val="none"/>
                    </w:rPr>
                    <w:t>污染物排放管控</w:t>
                  </w:r>
                </w:p>
              </w:tc>
              <w:tc>
                <w:tcPr>
                  <w:tcW w:w="2652" w:type="pct"/>
                  <w:noWrap w:val="0"/>
                  <w:vAlign w:val="center"/>
                </w:tcPr>
                <w:p w14:paraId="38492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按照《江苏海洋环境保护条例》实施重点海域排污总量控制制度。</w:t>
                  </w:r>
                </w:p>
              </w:tc>
              <w:tc>
                <w:tcPr>
                  <w:tcW w:w="1287" w:type="pct"/>
                  <w:noWrap w:val="0"/>
                  <w:vAlign w:val="center"/>
                </w:tcPr>
                <w:p w14:paraId="1ECCD8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color w:val="auto"/>
                      <w:sz w:val="18"/>
                      <w:szCs w:val="18"/>
                      <w:highlight w:val="none"/>
                    </w:rPr>
                    <w:t>本项目建成后</w:t>
                  </w:r>
                  <w:r>
                    <w:rPr>
                      <w:rFonts w:hint="eastAsia" w:ascii="Times New Roman"/>
                      <w:color w:val="auto"/>
                      <w:spacing w:val="-2"/>
                      <w:kern w:val="2"/>
                      <w:sz w:val="18"/>
                      <w:szCs w:val="18"/>
                      <w:highlight w:val="none"/>
                      <w:lang w:eastAsia="zh-CN"/>
                    </w:rPr>
                    <w:t>无需申请总量</w:t>
                  </w:r>
                  <w:r>
                    <w:rPr>
                      <w:rFonts w:hint="eastAsia" w:ascii="Times New Roman"/>
                      <w:color w:val="auto"/>
                      <w:spacing w:val="-2"/>
                      <w:kern w:val="2"/>
                      <w:sz w:val="18"/>
                      <w:szCs w:val="18"/>
                      <w:highlight w:val="none"/>
                    </w:rPr>
                    <w:t>。</w:t>
                  </w:r>
                  <w:r>
                    <w:rPr>
                      <w:rFonts w:hint="eastAsia"/>
                      <w:color w:val="auto"/>
                      <w:sz w:val="18"/>
                      <w:szCs w:val="18"/>
                      <w:highlight w:val="none"/>
                    </w:rPr>
                    <w:t>项目不设长江入河排污口。且项目不设长江入河排污口。</w:t>
                  </w:r>
                </w:p>
              </w:tc>
              <w:tc>
                <w:tcPr>
                  <w:tcW w:w="485" w:type="pct"/>
                  <w:noWrap w:val="0"/>
                  <w:vAlign w:val="center"/>
                </w:tcPr>
                <w:p w14:paraId="59CE0B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p>
              </w:tc>
            </w:tr>
            <w:tr w14:paraId="70083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noWrap w:val="0"/>
                  <w:vAlign w:val="center"/>
                </w:tcPr>
                <w:p w14:paraId="443582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color w:val="auto"/>
                      <w:sz w:val="18"/>
                      <w:szCs w:val="18"/>
                      <w:highlight w:val="none"/>
                    </w:rPr>
                    <w:t>环境风险防控</w:t>
                  </w:r>
                </w:p>
              </w:tc>
              <w:tc>
                <w:tcPr>
                  <w:tcW w:w="2652" w:type="pct"/>
                  <w:noWrap w:val="0"/>
                  <w:vAlign w:val="center"/>
                </w:tcPr>
                <w:p w14:paraId="0029B2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1、禁止向海洋倾倒汞及汞化合物、强放射性物质等国家规定的一类废弃物。</w:t>
                  </w:r>
                </w:p>
                <w:p w14:paraId="2CBE4C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2、加强对赤潮、浒苔绿测、溢油、危险化学品泄漏及海洋核辐射等海上突发性海洋灾害事故的应急监视，防治突发性海洋环境灾害。</w:t>
                  </w:r>
                </w:p>
                <w:p w14:paraId="5C1E7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3、沿海地区应加强危险货物运输风险、船舶污染事故风险应急管控。</w:t>
                  </w:r>
                </w:p>
              </w:tc>
              <w:tc>
                <w:tcPr>
                  <w:tcW w:w="1287" w:type="pct"/>
                  <w:noWrap w:val="0"/>
                  <w:vAlign w:val="center"/>
                </w:tcPr>
                <w:p w14:paraId="5FA6B5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本项目</w:t>
                  </w:r>
                  <w:r>
                    <w:rPr>
                      <w:rFonts w:hint="eastAsia"/>
                      <w:color w:val="auto"/>
                      <w:sz w:val="18"/>
                      <w:szCs w:val="18"/>
                      <w:highlight w:val="none"/>
                      <w:lang w:val="en-US" w:eastAsia="zh-CN"/>
                    </w:rPr>
                    <w:t>不涉及</w:t>
                  </w:r>
                  <w:r>
                    <w:rPr>
                      <w:rFonts w:hint="eastAsia"/>
                      <w:color w:val="auto"/>
                      <w:sz w:val="18"/>
                      <w:szCs w:val="18"/>
                      <w:highlight w:val="none"/>
                    </w:rPr>
                    <w:t>汞及汞化合物、强放射性物质等国家规定的一类废弃物</w:t>
                  </w:r>
                  <w:r>
                    <w:rPr>
                      <w:rFonts w:hint="eastAsia"/>
                      <w:color w:val="auto"/>
                      <w:sz w:val="18"/>
                      <w:szCs w:val="18"/>
                      <w:highlight w:val="none"/>
                      <w:lang w:eastAsia="zh-CN"/>
                    </w:rPr>
                    <w:t>，</w:t>
                  </w:r>
                  <w:r>
                    <w:rPr>
                      <w:rFonts w:hint="eastAsia"/>
                      <w:color w:val="auto"/>
                      <w:sz w:val="18"/>
                      <w:szCs w:val="18"/>
                      <w:highlight w:val="none"/>
                      <w:lang w:val="en-US" w:eastAsia="zh-CN"/>
                    </w:rPr>
                    <w:t>本项目不临近海域</w:t>
                  </w:r>
                  <w:r>
                    <w:rPr>
                      <w:rFonts w:hint="eastAsia"/>
                      <w:color w:val="auto"/>
                      <w:sz w:val="18"/>
                      <w:szCs w:val="18"/>
                      <w:highlight w:val="none"/>
                    </w:rPr>
                    <w:t>。</w:t>
                  </w:r>
                </w:p>
              </w:tc>
              <w:tc>
                <w:tcPr>
                  <w:tcW w:w="485" w:type="pct"/>
                  <w:noWrap w:val="0"/>
                  <w:vAlign w:val="center"/>
                </w:tcPr>
                <w:p w14:paraId="2FFFF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highlight w:val="none"/>
                    </w:rPr>
                  </w:pPr>
                </w:p>
              </w:tc>
            </w:tr>
            <w:tr w14:paraId="52CBC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 w:type="pct"/>
                  <w:noWrap w:val="0"/>
                  <w:vAlign w:val="center"/>
                </w:tcPr>
                <w:p w14:paraId="5C4FB2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highlight w:val="none"/>
                    </w:rPr>
                  </w:pPr>
                  <w:r>
                    <w:rPr>
                      <w:color w:val="auto"/>
                      <w:sz w:val="18"/>
                      <w:szCs w:val="18"/>
                      <w:highlight w:val="none"/>
                    </w:rPr>
                    <w:t>资源利用效率要求</w:t>
                  </w:r>
                </w:p>
              </w:tc>
              <w:tc>
                <w:tcPr>
                  <w:tcW w:w="2652" w:type="pct"/>
                  <w:noWrap w:val="0"/>
                  <w:vAlign w:val="center"/>
                </w:tcPr>
                <w:p w14:paraId="5427D3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至2020年，大陆自然岸线保有率不低于37%，全省海岛自然岸线保有率不低于2%。</w:t>
                  </w:r>
                </w:p>
              </w:tc>
              <w:tc>
                <w:tcPr>
                  <w:tcW w:w="1287" w:type="pct"/>
                  <w:noWrap w:val="0"/>
                  <w:vAlign w:val="center"/>
                </w:tcPr>
                <w:p w14:paraId="2079F7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highlight w:val="none"/>
                    </w:rPr>
                  </w:pPr>
                  <w:r>
                    <w:rPr>
                      <w:rFonts w:hint="eastAsia"/>
                      <w:color w:val="auto"/>
                      <w:sz w:val="18"/>
                      <w:szCs w:val="18"/>
                      <w:highlight w:val="none"/>
                    </w:rPr>
                    <w:t>本项目不新增岸线要求，满足资源利用效率要求。</w:t>
                  </w:r>
                </w:p>
              </w:tc>
              <w:tc>
                <w:tcPr>
                  <w:tcW w:w="485" w:type="pct"/>
                  <w:noWrap w:val="0"/>
                  <w:vAlign w:val="center"/>
                </w:tcPr>
                <w:p w14:paraId="19C514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highlight w:val="none"/>
                    </w:rPr>
                  </w:pPr>
                </w:p>
              </w:tc>
            </w:tr>
          </w:tbl>
          <w:p w14:paraId="08653D7D">
            <w:pPr>
              <w:keepNext w:val="0"/>
              <w:keepLines w:val="0"/>
              <w:pageBreakBefore w:val="0"/>
              <w:widowControl w:val="0"/>
              <w:kinsoku/>
              <w:wordWrap/>
              <w:overflowPunct/>
              <w:topLinePunct w:val="0"/>
              <w:autoSpaceDE/>
              <w:autoSpaceDN/>
              <w:bidi w:val="0"/>
              <w:adjustRightInd w:val="0"/>
              <w:snapToGrid w:val="0"/>
              <w:spacing w:line="360" w:lineRule="auto"/>
              <w:ind w:firstLine="416"/>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本项目与南通市域生态环境总体准入管控要求相符性分析见</w:t>
            </w:r>
            <w:r>
              <w:rPr>
                <w:rFonts w:hint="eastAsia" w:cs="Times New Roman"/>
                <w:color w:val="auto"/>
                <w:sz w:val="21"/>
                <w:szCs w:val="21"/>
                <w:lang w:val="en-US" w:eastAsia="zh-CN"/>
              </w:rPr>
              <w:t>表1-5。</w:t>
            </w:r>
          </w:p>
          <w:p w14:paraId="6488FF7E">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表1-5  南通市域生态环境总体准入管控要求</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4930"/>
              <w:gridCol w:w="1262"/>
              <w:gridCol w:w="781"/>
            </w:tblGrid>
            <w:tr w14:paraId="72E4F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51" w:type="pct"/>
                  <w:tcBorders>
                    <w:tl2br w:val="nil"/>
                    <w:tr2bl w:val="nil"/>
                  </w:tcBorders>
                  <w:shd w:val="clear" w:color="auto" w:fill="D7D7D7" w:themeFill="background1" w:themeFillShade="D8"/>
                  <w:noWrap w:val="0"/>
                  <w:vAlign w:val="center"/>
                </w:tcPr>
                <w:p w14:paraId="54E04E50">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管控类别</w:t>
                  </w:r>
                </w:p>
              </w:tc>
              <w:tc>
                <w:tcPr>
                  <w:tcW w:w="3214" w:type="pct"/>
                  <w:tcBorders>
                    <w:tl2br w:val="nil"/>
                    <w:tr2bl w:val="nil"/>
                  </w:tcBorders>
                  <w:shd w:val="clear" w:color="auto" w:fill="D7D7D7" w:themeFill="background1" w:themeFillShade="D8"/>
                  <w:noWrap w:val="0"/>
                  <w:vAlign w:val="center"/>
                </w:tcPr>
                <w:p w14:paraId="43BF1787">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重点管控要求</w:t>
                  </w:r>
                </w:p>
              </w:tc>
              <w:tc>
                <w:tcPr>
                  <w:tcW w:w="823" w:type="pct"/>
                  <w:tcBorders>
                    <w:tl2br w:val="nil"/>
                    <w:tr2bl w:val="nil"/>
                  </w:tcBorders>
                  <w:shd w:val="clear" w:color="auto" w:fill="D7D7D7" w:themeFill="background1" w:themeFillShade="D8"/>
                  <w:noWrap w:val="0"/>
                  <w:vAlign w:val="center"/>
                </w:tcPr>
                <w:p w14:paraId="4B00AAC0">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本项目建设情况</w:t>
                  </w:r>
                </w:p>
              </w:tc>
              <w:tc>
                <w:tcPr>
                  <w:tcW w:w="509" w:type="pct"/>
                  <w:tcBorders>
                    <w:tl2br w:val="nil"/>
                    <w:tr2bl w:val="nil"/>
                  </w:tcBorders>
                  <w:shd w:val="clear" w:color="auto" w:fill="D7D7D7" w:themeFill="background1" w:themeFillShade="D8"/>
                  <w:noWrap w:val="0"/>
                  <w:vAlign w:val="center"/>
                </w:tcPr>
                <w:p w14:paraId="576E2CDA">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相符性分析</w:t>
                  </w:r>
                </w:p>
              </w:tc>
            </w:tr>
            <w:tr w14:paraId="5F009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1" w:type="pct"/>
                  <w:tcBorders>
                    <w:tl2br w:val="nil"/>
                    <w:tr2bl w:val="nil"/>
                  </w:tcBorders>
                  <w:noWrap w:val="0"/>
                  <w:vAlign w:val="center"/>
                </w:tcPr>
                <w:p w14:paraId="52567E26">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空间布局约束</w:t>
                  </w:r>
                </w:p>
              </w:tc>
              <w:tc>
                <w:tcPr>
                  <w:tcW w:w="3214" w:type="pct"/>
                  <w:tcBorders>
                    <w:tl2br w:val="nil"/>
                    <w:tr2bl w:val="nil"/>
                  </w:tcBorders>
                  <w:noWrap w:val="0"/>
                  <w:vAlign w:val="center"/>
                </w:tcPr>
                <w:p w14:paraId="6EAAA35C">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严格执行《南通市长江经济带生态环境保护实施规划》（通政办发〔2018〕42号）、《南通市“两减六治三提升”专项行动实施方案》（通政办发〔2017〕55号）、《南通市打赢蓝天保卫战三年行动计划实施方案（2018</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2020年）》（通政发〔2018〕63号）、《南通市土壤污染防治工作方案》（通政发〔2017〕20号）</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《南通市水污染防治工作方案》（通政发〔2016〕35号）等文件要求。</w:t>
                  </w:r>
                </w:p>
                <w:p w14:paraId="100C6C02">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严格执行《（长江经济带发展负面清单指南）江苏省实施细则（试行）》；禁止引进列入《南通市工业结构调整指导目录》淘汰类的产业、列入《南通市工业产业技术改造负面清单》严格禁止的技术改造工艺装备及产品。</w:t>
                  </w:r>
                </w:p>
                <w:p w14:paraId="76B999A1">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根据《南通市长江经济带生态环境保护实施规划》（通政办发〔2018〕42号），沿江地区不再新布局石化项目。禁止在长江干流自然保护区、风景名胜区等重点区域新建工业类和污染类项目，现有高风险企业实施限期治理。自然保护区核心区及缓冲区内禁止新建码头工程，逐步拆除已有的各类生产设施以及危化品、石油类泊位。禁止向内河和江海直达船舶销售渣油、重油以及不符合标准的普通柴油，禁止海船使用不符合要求的燃油。</w:t>
                  </w:r>
                </w:p>
                <w:p w14:paraId="6EE64931">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根据《省政府关于加强全省化工园区化工集中区规范化管理的通知》（苏政发〔2020〕94号）、《市政府关于印发南通市化工产业环保准入指导意见的通知》（通政发〔2014〕10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再新上医药中间体、农药中间体、染料中间体项目（具有自主知识产权的关键中间体及高产出、低污染项目除外，分别由科技部门和环保部门认定）。沿江化工园区不再新增农药、染料化工企业。</w:t>
                  </w:r>
                </w:p>
              </w:tc>
              <w:tc>
                <w:tcPr>
                  <w:tcW w:w="823" w:type="pct"/>
                  <w:tcBorders>
                    <w:tl2br w:val="nil"/>
                    <w:tr2bl w:val="nil"/>
                  </w:tcBorders>
                  <w:noWrap w:val="0"/>
                  <w:vAlign w:val="center"/>
                </w:tcPr>
                <w:p w14:paraId="7E78FC46">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对照</w:t>
                  </w:r>
                  <w:r>
                    <w:rPr>
                      <w:rFonts w:hint="default" w:ascii="Times New Roman" w:hAnsi="Times New Roman" w:eastAsia="宋体" w:cs="Times New Roman"/>
                      <w:color w:val="auto"/>
                      <w:sz w:val="18"/>
                      <w:szCs w:val="18"/>
                      <w:lang w:val="en-US" w:eastAsia="zh-CN"/>
                    </w:rPr>
                    <w:t>南通市</w:t>
                  </w:r>
                  <w:r>
                    <w:rPr>
                      <w:rFonts w:hint="default" w:ascii="Times New Roman" w:hAnsi="Times New Roman" w:eastAsia="宋体" w:cs="Times New Roman"/>
                      <w:color w:val="auto"/>
                      <w:sz w:val="18"/>
                      <w:szCs w:val="18"/>
                    </w:rPr>
                    <w:t>环境管控单元图，项目不位于优先保护单元及管控单元内，符合</w:t>
                  </w:r>
                  <w:r>
                    <w:rPr>
                      <w:rFonts w:hint="default" w:ascii="Times New Roman" w:hAnsi="Times New Roman" w:eastAsia="宋体" w:cs="Times New Roman"/>
                      <w:color w:val="auto"/>
                      <w:sz w:val="18"/>
                      <w:szCs w:val="18"/>
                      <w:lang w:val="en-US" w:eastAsia="zh-CN"/>
                    </w:rPr>
                    <w:t>通政办规〔2021〕4号等文件</w:t>
                  </w:r>
                  <w:r>
                    <w:rPr>
                      <w:rFonts w:hint="default" w:ascii="Times New Roman" w:hAnsi="Times New Roman" w:eastAsia="宋体" w:cs="Times New Roman"/>
                      <w:color w:val="auto"/>
                      <w:sz w:val="18"/>
                      <w:szCs w:val="18"/>
                    </w:rPr>
                    <w:t>要求</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不属于负面清单及淘汰、限制目录内行业，不属于化工、</w:t>
                  </w:r>
                  <w:r>
                    <w:rPr>
                      <w:rFonts w:hint="default" w:ascii="Times New Roman" w:hAnsi="Times New Roman" w:eastAsia="宋体" w:cs="Times New Roman"/>
                      <w:color w:val="auto"/>
                      <w:sz w:val="18"/>
                      <w:szCs w:val="18"/>
                    </w:rPr>
                    <w:t>农药、传统医药、染料化工</w:t>
                  </w:r>
                  <w:r>
                    <w:rPr>
                      <w:rFonts w:hint="default" w:ascii="Times New Roman" w:hAnsi="Times New Roman" w:eastAsia="宋体" w:cs="Times New Roman"/>
                      <w:color w:val="auto"/>
                      <w:sz w:val="18"/>
                      <w:szCs w:val="18"/>
                      <w:lang w:val="en-US" w:eastAsia="zh-CN"/>
                    </w:rPr>
                    <w:t>项目</w:t>
                  </w:r>
                  <w:r>
                    <w:rPr>
                      <w:rFonts w:hint="default" w:ascii="Times New Roman" w:hAnsi="Times New Roman" w:eastAsia="宋体" w:cs="Times New Roman"/>
                      <w:color w:val="auto"/>
                      <w:sz w:val="18"/>
                      <w:szCs w:val="18"/>
                    </w:rPr>
                    <w:t>。</w:t>
                  </w:r>
                </w:p>
              </w:tc>
              <w:tc>
                <w:tcPr>
                  <w:tcW w:w="509" w:type="pct"/>
                  <w:tcBorders>
                    <w:tl2br w:val="nil"/>
                    <w:tr2bl w:val="nil"/>
                  </w:tcBorders>
                  <w:noWrap w:val="0"/>
                  <w:vAlign w:val="center"/>
                </w:tcPr>
                <w:p w14:paraId="19DCC4F5">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3AEE6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1" w:type="pct"/>
                  <w:tcBorders>
                    <w:tl2br w:val="nil"/>
                    <w:tr2bl w:val="nil"/>
                  </w:tcBorders>
                  <w:noWrap w:val="0"/>
                  <w:vAlign w:val="center"/>
                </w:tcPr>
                <w:p w14:paraId="3E47AE6E">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污染物排放管控</w:t>
                  </w:r>
                </w:p>
              </w:tc>
              <w:tc>
                <w:tcPr>
                  <w:tcW w:w="3214" w:type="pct"/>
                  <w:tcBorders>
                    <w:tl2br w:val="nil"/>
                    <w:tr2bl w:val="nil"/>
                  </w:tcBorders>
                  <w:noWrap w:val="0"/>
                  <w:vAlign w:val="center"/>
                </w:tcPr>
                <w:p w14:paraId="71248C8A">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14:paraId="2EEF65F7">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2.5）年平均浓度不达标的地区，二氧化硫、氮氧化物、烟粉尘、挥发性有机物四项污染物均需进行2倍削减替代（燃煤发电机组大气污染物排放浓度基本达到燃气轮机组排放限值的除外）。</w:t>
                  </w:r>
                </w:p>
                <w:p w14:paraId="0F073D94">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3.落实《省政府办公厅关于印发江苏省排污权有偿使用和交易管理暂行办法的通知》（苏政办发〔2017〕115号）及配套的实施细则中，关于新、改扩建项目获得排污权指标的相关要求。</w:t>
                  </w:r>
                </w:p>
              </w:tc>
              <w:tc>
                <w:tcPr>
                  <w:tcW w:w="823" w:type="pct"/>
                  <w:tcBorders>
                    <w:tl2br w:val="nil"/>
                    <w:tr2bl w:val="nil"/>
                  </w:tcBorders>
                  <w:noWrap w:val="0"/>
                  <w:vAlign w:val="center"/>
                </w:tcPr>
                <w:p w14:paraId="769C7403">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本项目所在</w:t>
                  </w:r>
                  <w:r>
                    <w:rPr>
                      <w:rFonts w:hint="eastAsia" w:ascii="Times New Roman" w:hAnsi="Times New Roman" w:eastAsia="宋体" w:cs="Times New Roman"/>
                      <w:color w:val="auto"/>
                      <w:sz w:val="18"/>
                      <w:szCs w:val="18"/>
                      <w:lang w:val="en-US" w:eastAsia="zh-CN"/>
                    </w:rPr>
                    <w:t>海门区</w:t>
                  </w:r>
                  <w:r>
                    <w:rPr>
                      <w:rFonts w:hint="default" w:ascii="Times New Roman" w:hAnsi="Times New Roman" w:eastAsia="宋体" w:cs="Times New Roman"/>
                      <w:color w:val="auto"/>
                      <w:sz w:val="18"/>
                      <w:szCs w:val="18"/>
                      <w:lang w:val="en-US" w:eastAsia="zh-CN"/>
                    </w:rPr>
                    <w:t>属于达标区域，</w:t>
                  </w:r>
                  <w:r>
                    <w:rPr>
                      <w:rFonts w:hint="eastAsia" w:ascii="Times New Roman" w:hAnsi="Times New Roman" w:eastAsia="宋体" w:cs="Times New Roman"/>
                      <w:color w:val="auto"/>
                      <w:sz w:val="18"/>
                      <w:szCs w:val="18"/>
                      <w:lang w:val="en-US" w:eastAsia="zh-CN"/>
                    </w:rPr>
                    <w:t>本项目无需申请总量</w:t>
                  </w:r>
                  <w:r>
                    <w:rPr>
                      <w:rFonts w:hint="default" w:ascii="Times New Roman" w:hAnsi="Times New Roman" w:eastAsia="宋体" w:cs="Times New Roman"/>
                      <w:color w:val="auto"/>
                      <w:sz w:val="18"/>
                      <w:szCs w:val="18"/>
                      <w:lang w:eastAsia="zh-CN"/>
                    </w:rPr>
                    <w:t>。</w:t>
                  </w:r>
                </w:p>
              </w:tc>
              <w:tc>
                <w:tcPr>
                  <w:tcW w:w="509" w:type="pct"/>
                  <w:tcBorders>
                    <w:tl2br w:val="nil"/>
                    <w:tr2bl w:val="nil"/>
                  </w:tcBorders>
                  <w:noWrap w:val="0"/>
                  <w:vAlign w:val="center"/>
                </w:tcPr>
                <w:p w14:paraId="126457FE">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6F531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1" w:type="pct"/>
                  <w:tcBorders>
                    <w:tl2br w:val="nil"/>
                    <w:tr2bl w:val="nil"/>
                  </w:tcBorders>
                  <w:noWrap w:val="0"/>
                  <w:vAlign w:val="center"/>
                </w:tcPr>
                <w:p w14:paraId="4A270922">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环境风险防控</w:t>
                  </w:r>
                </w:p>
              </w:tc>
              <w:tc>
                <w:tcPr>
                  <w:tcW w:w="3214" w:type="pct"/>
                  <w:tcBorders>
                    <w:tl2br w:val="nil"/>
                    <w:tr2bl w:val="nil"/>
                  </w:tcBorders>
                  <w:noWrap w:val="0"/>
                  <w:vAlign w:val="center"/>
                </w:tcPr>
                <w:p w14:paraId="0B93E455">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落实《南通市突发环境事件应急预案（2020年修订版）》（通政办发〔2020〕46号）。</w:t>
                  </w:r>
                </w:p>
                <w:p w14:paraId="0454DA65">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2.根据《南通市化工产业安全环保整治提升三年行动计划（2019</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2021年）》（通政办发〔2019〕102号），保留提升的化工生产企业必须制订整治提升实施方案。严格危险废物处置管理。企业须在环评报告中准确全面评价固体废物的种类、数量、属性及产生、贮存、利用或处置情况。在安评报告中对固体废物贮存、利用处置环节进行安全性评价，并按标准规范设计、建造或改建贮存、利用处置危险废物的设施设备。生产企业应按照相关管理要求申报、处置废弃危险化学品。强化对危险废物的收集、贮存和处置的监督管理，实现危险废物监管无盲区、无死角。</w:t>
                  </w:r>
                </w:p>
                <w:p w14:paraId="02CD963A">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tc>
              <w:tc>
                <w:tcPr>
                  <w:tcW w:w="823" w:type="pct"/>
                  <w:tcBorders>
                    <w:tl2br w:val="nil"/>
                    <w:tr2bl w:val="nil"/>
                  </w:tcBorders>
                  <w:noWrap w:val="0"/>
                  <w:vAlign w:val="center"/>
                </w:tcPr>
                <w:p w14:paraId="168A31CE">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本项目建成后将</w:t>
                  </w:r>
                  <w:r>
                    <w:rPr>
                      <w:rFonts w:hint="default" w:ascii="Times New Roman" w:hAnsi="Times New Roman" w:eastAsia="宋体" w:cs="Times New Roman"/>
                      <w:color w:val="auto"/>
                      <w:sz w:val="18"/>
                      <w:szCs w:val="18"/>
                      <w:lang w:val="en-US" w:eastAsia="zh-CN"/>
                    </w:rPr>
                    <w:t>完善</w:t>
                  </w:r>
                  <w:r>
                    <w:rPr>
                      <w:rFonts w:hint="default" w:ascii="Times New Roman" w:hAnsi="Times New Roman" w:eastAsia="宋体" w:cs="Times New Roman"/>
                      <w:color w:val="auto"/>
                      <w:sz w:val="18"/>
                      <w:szCs w:val="18"/>
                    </w:rPr>
                    <w:t>环境风险应急预案，同时企业内储备有足够的环境应急物资，实现环境风险联防联控，故能满足环境风险防控的相关要求。</w:t>
                  </w:r>
                </w:p>
              </w:tc>
              <w:tc>
                <w:tcPr>
                  <w:tcW w:w="509" w:type="pct"/>
                  <w:tcBorders>
                    <w:tl2br w:val="nil"/>
                    <w:tr2bl w:val="nil"/>
                  </w:tcBorders>
                  <w:noWrap w:val="0"/>
                  <w:vAlign w:val="center"/>
                </w:tcPr>
                <w:p w14:paraId="7BA2F349">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2EE90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1" w:type="pct"/>
                  <w:tcBorders>
                    <w:tl2br w:val="nil"/>
                    <w:tr2bl w:val="nil"/>
                  </w:tcBorders>
                  <w:noWrap w:val="0"/>
                  <w:vAlign w:val="center"/>
                </w:tcPr>
                <w:p w14:paraId="54966E0C">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资源利用效率要求</w:t>
                  </w:r>
                </w:p>
              </w:tc>
              <w:tc>
                <w:tcPr>
                  <w:tcW w:w="3214" w:type="pct"/>
                  <w:tcBorders>
                    <w:tl2br w:val="nil"/>
                    <w:tr2bl w:val="nil"/>
                  </w:tcBorders>
                  <w:noWrap w:val="0"/>
                  <w:vAlign w:val="center"/>
                </w:tcPr>
                <w:p w14:paraId="29E49EB3">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根据《中华人民共和国大气污染防治法》，禁燃区禁止新建、扩建燃用高污染燃料的项目和设施，已建成的应逐步或依法限期改用天然气、电或者其他清洁能源。</w:t>
                  </w:r>
                </w:p>
                <w:p w14:paraId="32EA75D6">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14:paraId="2DE1A047">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严格控制地下水开采。落实《江苏省地下水超采区划分方案》（苏政复〔2013〕59号），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tc>
              <w:tc>
                <w:tcPr>
                  <w:tcW w:w="823" w:type="pct"/>
                  <w:tcBorders>
                    <w:tl2br w:val="nil"/>
                    <w:tr2bl w:val="nil"/>
                  </w:tcBorders>
                  <w:noWrap w:val="0"/>
                  <w:vAlign w:val="center"/>
                </w:tcPr>
                <w:p w14:paraId="0D376D72">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本项目生产过程中</w:t>
                  </w:r>
                  <w:r>
                    <w:rPr>
                      <w:rFonts w:hint="default" w:ascii="Times New Roman" w:hAnsi="Times New Roman" w:eastAsia="宋体" w:cs="Times New Roman"/>
                      <w:color w:val="auto"/>
                      <w:sz w:val="18"/>
                      <w:szCs w:val="18"/>
                      <w:lang w:eastAsia="zh-CN"/>
                    </w:rPr>
                    <w:t>主要</w:t>
                  </w:r>
                  <w:r>
                    <w:rPr>
                      <w:rFonts w:hint="default" w:ascii="Times New Roman" w:hAnsi="Times New Roman" w:eastAsia="宋体" w:cs="Times New Roman"/>
                      <w:color w:val="auto"/>
                      <w:sz w:val="18"/>
                      <w:szCs w:val="18"/>
                    </w:rPr>
                    <w:t>使用电</w:t>
                  </w:r>
                  <w:r>
                    <w:rPr>
                      <w:rFonts w:hint="default" w:ascii="Times New Roman" w:hAnsi="Times New Roman" w:eastAsia="宋体" w:cs="Times New Roman"/>
                      <w:color w:val="auto"/>
                      <w:sz w:val="18"/>
                      <w:szCs w:val="18"/>
                      <w:lang w:val="en-US" w:eastAsia="zh-CN"/>
                    </w:rPr>
                    <w:t>能</w:t>
                  </w:r>
                  <w:r>
                    <w:rPr>
                      <w:rFonts w:hint="default" w:ascii="Times New Roman" w:hAnsi="Times New Roman" w:eastAsia="宋体" w:cs="Times New Roman"/>
                      <w:color w:val="auto"/>
                      <w:sz w:val="18"/>
                      <w:szCs w:val="18"/>
                    </w:rPr>
                    <w:t>，故符合禁燃区的相关要求</w:t>
                  </w:r>
                  <w:r>
                    <w:rPr>
                      <w:rFonts w:hint="default" w:ascii="Times New Roman" w:hAnsi="Times New Roman" w:eastAsia="宋体" w:cs="Times New Roman"/>
                      <w:color w:val="auto"/>
                      <w:sz w:val="18"/>
                      <w:szCs w:val="18"/>
                      <w:lang w:eastAsia="zh-CN"/>
                    </w:rPr>
                    <w:t>；本项目不属于化工行业；本项目不开采地下水；故符合资源利用率要求。</w:t>
                  </w:r>
                </w:p>
              </w:tc>
              <w:tc>
                <w:tcPr>
                  <w:tcW w:w="509" w:type="pct"/>
                  <w:tcBorders>
                    <w:tl2br w:val="nil"/>
                    <w:tr2bl w:val="nil"/>
                  </w:tcBorders>
                  <w:noWrap w:val="0"/>
                  <w:vAlign w:val="center"/>
                </w:tcPr>
                <w:p w14:paraId="6E3E73D9">
                  <w:pPr>
                    <w:pStyle w:val="6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bl>
          <w:p w14:paraId="0EA7A38E">
            <w:pPr>
              <w:autoSpaceDE w:val="0"/>
              <w:autoSpaceDN w:val="0"/>
              <w:adjustRightInd w:val="0"/>
              <w:snapToGrid w:val="0"/>
              <w:spacing w:line="360" w:lineRule="auto"/>
              <w:ind w:firstLine="420" w:firstLineChars="200"/>
              <w:rPr>
                <w:b w:val="0"/>
                <w:bCs w:val="0"/>
                <w:color w:val="auto"/>
                <w:kern w:val="0"/>
                <w:szCs w:val="21"/>
                <w:highlight w:val="none"/>
              </w:rPr>
            </w:pPr>
            <w:r>
              <w:rPr>
                <w:rFonts w:hint="eastAsia" w:eastAsia="宋体" w:cs="Times New Roman"/>
                <w:b w:val="0"/>
                <w:color w:val="auto"/>
                <w:kern w:val="0"/>
                <w:sz w:val="21"/>
                <w:szCs w:val="21"/>
                <w:highlight w:val="none"/>
                <w:u w:val="none"/>
                <w:lang w:val="en-US" w:eastAsia="zh-CN" w:bidi="ar-SA"/>
              </w:rPr>
              <w:t>本项目位于南通市</w:t>
            </w:r>
            <w:r>
              <w:rPr>
                <w:rFonts w:hint="eastAsia"/>
                <w:b w:val="0"/>
                <w:bCs w:val="0"/>
                <w:color w:val="auto"/>
                <w:kern w:val="0"/>
                <w:szCs w:val="21"/>
                <w:highlight w:val="none"/>
                <w:lang w:val="en-US" w:eastAsia="zh-CN"/>
              </w:rPr>
              <w:t>海门经济技术开发区扬子江路2288号</w:t>
            </w:r>
            <w:r>
              <w:rPr>
                <w:rFonts w:hint="eastAsia" w:eastAsia="宋体" w:cs="Times New Roman"/>
                <w:b w:val="0"/>
                <w:color w:val="auto"/>
                <w:kern w:val="0"/>
                <w:sz w:val="21"/>
                <w:szCs w:val="21"/>
                <w:highlight w:val="none"/>
                <w:u w:val="none"/>
                <w:lang w:val="en-US" w:eastAsia="zh-CN" w:bidi="ar-SA"/>
              </w:rPr>
              <w:t>，对照《江苏省（南通市）2023年度生态环境分区管控动态更新成果公告》登录公告中江苏省（南通市）2023年度生态环境分区管控动态更新成果查询网址，根据辅助分析功能的准入分析结果显示本项目所在地属于生态环境分区管控中的重点管控单元——海门经济技术开发区</w:t>
            </w:r>
            <w:r>
              <w:rPr>
                <w:rFonts w:hint="eastAsia"/>
                <w:b w:val="0"/>
                <w:bCs w:val="0"/>
                <w:color w:val="auto"/>
                <w:kern w:val="0"/>
                <w:szCs w:val="21"/>
                <w:highlight w:val="none"/>
              </w:rPr>
              <w:t>，对照</w:t>
            </w:r>
            <w:r>
              <w:rPr>
                <w:rFonts w:hint="eastAsia"/>
                <w:b w:val="0"/>
                <w:bCs w:val="0"/>
                <w:color w:val="auto"/>
                <w:kern w:val="0"/>
                <w:szCs w:val="21"/>
                <w:highlight w:val="none"/>
                <w:lang w:val="en-US" w:eastAsia="zh-CN"/>
              </w:rPr>
              <w:t>该</w:t>
            </w:r>
            <w:r>
              <w:rPr>
                <w:rFonts w:hint="eastAsia"/>
                <w:b w:val="0"/>
                <w:bCs w:val="0"/>
                <w:color w:val="auto"/>
                <w:kern w:val="0"/>
                <w:szCs w:val="21"/>
                <w:highlight w:val="none"/>
              </w:rPr>
              <w:t>重点管控单元管控要求，具体分析如下表1-</w:t>
            </w:r>
            <w:r>
              <w:rPr>
                <w:rFonts w:hint="eastAsia"/>
                <w:b w:val="0"/>
                <w:bCs w:val="0"/>
                <w:color w:val="auto"/>
                <w:kern w:val="0"/>
                <w:szCs w:val="21"/>
                <w:highlight w:val="none"/>
                <w:lang w:val="en-US" w:eastAsia="zh-CN"/>
              </w:rPr>
              <w:t>6</w:t>
            </w:r>
            <w:r>
              <w:rPr>
                <w:rFonts w:hint="eastAsia"/>
                <w:b w:val="0"/>
                <w:bCs w:val="0"/>
                <w:color w:val="auto"/>
                <w:kern w:val="0"/>
                <w:szCs w:val="21"/>
                <w:highlight w:val="none"/>
              </w:rPr>
              <w:t>。</w:t>
            </w:r>
          </w:p>
          <w:p w14:paraId="42FCC605">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表1-6  海门经济技术开发区生态环境分区管控要求相符性分析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3009"/>
              <w:gridCol w:w="1061"/>
              <w:gridCol w:w="1759"/>
              <w:gridCol w:w="922"/>
            </w:tblGrid>
            <w:tr w14:paraId="2A8CF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tcBorders>
                    <w:tl2br w:val="nil"/>
                    <w:tr2bl w:val="nil"/>
                  </w:tcBorders>
                  <w:shd w:val="clear" w:color="auto" w:fill="D7D7D7" w:themeFill="background1" w:themeFillShade="D8"/>
                  <w:noWrap w:val="0"/>
                  <w:vAlign w:val="center"/>
                </w:tcPr>
                <w:p w14:paraId="2D11906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bCs/>
                      <w:color w:val="auto"/>
                      <w:kern w:val="0"/>
                      <w:sz w:val="18"/>
                      <w:szCs w:val="18"/>
                      <w:highlight w:val="none"/>
                      <w:vertAlign w:val="baseline"/>
                      <w:lang w:eastAsia="zh-CN"/>
                    </w:rPr>
                  </w:pPr>
                  <w:r>
                    <w:rPr>
                      <w:rFonts w:hint="eastAsia"/>
                      <w:b/>
                      <w:bCs/>
                      <w:color w:val="auto"/>
                      <w:kern w:val="0"/>
                      <w:sz w:val="18"/>
                      <w:szCs w:val="18"/>
                      <w:highlight w:val="none"/>
                      <w:vertAlign w:val="baseline"/>
                      <w:lang w:eastAsia="zh-CN"/>
                    </w:rPr>
                    <w:t>基础信息</w:t>
                  </w:r>
                </w:p>
              </w:tc>
            </w:tr>
            <w:tr w14:paraId="09198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0" w:type="pct"/>
                  <w:gridSpan w:val="2"/>
                  <w:tcBorders>
                    <w:tl2br w:val="nil"/>
                    <w:tr2bl w:val="nil"/>
                  </w:tcBorders>
                  <w:noWrap w:val="0"/>
                  <w:vAlign w:val="center"/>
                </w:tcPr>
                <w:p w14:paraId="22F04BC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kern w:val="0"/>
                      <w:sz w:val="18"/>
                      <w:szCs w:val="18"/>
                      <w:highlight w:val="none"/>
                      <w:vertAlign w:val="baseline"/>
                      <w:lang w:eastAsia="zh-CN"/>
                    </w:rPr>
                  </w:pPr>
                  <w:r>
                    <w:rPr>
                      <w:rFonts w:hint="eastAsia"/>
                      <w:b w:val="0"/>
                      <w:bCs w:val="0"/>
                      <w:color w:val="auto"/>
                      <w:kern w:val="0"/>
                      <w:sz w:val="18"/>
                      <w:szCs w:val="18"/>
                      <w:highlight w:val="none"/>
                      <w:vertAlign w:val="baseline"/>
                      <w:lang w:eastAsia="zh-CN"/>
                    </w:rPr>
                    <w:t>环境管控单元编码</w:t>
                  </w:r>
                </w:p>
              </w:tc>
              <w:tc>
                <w:tcPr>
                  <w:tcW w:w="2439" w:type="pct"/>
                  <w:gridSpan w:val="3"/>
                  <w:tcBorders>
                    <w:tl2br w:val="nil"/>
                    <w:tr2bl w:val="nil"/>
                  </w:tcBorders>
                  <w:noWrap w:val="0"/>
                  <w:vAlign w:val="center"/>
                </w:tcPr>
                <w:p w14:paraId="01C0BC6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b w:val="0"/>
                      <w:bCs w:val="0"/>
                      <w:color w:val="auto"/>
                      <w:kern w:val="0"/>
                      <w:sz w:val="18"/>
                      <w:szCs w:val="18"/>
                      <w:highlight w:val="none"/>
                      <w:vertAlign w:val="baseline"/>
                      <w:lang w:val="en-US" w:eastAsia="zh-CN"/>
                    </w:rPr>
                  </w:pPr>
                  <w:r>
                    <w:rPr>
                      <w:rFonts w:hint="default"/>
                      <w:b w:val="0"/>
                      <w:bCs w:val="0"/>
                      <w:color w:val="auto"/>
                      <w:kern w:val="0"/>
                      <w:sz w:val="18"/>
                      <w:szCs w:val="18"/>
                      <w:highlight w:val="none"/>
                      <w:vertAlign w:val="baseline"/>
                      <w:lang w:val="en-US" w:eastAsia="zh-CN"/>
                    </w:rPr>
                    <w:t>ZH32068423231</w:t>
                  </w:r>
                </w:p>
              </w:tc>
            </w:tr>
            <w:tr w14:paraId="382BE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0" w:type="pct"/>
                  <w:gridSpan w:val="2"/>
                  <w:tcBorders>
                    <w:tl2br w:val="nil"/>
                    <w:tr2bl w:val="nil"/>
                  </w:tcBorders>
                  <w:noWrap w:val="0"/>
                  <w:vAlign w:val="center"/>
                </w:tcPr>
                <w:p w14:paraId="08D5160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kern w:val="0"/>
                      <w:sz w:val="18"/>
                      <w:szCs w:val="18"/>
                      <w:highlight w:val="none"/>
                      <w:vertAlign w:val="baseline"/>
                      <w:lang w:eastAsia="zh-CN"/>
                    </w:rPr>
                  </w:pPr>
                  <w:r>
                    <w:rPr>
                      <w:rFonts w:hint="eastAsia"/>
                      <w:b w:val="0"/>
                      <w:bCs w:val="0"/>
                      <w:color w:val="auto"/>
                      <w:kern w:val="0"/>
                      <w:sz w:val="18"/>
                      <w:szCs w:val="18"/>
                      <w:highlight w:val="none"/>
                      <w:vertAlign w:val="baseline"/>
                      <w:lang w:eastAsia="zh-CN"/>
                    </w:rPr>
                    <w:t>管控单元名称</w:t>
                  </w:r>
                </w:p>
              </w:tc>
              <w:tc>
                <w:tcPr>
                  <w:tcW w:w="2439" w:type="pct"/>
                  <w:gridSpan w:val="3"/>
                  <w:tcBorders>
                    <w:tl2br w:val="nil"/>
                    <w:tr2bl w:val="nil"/>
                  </w:tcBorders>
                  <w:noWrap w:val="0"/>
                  <w:vAlign w:val="center"/>
                </w:tcPr>
                <w:p w14:paraId="79F43CA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kern w:val="0"/>
                      <w:sz w:val="18"/>
                      <w:szCs w:val="18"/>
                      <w:highlight w:val="none"/>
                      <w:vertAlign w:val="baseline"/>
                      <w:lang w:eastAsia="zh-CN"/>
                    </w:rPr>
                  </w:pPr>
                  <w:r>
                    <w:rPr>
                      <w:rFonts w:hint="eastAsia"/>
                      <w:b w:val="0"/>
                      <w:bCs w:val="0"/>
                      <w:color w:val="auto"/>
                      <w:kern w:val="0"/>
                      <w:sz w:val="18"/>
                      <w:szCs w:val="18"/>
                      <w:highlight w:val="none"/>
                      <w:vertAlign w:val="baseline"/>
                      <w:lang w:eastAsia="zh-CN"/>
                    </w:rPr>
                    <w:t>海门经济技术开发区</w:t>
                  </w:r>
                </w:p>
              </w:tc>
            </w:tr>
            <w:tr w14:paraId="01A67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0" w:type="pct"/>
                  <w:gridSpan w:val="2"/>
                  <w:tcBorders>
                    <w:tl2br w:val="nil"/>
                    <w:tr2bl w:val="nil"/>
                  </w:tcBorders>
                  <w:noWrap w:val="0"/>
                  <w:vAlign w:val="center"/>
                </w:tcPr>
                <w:p w14:paraId="69DC9A8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kern w:val="0"/>
                      <w:sz w:val="18"/>
                      <w:szCs w:val="18"/>
                      <w:highlight w:val="none"/>
                      <w:vertAlign w:val="baseline"/>
                      <w:lang w:eastAsia="zh-CN"/>
                    </w:rPr>
                  </w:pPr>
                  <w:r>
                    <w:rPr>
                      <w:rFonts w:hint="eastAsia"/>
                      <w:b w:val="0"/>
                      <w:bCs w:val="0"/>
                      <w:color w:val="auto"/>
                      <w:kern w:val="0"/>
                      <w:sz w:val="18"/>
                      <w:szCs w:val="18"/>
                      <w:highlight w:val="none"/>
                      <w:vertAlign w:val="baseline"/>
                      <w:lang w:eastAsia="zh-CN"/>
                    </w:rPr>
                    <w:t>管控单元分类</w:t>
                  </w:r>
                </w:p>
              </w:tc>
              <w:tc>
                <w:tcPr>
                  <w:tcW w:w="2439" w:type="pct"/>
                  <w:gridSpan w:val="3"/>
                  <w:tcBorders>
                    <w:tl2br w:val="nil"/>
                    <w:tr2bl w:val="nil"/>
                  </w:tcBorders>
                  <w:noWrap w:val="0"/>
                  <w:vAlign w:val="center"/>
                </w:tcPr>
                <w:p w14:paraId="0FAAC89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kern w:val="0"/>
                      <w:sz w:val="18"/>
                      <w:szCs w:val="18"/>
                      <w:highlight w:val="none"/>
                      <w:vertAlign w:val="baseline"/>
                      <w:lang w:eastAsia="zh-CN"/>
                    </w:rPr>
                  </w:pPr>
                  <w:r>
                    <w:rPr>
                      <w:rFonts w:hint="eastAsia"/>
                      <w:b w:val="0"/>
                      <w:bCs w:val="0"/>
                      <w:color w:val="auto"/>
                      <w:kern w:val="0"/>
                      <w:sz w:val="18"/>
                      <w:szCs w:val="18"/>
                      <w:highlight w:val="none"/>
                      <w:vertAlign w:val="baseline"/>
                      <w:lang w:eastAsia="zh-CN"/>
                    </w:rPr>
                    <w:t>重点管控单元</w:t>
                  </w:r>
                </w:p>
              </w:tc>
            </w:tr>
            <w:tr w14:paraId="18856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tcBorders>
                    <w:tl2br w:val="nil"/>
                    <w:tr2bl w:val="nil"/>
                  </w:tcBorders>
                  <w:shd w:val="clear" w:color="auto" w:fill="D7D7D7" w:themeFill="background1" w:themeFillShade="D8"/>
                  <w:noWrap w:val="0"/>
                  <w:vAlign w:val="center"/>
                </w:tcPr>
                <w:p w14:paraId="3D31C66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b/>
                      <w:bCs/>
                      <w:color w:val="auto"/>
                      <w:kern w:val="0"/>
                      <w:sz w:val="18"/>
                      <w:szCs w:val="18"/>
                      <w:highlight w:val="none"/>
                      <w:vertAlign w:val="baseline"/>
                      <w:lang w:eastAsia="zh-CN"/>
                    </w:rPr>
                  </w:pPr>
                  <w:r>
                    <w:rPr>
                      <w:rFonts w:hint="eastAsia"/>
                      <w:b/>
                      <w:bCs/>
                      <w:color w:val="auto"/>
                      <w:kern w:val="0"/>
                      <w:sz w:val="18"/>
                      <w:szCs w:val="18"/>
                      <w:highlight w:val="none"/>
                      <w:vertAlign w:val="baseline"/>
                      <w:lang w:eastAsia="zh-CN"/>
                    </w:rPr>
                    <w:t>类型</w:t>
                  </w:r>
                </w:p>
              </w:tc>
              <w:tc>
                <w:tcPr>
                  <w:tcW w:w="2654" w:type="pct"/>
                  <w:gridSpan w:val="2"/>
                  <w:tcBorders>
                    <w:tl2br w:val="nil"/>
                    <w:tr2bl w:val="nil"/>
                  </w:tcBorders>
                  <w:shd w:val="clear" w:color="auto" w:fill="D7D7D7" w:themeFill="background1" w:themeFillShade="D8"/>
                  <w:noWrap w:val="0"/>
                  <w:vAlign w:val="center"/>
                </w:tcPr>
                <w:p w14:paraId="222876C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b/>
                      <w:bCs/>
                      <w:color w:val="auto"/>
                      <w:kern w:val="0"/>
                      <w:sz w:val="18"/>
                      <w:szCs w:val="18"/>
                      <w:highlight w:val="none"/>
                      <w:vertAlign w:val="baseline"/>
                      <w:lang w:eastAsia="zh-CN"/>
                    </w:rPr>
                  </w:pPr>
                  <w:r>
                    <w:rPr>
                      <w:rFonts w:hint="eastAsia"/>
                      <w:b/>
                      <w:bCs/>
                      <w:color w:val="auto"/>
                      <w:kern w:val="0"/>
                      <w:sz w:val="18"/>
                      <w:szCs w:val="18"/>
                      <w:highlight w:val="none"/>
                      <w:vertAlign w:val="baseline"/>
                      <w:lang w:eastAsia="zh-CN"/>
                    </w:rPr>
                    <w:t>重点管控要求</w:t>
                  </w:r>
                </w:p>
              </w:tc>
              <w:tc>
                <w:tcPr>
                  <w:tcW w:w="1147" w:type="pct"/>
                  <w:tcBorders>
                    <w:tl2br w:val="nil"/>
                    <w:tr2bl w:val="nil"/>
                  </w:tcBorders>
                  <w:shd w:val="clear" w:color="auto" w:fill="D7D7D7" w:themeFill="background1" w:themeFillShade="D8"/>
                  <w:noWrap w:val="0"/>
                  <w:vAlign w:val="center"/>
                </w:tcPr>
                <w:p w14:paraId="5913F0E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b/>
                      <w:bCs/>
                      <w:color w:val="auto"/>
                      <w:kern w:val="0"/>
                      <w:sz w:val="18"/>
                      <w:szCs w:val="18"/>
                      <w:highlight w:val="none"/>
                      <w:vertAlign w:val="baseline"/>
                      <w:lang w:eastAsia="zh-CN"/>
                    </w:rPr>
                  </w:pPr>
                  <w:r>
                    <w:rPr>
                      <w:rFonts w:hint="eastAsia"/>
                      <w:b/>
                      <w:bCs/>
                      <w:color w:val="auto"/>
                      <w:kern w:val="0"/>
                      <w:sz w:val="18"/>
                      <w:szCs w:val="18"/>
                      <w:highlight w:val="none"/>
                      <w:vertAlign w:val="baseline"/>
                      <w:lang w:eastAsia="zh-CN"/>
                    </w:rPr>
                    <w:t>本项目情况</w:t>
                  </w:r>
                </w:p>
              </w:tc>
              <w:tc>
                <w:tcPr>
                  <w:tcW w:w="600" w:type="pct"/>
                  <w:tcBorders>
                    <w:tl2br w:val="nil"/>
                    <w:tr2bl w:val="nil"/>
                  </w:tcBorders>
                  <w:shd w:val="clear" w:color="auto" w:fill="D7D7D7" w:themeFill="background1" w:themeFillShade="D8"/>
                  <w:noWrap w:val="0"/>
                  <w:vAlign w:val="center"/>
                </w:tcPr>
                <w:p w14:paraId="0DA6FD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b/>
                      <w:bCs/>
                      <w:color w:val="auto"/>
                      <w:kern w:val="0"/>
                      <w:sz w:val="18"/>
                      <w:szCs w:val="18"/>
                      <w:highlight w:val="none"/>
                      <w:vertAlign w:val="baseline"/>
                      <w:lang w:eastAsia="zh-CN"/>
                    </w:rPr>
                  </w:pPr>
                  <w:r>
                    <w:rPr>
                      <w:rFonts w:hint="eastAsia"/>
                      <w:b/>
                      <w:bCs/>
                      <w:color w:val="auto"/>
                      <w:kern w:val="0"/>
                      <w:sz w:val="18"/>
                      <w:szCs w:val="18"/>
                      <w:highlight w:val="none"/>
                      <w:vertAlign w:val="baseline"/>
                      <w:lang w:eastAsia="zh-CN"/>
                    </w:rPr>
                    <w:t>相符性分析</w:t>
                  </w:r>
                </w:p>
              </w:tc>
            </w:tr>
            <w:tr w14:paraId="7C5EF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6" w:type="dxa"/>
                  <w:tcBorders>
                    <w:tl2br w:val="nil"/>
                    <w:tr2bl w:val="nil"/>
                  </w:tcBorders>
                  <w:noWrap w:val="0"/>
                  <w:vAlign w:val="center"/>
                </w:tcPr>
                <w:p w14:paraId="67F7426A">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eastAsia="宋体"/>
                      <w:b w:val="0"/>
                      <w:bCs w:val="0"/>
                      <w:color w:val="auto"/>
                      <w:kern w:val="0"/>
                      <w:sz w:val="18"/>
                      <w:szCs w:val="18"/>
                      <w:highlight w:val="none"/>
                      <w:vertAlign w:val="baseline"/>
                      <w:lang w:eastAsia="zh-CN"/>
                    </w:rPr>
                  </w:pPr>
                  <w:r>
                    <w:rPr>
                      <w:color w:val="auto"/>
                      <w:sz w:val="18"/>
                      <w:szCs w:val="18"/>
                      <w:highlight w:val="none"/>
                    </w:rPr>
                    <w:t>空间布局约束</w:t>
                  </w:r>
                </w:p>
              </w:tc>
              <w:tc>
                <w:tcPr>
                  <w:tcW w:w="4065" w:type="dxa"/>
                  <w:gridSpan w:val="2"/>
                  <w:tcBorders>
                    <w:tl2br w:val="nil"/>
                    <w:tr2bl w:val="nil"/>
                  </w:tcBorders>
                  <w:noWrap w:val="0"/>
                  <w:vAlign w:val="center"/>
                </w:tcPr>
                <w:p w14:paraId="7D54D493">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rPr>
                  </w:pPr>
                  <w:r>
                    <w:rPr>
                      <w:rFonts w:hint="eastAsia"/>
                      <w:color w:val="auto"/>
                      <w:sz w:val="18"/>
                      <w:szCs w:val="18"/>
                      <w:highlight w:val="none"/>
                      <w:lang w:eastAsia="zh-CN"/>
                    </w:rPr>
                    <w:t>（1）执行规划和规划环评及其审查意见相关要求。（2）优先引入：先进装备制造、汽车零部件、生物医药、新能源等。（3）禁止引入：低效、高耗、环境污染、不利于产业集聚与产业优化的项目。（4）进一步优化各分区的功能定位和产业结构，加快推进开发区内产业集聚和转型升级。统筹开发区内现有金属加工及制品、电子机械等产业的布局，进一步优化中心商务城用地布局，优化、整合滨江工业城各工业园区产业发展方向与结构，减缓对区域人居环境、水环境的影响。</w:t>
                  </w:r>
                </w:p>
              </w:tc>
              <w:tc>
                <w:tcPr>
                  <w:tcW w:w="1757" w:type="dxa"/>
                  <w:tcBorders>
                    <w:tl2br w:val="nil"/>
                    <w:tr2bl w:val="nil"/>
                  </w:tcBorders>
                  <w:noWrap w:val="0"/>
                  <w:vAlign w:val="center"/>
                </w:tcPr>
                <w:p w14:paraId="1F432C8E">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rPr>
                  </w:pPr>
                  <w:r>
                    <w:rPr>
                      <w:color w:val="auto"/>
                      <w:sz w:val="18"/>
                      <w:szCs w:val="18"/>
                      <w:highlight w:val="none"/>
                    </w:rPr>
                    <w:t>本项目</w:t>
                  </w:r>
                  <w:r>
                    <w:rPr>
                      <w:rFonts w:hint="eastAsia"/>
                      <w:color w:val="auto"/>
                      <w:sz w:val="18"/>
                      <w:szCs w:val="18"/>
                      <w:highlight w:val="none"/>
                      <w:lang w:eastAsia="zh-CN"/>
                    </w:rPr>
                    <w:t>产品为</w:t>
                  </w:r>
                  <w:r>
                    <w:rPr>
                      <w:rFonts w:hint="eastAsia"/>
                      <w:color w:val="auto"/>
                      <w:sz w:val="18"/>
                      <w:szCs w:val="18"/>
                      <w:highlight w:val="none"/>
                      <w:lang w:val="en-US" w:eastAsia="zh-CN"/>
                    </w:rPr>
                    <w:t>特种纳米新材料薄膜</w:t>
                  </w:r>
                  <w:r>
                    <w:rPr>
                      <w:color w:val="auto"/>
                      <w:sz w:val="18"/>
                      <w:szCs w:val="18"/>
                      <w:highlight w:val="none"/>
                    </w:rPr>
                    <w:t>，厂址不在国家级生态红线内，不在江苏省生态空间管控区内，</w:t>
                  </w:r>
                  <w:r>
                    <w:rPr>
                      <w:rFonts w:hint="eastAsia"/>
                      <w:color w:val="auto"/>
                      <w:sz w:val="18"/>
                      <w:szCs w:val="18"/>
                      <w:highlight w:val="none"/>
                      <w:lang w:eastAsia="zh-CN"/>
                    </w:rPr>
                    <w:t>不属于双高项目</w:t>
                  </w:r>
                  <w:r>
                    <w:rPr>
                      <w:color w:val="auto"/>
                      <w:sz w:val="18"/>
                      <w:szCs w:val="18"/>
                      <w:highlight w:val="none"/>
                    </w:rPr>
                    <w:t>。</w:t>
                  </w:r>
                </w:p>
              </w:tc>
              <w:tc>
                <w:tcPr>
                  <w:tcW w:w="600" w:type="pct"/>
                  <w:tcBorders>
                    <w:tl2br w:val="nil"/>
                    <w:tr2bl w:val="nil"/>
                  </w:tcBorders>
                  <w:noWrap w:val="0"/>
                  <w:vAlign w:val="center"/>
                </w:tcPr>
                <w:p w14:paraId="15602AE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b w:val="0"/>
                      <w:bCs w:val="0"/>
                      <w:color w:val="auto"/>
                      <w:kern w:val="0"/>
                      <w:sz w:val="18"/>
                      <w:szCs w:val="18"/>
                      <w:highlight w:val="none"/>
                      <w:vertAlign w:val="baseline"/>
                      <w:lang w:eastAsia="zh-CN"/>
                    </w:rPr>
                  </w:pPr>
                  <w:r>
                    <w:rPr>
                      <w:rFonts w:hint="eastAsia"/>
                      <w:b w:val="0"/>
                      <w:bCs w:val="0"/>
                      <w:color w:val="auto"/>
                      <w:kern w:val="0"/>
                      <w:sz w:val="18"/>
                      <w:szCs w:val="18"/>
                      <w:highlight w:val="none"/>
                      <w:vertAlign w:val="baseline"/>
                      <w:lang w:eastAsia="zh-CN"/>
                    </w:rPr>
                    <w:t>相符</w:t>
                  </w:r>
                </w:p>
              </w:tc>
            </w:tr>
            <w:tr w14:paraId="4A5A3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6" w:type="dxa"/>
                  <w:tcBorders>
                    <w:tl2br w:val="nil"/>
                    <w:tr2bl w:val="nil"/>
                  </w:tcBorders>
                  <w:noWrap w:val="0"/>
                  <w:vAlign w:val="center"/>
                </w:tcPr>
                <w:p w14:paraId="145FE7DC">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lang w:eastAsia="zh-CN"/>
                    </w:rPr>
                  </w:pPr>
                  <w:r>
                    <w:rPr>
                      <w:color w:val="auto"/>
                      <w:sz w:val="18"/>
                      <w:szCs w:val="18"/>
                      <w:highlight w:val="none"/>
                    </w:rPr>
                    <w:t>污染物排放管控</w:t>
                  </w:r>
                </w:p>
              </w:tc>
              <w:tc>
                <w:tcPr>
                  <w:tcW w:w="4065" w:type="dxa"/>
                  <w:gridSpan w:val="2"/>
                  <w:tcBorders>
                    <w:tl2br w:val="nil"/>
                    <w:tr2bl w:val="nil"/>
                  </w:tcBorders>
                  <w:noWrap w:val="0"/>
                  <w:vAlign w:val="center"/>
                </w:tcPr>
                <w:p w14:paraId="3EAD420A">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rPr>
                  </w:pPr>
                  <w:r>
                    <w:rPr>
                      <w:rFonts w:hint="eastAsia"/>
                      <w:color w:val="auto"/>
                      <w:sz w:val="18"/>
                      <w:szCs w:val="18"/>
                      <w:highlight w:val="none"/>
                    </w:rPr>
                    <w:t>（1）严格实施污染物总量控制制度，根据区域环境质量改善目标，采取有效措施减少主要污染物排放总量，确保区域环境质量持续改善。（2）园区污染物排放总量按照规划和规划环评及其审查意见的要求进行管控。</w:t>
                  </w:r>
                  <w:r>
                    <w:rPr>
                      <w:rFonts w:hint="eastAsia"/>
                      <w:color w:val="auto"/>
                      <w:sz w:val="18"/>
                      <w:szCs w:val="18"/>
                      <w:highlight w:val="none"/>
                      <w:lang w:eastAsia="zh-CN"/>
                    </w:rPr>
                    <w:t>（</w:t>
                  </w:r>
                  <w:r>
                    <w:rPr>
                      <w:rFonts w:hint="eastAsia"/>
                      <w:color w:val="auto"/>
                      <w:sz w:val="18"/>
                      <w:szCs w:val="18"/>
                      <w:highlight w:val="none"/>
                    </w:rPr>
                    <w:t>3</w:t>
                  </w:r>
                  <w:r>
                    <w:rPr>
                      <w:rFonts w:hint="eastAsia"/>
                      <w:color w:val="auto"/>
                      <w:sz w:val="18"/>
                      <w:szCs w:val="18"/>
                      <w:highlight w:val="none"/>
                      <w:lang w:eastAsia="zh-CN"/>
                    </w:rPr>
                    <w:t>）</w:t>
                  </w:r>
                  <w:r>
                    <w:rPr>
                      <w:rFonts w:hint="eastAsia"/>
                      <w:color w:val="auto"/>
                      <w:sz w:val="18"/>
                      <w:szCs w:val="18"/>
                      <w:highlight w:val="none"/>
                    </w:rPr>
                    <w:t>落实工业园区（集中区）污染物排放限值限量管理要求，实行园区主要污染物排放浓度、排放总量双控。</w:t>
                  </w:r>
                </w:p>
              </w:tc>
              <w:tc>
                <w:tcPr>
                  <w:tcW w:w="1757" w:type="dxa"/>
                  <w:tcBorders>
                    <w:tl2br w:val="nil"/>
                    <w:tr2bl w:val="nil"/>
                  </w:tcBorders>
                  <w:noWrap w:val="0"/>
                  <w:vAlign w:val="center"/>
                </w:tcPr>
                <w:p w14:paraId="3094E75A">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rPr>
                  </w:pPr>
                  <w:r>
                    <w:rPr>
                      <w:rFonts w:hint="eastAsia" w:ascii="Times New Roman"/>
                      <w:color w:val="auto"/>
                      <w:spacing w:val="-2"/>
                      <w:kern w:val="2"/>
                      <w:sz w:val="18"/>
                      <w:szCs w:val="18"/>
                      <w:highlight w:val="none"/>
                    </w:rPr>
                    <w:t>本项目</w:t>
                  </w:r>
                  <w:r>
                    <w:rPr>
                      <w:rFonts w:hint="eastAsia" w:ascii="Times New Roman"/>
                      <w:color w:val="auto"/>
                      <w:spacing w:val="-2"/>
                      <w:kern w:val="2"/>
                      <w:sz w:val="18"/>
                      <w:szCs w:val="18"/>
                      <w:highlight w:val="none"/>
                      <w:lang w:eastAsia="zh-CN"/>
                    </w:rPr>
                    <w:t>无需申请总量</w:t>
                  </w:r>
                  <w:r>
                    <w:rPr>
                      <w:rFonts w:hint="eastAsia" w:ascii="Times New Roman"/>
                      <w:color w:val="auto"/>
                      <w:spacing w:val="-2"/>
                      <w:kern w:val="2"/>
                      <w:sz w:val="18"/>
                      <w:szCs w:val="18"/>
                      <w:highlight w:val="none"/>
                    </w:rPr>
                    <w:t>。</w:t>
                  </w:r>
                </w:p>
              </w:tc>
              <w:tc>
                <w:tcPr>
                  <w:tcW w:w="600" w:type="pct"/>
                  <w:tcBorders>
                    <w:tl2br w:val="nil"/>
                    <w:tr2bl w:val="nil"/>
                  </w:tcBorders>
                  <w:noWrap w:val="0"/>
                  <w:vAlign w:val="center"/>
                </w:tcPr>
                <w:p w14:paraId="1E3786A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kern w:val="0"/>
                      <w:sz w:val="18"/>
                      <w:szCs w:val="18"/>
                      <w:highlight w:val="none"/>
                      <w:vertAlign w:val="baseline"/>
                      <w:lang w:eastAsia="zh-CN"/>
                    </w:rPr>
                  </w:pPr>
                  <w:r>
                    <w:rPr>
                      <w:rFonts w:hint="eastAsia"/>
                      <w:b w:val="0"/>
                      <w:bCs w:val="0"/>
                      <w:color w:val="auto"/>
                      <w:kern w:val="0"/>
                      <w:sz w:val="18"/>
                      <w:szCs w:val="18"/>
                      <w:highlight w:val="none"/>
                      <w:vertAlign w:val="baseline"/>
                      <w:lang w:eastAsia="zh-CN"/>
                    </w:rPr>
                    <w:t>相符</w:t>
                  </w:r>
                </w:p>
              </w:tc>
            </w:tr>
            <w:tr w14:paraId="688B8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6" w:type="dxa"/>
                  <w:tcBorders>
                    <w:tl2br w:val="nil"/>
                    <w:tr2bl w:val="nil"/>
                  </w:tcBorders>
                  <w:noWrap w:val="0"/>
                  <w:vAlign w:val="center"/>
                </w:tcPr>
                <w:p w14:paraId="55C656CE">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lang w:eastAsia="zh-CN"/>
                    </w:rPr>
                  </w:pPr>
                  <w:r>
                    <w:rPr>
                      <w:color w:val="auto"/>
                      <w:sz w:val="18"/>
                      <w:szCs w:val="18"/>
                      <w:highlight w:val="none"/>
                    </w:rPr>
                    <w:t>环境风险管控</w:t>
                  </w:r>
                </w:p>
              </w:tc>
              <w:tc>
                <w:tcPr>
                  <w:tcW w:w="4065" w:type="dxa"/>
                  <w:gridSpan w:val="2"/>
                  <w:tcBorders>
                    <w:tl2br w:val="nil"/>
                    <w:tr2bl w:val="nil"/>
                  </w:tcBorders>
                  <w:noWrap w:val="0"/>
                  <w:vAlign w:val="center"/>
                </w:tcPr>
                <w:p w14:paraId="3126F505">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eastAsia="宋体"/>
                      <w:b w:val="0"/>
                      <w:bCs w:val="0"/>
                      <w:color w:val="auto"/>
                      <w:kern w:val="0"/>
                      <w:sz w:val="18"/>
                      <w:szCs w:val="18"/>
                      <w:highlight w:val="none"/>
                      <w:vertAlign w:val="baseline"/>
                      <w:lang w:eastAsia="zh-CN"/>
                    </w:rPr>
                  </w:pPr>
                  <w:r>
                    <w:rPr>
                      <w:rFonts w:hint="eastAsia"/>
                      <w:color w:val="auto"/>
                      <w:sz w:val="18"/>
                      <w:szCs w:val="18"/>
                      <w:highlight w:val="none"/>
                    </w:rPr>
                    <w:t>（1）建立健全园区环境风险防范体系和生态安全保障体系，建立应急响应联动机制，完善应急预案，提升开发区环境风险防控和应急响应能力，保障区域环境安全。（2）建立完善包括环境空气、地表水、地下水、土壤等环境要素的监控体系，做好长期跟踪监测与管理。（3）按照相关管理要求申报、处置废弃危险化学品。强化对危险废物的收集、贮存和处置的监督管理，实现危险废物监管无盲区、无死角。</w:t>
                  </w:r>
                </w:p>
              </w:tc>
              <w:tc>
                <w:tcPr>
                  <w:tcW w:w="1757" w:type="dxa"/>
                  <w:tcBorders>
                    <w:tl2br w:val="nil"/>
                    <w:tr2bl w:val="nil"/>
                  </w:tcBorders>
                  <w:noWrap w:val="0"/>
                  <w:vAlign w:val="center"/>
                </w:tcPr>
                <w:p w14:paraId="4CC22067">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rPr>
                  </w:pPr>
                  <w:r>
                    <w:rPr>
                      <w:rFonts w:hint="eastAsia"/>
                      <w:color w:val="auto"/>
                      <w:sz w:val="18"/>
                      <w:szCs w:val="18"/>
                      <w:highlight w:val="none"/>
                      <w:lang w:eastAsia="zh-CN"/>
                    </w:rPr>
                    <w:t>环评要求企</w:t>
                  </w:r>
                  <w:r>
                    <w:rPr>
                      <w:rFonts w:hint="eastAsia"/>
                      <w:color w:val="auto"/>
                      <w:sz w:val="18"/>
                      <w:szCs w:val="18"/>
                      <w:highlight w:val="none"/>
                    </w:rPr>
                    <w:t>业制定并落实各类事</w:t>
                  </w:r>
                  <w:r>
                    <w:rPr>
                      <w:rFonts w:hint="eastAsia"/>
                      <w:color w:val="auto"/>
                      <w:sz w:val="18"/>
                      <w:szCs w:val="18"/>
                      <w:highlight w:val="none"/>
                      <w:lang w:eastAsia="zh-CN"/>
                    </w:rPr>
                    <w:t>故</w:t>
                  </w:r>
                  <w:r>
                    <w:rPr>
                      <w:rFonts w:hint="eastAsia"/>
                      <w:color w:val="auto"/>
                      <w:sz w:val="18"/>
                      <w:szCs w:val="18"/>
                      <w:highlight w:val="none"/>
                    </w:rPr>
                    <w:t>风险防范</w:t>
                  </w:r>
                  <w:r>
                    <w:rPr>
                      <w:rFonts w:hint="eastAsia"/>
                      <w:color w:val="auto"/>
                      <w:sz w:val="18"/>
                      <w:szCs w:val="18"/>
                      <w:highlight w:val="none"/>
                      <w:lang w:eastAsia="zh-CN"/>
                    </w:rPr>
                    <w:t>措施，编制突发</w:t>
                  </w:r>
                  <w:r>
                    <w:rPr>
                      <w:rFonts w:hint="eastAsia"/>
                      <w:color w:val="auto"/>
                      <w:sz w:val="18"/>
                      <w:szCs w:val="18"/>
                      <w:highlight w:val="none"/>
                    </w:rPr>
                    <w:t>环境事件应急预案并进行备案，根据应急预案要求储备应急物资，开展应急演练。</w:t>
                  </w:r>
                </w:p>
              </w:tc>
              <w:tc>
                <w:tcPr>
                  <w:tcW w:w="600" w:type="pct"/>
                  <w:tcBorders>
                    <w:tl2br w:val="nil"/>
                    <w:tr2bl w:val="nil"/>
                  </w:tcBorders>
                  <w:noWrap w:val="0"/>
                  <w:vAlign w:val="center"/>
                </w:tcPr>
                <w:p w14:paraId="67ACE0F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kern w:val="0"/>
                      <w:sz w:val="18"/>
                      <w:szCs w:val="18"/>
                      <w:highlight w:val="none"/>
                      <w:vertAlign w:val="baseline"/>
                      <w:lang w:eastAsia="zh-CN"/>
                    </w:rPr>
                  </w:pPr>
                  <w:r>
                    <w:rPr>
                      <w:rFonts w:hint="eastAsia"/>
                      <w:b w:val="0"/>
                      <w:bCs w:val="0"/>
                      <w:color w:val="auto"/>
                      <w:kern w:val="0"/>
                      <w:sz w:val="18"/>
                      <w:szCs w:val="18"/>
                      <w:highlight w:val="none"/>
                      <w:vertAlign w:val="baseline"/>
                      <w:lang w:eastAsia="zh-CN"/>
                    </w:rPr>
                    <w:t>相符</w:t>
                  </w:r>
                </w:p>
              </w:tc>
            </w:tr>
            <w:tr w14:paraId="30484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6" w:type="dxa"/>
                  <w:tcBorders>
                    <w:tl2br w:val="nil"/>
                    <w:tr2bl w:val="nil"/>
                  </w:tcBorders>
                  <w:noWrap w:val="0"/>
                  <w:vAlign w:val="center"/>
                </w:tcPr>
                <w:p w14:paraId="053F653C">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lang w:eastAsia="zh-CN"/>
                    </w:rPr>
                  </w:pPr>
                  <w:r>
                    <w:rPr>
                      <w:color w:val="auto"/>
                      <w:sz w:val="18"/>
                      <w:szCs w:val="18"/>
                      <w:highlight w:val="none"/>
                    </w:rPr>
                    <w:t>资源利用效率要求</w:t>
                  </w:r>
                </w:p>
              </w:tc>
              <w:tc>
                <w:tcPr>
                  <w:tcW w:w="4065" w:type="dxa"/>
                  <w:gridSpan w:val="2"/>
                  <w:tcBorders>
                    <w:tl2br w:val="nil"/>
                    <w:tr2bl w:val="nil"/>
                  </w:tcBorders>
                  <w:noWrap w:val="0"/>
                  <w:vAlign w:val="center"/>
                </w:tcPr>
                <w:p w14:paraId="4A2C02F6">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rPr>
                  </w:pPr>
                  <w:r>
                    <w:rPr>
                      <w:rFonts w:hint="eastAsia"/>
                      <w:color w:val="auto"/>
                      <w:sz w:val="18"/>
                      <w:szCs w:val="18"/>
                      <w:highlight w:val="none"/>
                      <w:lang w:eastAsia="zh-CN"/>
                    </w:rPr>
                    <w:t>（1）结合区域环境质量改善目标要求，衔接区域水资源、能源利用总量管控目标，进一步优化开发区内能源结构，提升水资源、能源利用效率。引进项目的生产工艺、污染治理技术，以及单位产品能耗、物耗、污染物排放强度和资源利用效率等均需达到同行业先进水平。（2）按照国家和省能耗及水耗限额标准执行。（3）强化企业清洁生产改造，推进节水型企业、节水型园区建设，提高资源能源利用效率。</w:t>
                  </w:r>
                </w:p>
              </w:tc>
              <w:tc>
                <w:tcPr>
                  <w:tcW w:w="1757" w:type="dxa"/>
                  <w:tcBorders>
                    <w:tl2br w:val="nil"/>
                    <w:tr2bl w:val="nil"/>
                  </w:tcBorders>
                  <w:noWrap w:val="0"/>
                  <w:vAlign w:val="center"/>
                </w:tcPr>
                <w:p w14:paraId="1C4DB202">
                  <w:pPr>
                    <w:pStyle w:val="159"/>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eastAsia"/>
                      <w:b w:val="0"/>
                      <w:bCs w:val="0"/>
                      <w:color w:val="auto"/>
                      <w:kern w:val="0"/>
                      <w:sz w:val="18"/>
                      <w:szCs w:val="18"/>
                      <w:highlight w:val="none"/>
                      <w:vertAlign w:val="baseline"/>
                    </w:rPr>
                  </w:pPr>
                  <w:r>
                    <w:rPr>
                      <w:color w:val="auto"/>
                      <w:sz w:val="18"/>
                      <w:szCs w:val="18"/>
                      <w:highlight w:val="none"/>
                    </w:rPr>
                    <w:t>本项目</w:t>
                  </w:r>
                  <w:r>
                    <w:rPr>
                      <w:rFonts w:hint="eastAsia"/>
                      <w:color w:val="auto"/>
                      <w:sz w:val="18"/>
                      <w:szCs w:val="18"/>
                      <w:highlight w:val="none"/>
                      <w:lang w:eastAsia="zh-CN"/>
                    </w:rPr>
                    <w:t>不涉及高污染燃料，严格完成上级下达的各项碳排放控制目标。</w:t>
                  </w:r>
                </w:p>
              </w:tc>
              <w:tc>
                <w:tcPr>
                  <w:tcW w:w="600" w:type="pct"/>
                  <w:tcBorders>
                    <w:tl2br w:val="nil"/>
                    <w:tr2bl w:val="nil"/>
                  </w:tcBorders>
                  <w:noWrap w:val="0"/>
                  <w:vAlign w:val="center"/>
                </w:tcPr>
                <w:p w14:paraId="45BF47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val="0"/>
                      <w:bCs w:val="0"/>
                      <w:color w:val="auto"/>
                      <w:kern w:val="0"/>
                      <w:sz w:val="18"/>
                      <w:szCs w:val="18"/>
                      <w:highlight w:val="none"/>
                      <w:vertAlign w:val="baseline"/>
                      <w:lang w:eastAsia="zh-CN"/>
                    </w:rPr>
                  </w:pPr>
                  <w:r>
                    <w:rPr>
                      <w:rFonts w:hint="eastAsia"/>
                      <w:b w:val="0"/>
                      <w:bCs w:val="0"/>
                      <w:color w:val="auto"/>
                      <w:kern w:val="0"/>
                      <w:sz w:val="18"/>
                      <w:szCs w:val="18"/>
                      <w:highlight w:val="none"/>
                      <w:vertAlign w:val="baseline"/>
                      <w:lang w:eastAsia="zh-CN"/>
                    </w:rPr>
                    <w:t>相符</w:t>
                  </w:r>
                </w:p>
              </w:tc>
            </w:tr>
          </w:tbl>
          <w:p w14:paraId="0F7C4A38">
            <w:pPr>
              <w:autoSpaceDE w:val="0"/>
              <w:autoSpaceDN w:val="0"/>
              <w:adjustRightInd w:val="0"/>
              <w:snapToGrid w:val="0"/>
              <w:spacing w:line="360" w:lineRule="auto"/>
              <w:ind w:firstLine="420" w:firstLineChars="200"/>
              <w:rPr>
                <w:rFonts w:hint="eastAsia"/>
                <w:b w:val="0"/>
                <w:bCs w:val="0"/>
                <w:color w:val="auto"/>
                <w:kern w:val="0"/>
                <w:szCs w:val="21"/>
                <w:highlight w:val="none"/>
              </w:rPr>
            </w:pPr>
            <w:r>
              <w:rPr>
                <w:rFonts w:hint="eastAsia"/>
                <w:b w:val="0"/>
                <w:bCs w:val="0"/>
                <w:color w:val="auto"/>
                <w:kern w:val="0"/>
                <w:szCs w:val="21"/>
                <w:highlight w:val="none"/>
              </w:rPr>
              <w:t>因此，本项目的建设符合</w:t>
            </w:r>
            <w:r>
              <w:rPr>
                <w:rFonts w:hint="eastAsia"/>
                <w:b w:val="0"/>
                <w:bCs w:val="0"/>
                <w:color w:val="auto"/>
                <w:kern w:val="0"/>
                <w:szCs w:val="21"/>
                <w:highlight w:val="none"/>
                <w:lang w:val="en-US" w:eastAsia="zh-CN"/>
              </w:rPr>
              <w:t>管控</w:t>
            </w:r>
            <w:r>
              <w:rPr>
                <w:rFonts w:hint="eastAsia"/>
                <w:b w:val="0"/>
                <w:bCs w:val="0"/>
                <w:color w:val="auto"/>
                <w:kern w:val="0"/>
                <w:szCs w:val="21"/>
                <w:highlight w:val="none"/>
              </w:rPr>
              <w:t>要求。</w:t>
            </w:r>
          </w:p>
          <w:p w14:paraId="13E6ABAB">
            <w:pPr>
              <w:autoSpaceDE w:val="0"/>
              <w:autoSpaceDN w:val="0"/>
              <w:adjustRightInd w:val="0"/>
              <w:snapToGrid w:val="0"/>
              <w:spacing w:line="360" w:lineRule="auto"/>
              <w:ind w:firstLine="420" w:firstLineChars="200"/>
              <w:rPr>
                <w:rFonts w:hint="eastAsia"/>
                <w:b w:val="0"/>
                <w:bCs w:val="0"/>
                <w:color w:val="auto"/>
                <w:kern w:val="0"/>
                <w:szCs w:val="21"/>
                <w:highlight w:val="none"/>
              </w:rPr>
            </w:pPr>
          </w:p>
        </w:tc>
      </w:tr>
      <w:tr w14:paraId="62612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pct"/>
            <w:vAlign w:val="center"/>
          </w:tcPr>
          <w:p w14:paraId="5DF75D98">
            <w:pPr>
              <w:pStyle w:val="75"/>
              <w:rPr>
                <w:color w:val="auto"/>
              </w:rPr>
            </w:pPr>
            <w:r>
              <w:rPr>
                <w:color w:val="auto"/>
              </w:rPr>
              <w:t>其他符合性分析</w:t>
            </w:r>
          </w:p>
        </w:tc>
        <w:tc>
          <w:tcPr>
            <w:tcW w:w="4473" w:type="pct"/>
            <w:gridSpan w:val="3"/>
          </w:tcPr>
          <w:p w14:paraId="030E90D3">
            <w:pPr>
              <w:spacing w:line="360" w:lineRule="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）与《市委</w:t>
            </w:r>
            <w:r>
              <w:rPr>
                <w:rFonts w:hint="default" w:ascii="Times New Roman" w:hAnsi="Times New Roman" w:eastAsia="宋体" w:cs="Times New Roman"/>
                <w:b/>
                <w:bCs/>
                <w:color w:val="auto"/>
                <w:szCs w:val="21"/>
                <w:highlight w:val="none"/>
                <w:lang w:eastAsia="zh-CN"/>
              </w:rPr>
              <w:t>办</w:t>
            </w:r>
            <w:r>
              <w:rPr>
                <w:rFonts w:hint="default" w:ascii="Times New Roman" w:hAnsi="Times New Roman" w:eastAsia="宋体" w:cs="Times New Roman"/>
                <w:b/>
                <w:bCs/>
                <w:color w:val="auto"/>
                <w:szCs w:val="21"/>
                <w:highlight w:val="none"/>
              </w:rPr>
              <w:t>公室市政府办公室印发&lt;南通市关于加强减污降碳协同推进重点行业绿色发展的指导意见&gt;的通知》</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通办</w:t>
            </w:r>
            <w:r>
              <w:rPr>
                <w:rFonts w:hint="default" w:ascii="Times New Roman" w:hAnsi="Times New Roman" w:eastAsia="宋体" w:cs="Times New Roman"/>
                <w:b/>
                <w:bCs/>
                <w:color w:val="auto"/>
                <w:sz w:val="18"/>
                <w:szCs w:val="18"/>
                <w:lang w:eastAsia="zh-CN"/>
              </w:rPr>
              <w:t>〔</w:t>
            </w:r>
            <w:r>
              <w:rPr>
                <w:rFonts w:hint="default" w:ascii="Times New Roman" w:hAnsi="Times New Roman" w:eastAsia="宋体" w:cs="Times New Roman"/>
                <w:b/>
                <w:bCs/>
                <w:color w:val="auto"/>
                <w:szCs w:val="21"/>
                <w:highlight w:val="none"/>
              </w:rPr>
              <w:t>2024</w:t>
            </w:r>
            <w:r>
              <w:rPr>
                <w:rFonts w:hint="default" w:ascii="Times New Roman" w:hAnsi="Times New Roman" w:eastAsia="宋体" w:cs="Times New Roman"/>
                <w:b/>
                <w:bCs/>
                <w:color w:val="auto"/>
                <w:sz w:val="18"/>
                <w:szCs w:val="18"/>
                <w:lang w:eastAsia="zh-CN"/>
              </w:rPr>
              <w:t>〕</w:t>
            </w:r>
            <w:r>
              <w:rPr>
                <w:rFonts w:hint="default" w:ascii="Times New Roman" w:hAnsi="Times New Roman" w:eastAsia="宋体" w:cs="Times New Roman"/>
                <w:b/>
                <w:bCs/>
                <w:color w:val="auto"/>
                <w:szCs w:val="21"/>
                <w:highlight w:val="none"/>
              </w:rPr>
              <w:t>6号</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相符性分析</w:t>
            </w:r>
          </w:p>
          <w:p w14:paraId="02462162">
            <w:pPr>
              <w:spacing w:line="360" w:lineRule="auto"/>
              <w:ind w:firstLine="420" w:firstLineChars="200"/>
              <w:rPr>
                <w:rFonts w:hint="eastAsia"/>
                <w:b w:val="0"/>
                <w:bCs w:val="0"/>
                <w:color w:val="auto"/>
                <w:szCs w:val="21"/>
                <w:highlight w:val="none"/>
              </w:rPr>
            </w:pPr>
            <w:r>
              <w:rPr>
                <w:rFonts w:hint="default" w:ascii="Times New Roman" w:hAnsi="Times New Roman" w:eastAsia="宋体" w:cs="Times New Roman"/>
                <w:b w:val="0"/>
                <w:bCs w:val="0"/>
                <w:color w:val="auto"/>
                <w:szCs w:val="21"/>
                <w:highlight w:val="none"/>
              </w:rPr>
              <w:t>对照《市委办公室市政府办公</w:t>
            </w:r>
            <w:r>
              <w:rPr>
                <w:rFonts w:hint="eastAsia"/>
                <w:b w:val="0"/>
                <w:bCs w:val="0"/>
                <w:color w:val="auto"/>
                <w:szCs w:val="21"/>
                <w:highlight w:val="none"/>
              </w:rPr>
              <w:t>室印发&lt;南通市关于加强减污降碳协同推进重点行业绿色发展的指导意见&gt;的通知》</w:t>
            </w:r>
            <w:r>
              <w:rPr>
                <w:rFonts w:hint="eastAsia"/>
                <w:b w:val="0"/>
                <w:bCs w:val="0"/>
                <w:color w:val="auto"/>
                <w:szCs w:val="21"/>
                <w:highlight w:val="none"/>
                <w:lang w:eastAsia="zh-CN"/>
              </w:rPr>
              <w:t>（</w:t>
            </w:r>
            <w:r>
              <w:rPr>
                <w:rFonts w:hint="eastAsia"/>
                <w:b w:val="0"/>
                <w:bCs w:val="0"/>
                <w:color w:val="auto"/>
                <w:szCs w:val="21"/>
                <w:highlight w:val="none"/>
              </w:rPr>
              <w:t>通办</w:t>
            </w:r>
            <w:r>
              <w:rPr>
                <w:rFonts w:hint="default" w:ascii="Times New Roman" w:hAnsi="Times New Roman" w:eastAsia="宋体" w:cs="Times New Roman"/>
                <w:color w:val="auto"/>
                <w:sz w:val="18"/>
                <w:szCs w:val="18"/>
                <w:lang w:eastAsia="zh-CN"/>
              </w:rPr>
              <w:t>〔</w:t>
            </w:r>
            <w:r>
              <w:rPr>
                <w:rFonts w:hint="eastAsia"/>
                <w:b w:val="0"/>
                <w:bCs w:val="0"/>
                <w:color w:val="auto"/>
                <w:szCs w:val="21"/>
                <w:highlight w:val="none"/>
              </w:rPr>
              <w:t>2024</w:t>
            </w:r>
            <w:r>
              <w:rPr>
                <w:rFonts w:hint="default" w:ascii="Times New Roman" w:hAnsi="Times New Roman" w:eastAsia="宋体" w:cs="Times New Roman"/>
                <w:color w:val="auto"/>
                <w:sz w:val="18"/>
                <w:szCs w:val="18"/>
                <w:lang w:eastAsia="zh-CN"/>
              </w:rPr>
              <w:t>〕</w:t>
            </w:r>
            <w:r>
              <w:rPr>
                <w:rFonts w:hint="eastAsia"/>
                <w:b w:val="0"/>
                <w:bCs w:val="0"/>
                <w:color w:val="auto"/>
                <w:szCs w:val="21"/>
                <w:highlight w:val="none"/>
              </w:rPr>
              <w:t>6号</w:t>
            </w:r>
            <w:r>
              <w:rPr>
                <w:rFonts w:hint="eastAsia"/>
                <w:b w:val="0"/>
                <w:bCs w:val="0"/>
                <w:color w:val="auto"/>
                <w:szCs w:val="21"/>
                <w:highlight w:val="none"/>
                <w:lang w:eastAsia="zh-CN"/>
              </w:rPr>
              <w:t>）</w:t>
            </w:r>
            <w:r>
              <w:rPr>
                <w:rFonts w:hint="eastAsia"/>
                <w:b w:val="0"/>
                <w:bCs w:val="0"/>
                <w:color w:val="auto"/>
                <w:szCs w:val="21"/>
                <w:highlight w:val="none"/>
              </w:rPr>
              <w:t>，主要针对纺织印染、装备制造、电子信息、船舶海工、造纸、非金属制品、化工、电力与热力供应八大重点行业推进绿色发展。</w:t>
            </w:r>
          </w:p>
          <w:p w14:paraId="4939D73B">
            <w:pPr>
              <w:spacing w:line="360" w:lineRule="auto"/>
              <w:ind w:firstLine="420" w:firstLineChars="200"/>
              <w:rPr>
                <w:rFonts w:hint="eastAsia"/>
                <w:b w:val="0"/>
                <w:bCs w:val="0"/>
                <w:color w:val="auto"/>
                <w:szCs w:val="21"/>
                <w:highlight w:val="none"/>
              </w:rPr>
            </w:pPr>
            <w:r>
              <w:rPr>
                <w:rFonts w:hint="eastAsia"/>
                <w:b w:val="0"/>
                <w:bCs w:val="0"/>
                <w:color w:val="auto"/>
                <w:szCs w:val="21"/>
                <w:highlight w:val="none"/>
              </w:rPr>
              <w:t>本项目不属于纺织、化工、造纸等八个重点行业，与通办</w:t>
            </w:r>
            <w:r>
              <w:rPr>
                <w:rFonts w:hint="default" w:ascii="Times New Roman" w:hAnsi="Times New Roman" w:eastAsia="宋体" w:cs="Times New Roman"/>
                <w:color w:val="auto"/>
                <w:sz w:val="18"/>
                <w:szCs w:val="18"/>
                <w:lang w:eastAsia="zh-CN"/>
              </w:rPr>
              <w:t>〔</w:t>
            </w:r>
            <w:r>
              <w:rPr>
                <w:rFonts w:hint="eastAsia"/>
                <w:b w:val="0"/>
                <w:bCs w:val="0"/>
                <w:color w:val="auto"/>
                <w:szCs w:val="21"/>
                <w:highlight w:val="none"/>
              </w:rPr>
              <w:t>2024</w:t>
            </w:r>
            <w:r>
              <w:rPr>
                <w:rFonts w:hint="default" w:ascii="Times New Roman" w:hAnsi="Times New Roman" w:eastAsia="宋体" w:cs="Times New Roman"/>
                <w:color w:val="auto"/>
                <w:sz w:val="18"/>
                <w:szCs w:val="18"/>
                <w:lang w:eastAsia="zh-CN"/>
              </w:rPr>
              <w:t>〕</w:t>
            </w:r>
            <w:r>
              <w:rPr>
                <w:rFonts w:hint="eastAsia"/>
                <w:b w:val="0"/>
                <w:bCs w:val="0"/>
                <w:color w:val="auto"/>
                <w:szCs w:val="21"/>
                <w:highlight w:val="none"/>
              </w:rPr>
              <w:t>6号相符合。</w:t>
            </w:r>
          </w:p>
          <w:p w14:paraId="4C2CB213">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与</w:t>
            </w:r>
            <w:r>
              <w:rPr>
                <w:rFonts w:hint="default" w:ascii="Times New Roman" w:hAnsi="Times New Roman" w:eastAsia="宋体" w:cs="Times New Roman"/>
                <w:b/>
                <w:bCs/>
                <w:snapToGrid w:val="0"/>
                <w:color w:val="auto"/>
                <w:kern w:val="2"/>
                <w:sz w:val="21"/>
                <w:szCs w:val="21"/>
                <w:highlight w:val="none"/>
                <w:lang w:val="en-US" w:eastAsia="zh-CN" w:bidi="ar-SA"/>
              </w:rPr>
              <w:t>通办</w:t>
            </w:r>
            <w:r>
              <w:rPr>
                <w:rFonts w:hint="default" w:ascii="Times New Roman" w:hAnsi="Times New Roman" w:eastAsia="宋体" w:cs="Times New Roman"/>
                <w:b/>
                <w:bCs/>
                <w:color w:val="auto"/>
                <w:sz w:val="18"/>
                <w:szCs w:val="18"/>
                <w:lang w:eastAsia="zh-CN"/>
              </w:rPr>
              <w:t>〔</w:t>
            </w:r>
            <w:r>
              <w:rPr>
                <w:rFonts w:hint="default" w:ascii="Times New Roman" w:hAnsi="Times New Roman" w:eastAsia="宋体" w:cs="Times New Roman"/>
                <w:b/>
                <w:bCs/>
                <w:snapToGrid w:val="0"/>
                <w:color w:val="auto"/>
                <w:kern w:val="2"/>
                <w:sz w:val="21"/>
                <w:szCs w:val="21"/>
                <w:highlight w:val="none"/>
                <w:lang w:val="en-US" w:eastAsia="zh-CN" w:bidi="ar-SA"/>
              </w:rPr>
              <w:t>2024</w:t>
            </w:r>
            <w:r>
              <w:rPr>
                <w:rFonts w:hint="default" w:ascii="Times New Roman" w:hAnsi="Times New Roman" w:eastAsia="宋体" w:cs="Times New Roman"/>
                <w:b/>
                <w:bCs/>
                <w:color w:val="auto"/>
                <w:sz w:val="18"/>
                <w:szCs w:val="18"/>
                <w:lang w:eastAsia="zh-CN"/>
              </w:rPr>
              <w:t>〕</w:t>
            </w:r>
            <w:r>
              <w:rPr>
                <w:rFonts w:hint="default" w:ascii="Times New Roman" w:hAnsi="Times New Roman" w:eastAsia="宋体" w:cs="Times New Roman"/>
                <w:b/>
                <w:bCs/>
                <w:snapToGrid w:val="0"/>
                <w:color w:val="auto"/>
                <w:kern w:val="2"/>
                <w:sz w:val="21"/>
                <w:szCs w:val="21"/>
                <w:highlight w:val="none"/>
                <w:lang w:val="en-US" w:eastAsia="zh-CN" w:bidi="ar-SA"/>
              </w:rPr>
              <w:t>6号</w:t>
            </w:r>
            <w:r>
              <w:rPr>
                <w:rFonts w:hint="eastAsia" w:cs="Times New Roman"/>
                <w:b/>
                <w:bCs/>
                <w:snapToGrid w:val="0"/>
                <w:color w:val="auto"/>
                <w:kern w:val="2"/>
                <w:sz w:val="21"/>
                <w:szCs w:val="21"/>
                <w:highlight w:val="none"/>
                <w:lang w:val="en-US" w:eastAsia="zh-CN" w:bidi="ar-SA"/>
              </w:rPr>
              <w:t>文</w:t>
            </w:r>
            <w:r>
              <w:rPr>
                <w:rFonts w:hint="default" w:ascii="Times New Roman" w:hAnsi="Times New Roman" w:eastAsia="宋体" w:cs="Times New Roman"/>
                <w:b/>
                <w:bCs/>
                <w:color w:val="auto"/>
                <w:sz w:val="21"/>
                <w:szCs w:val="21"/>
                <w:highlight w:val="none"/>
              </w:rPr>
              <w:t>相</w:t>
            </w:r>
            <w:r>
              <w:rPr>
                <w:rFonts w:hint="default" w:ascii="Times New Roman" w:hAnsi="Times New Roman" w:eastAsia="宋体" w:cs="Times New Roman"/>
                <w:b/>
                <w:color w:val="auto"/>
                <w:sz w:val="21"/>
                <w:szCs w:val="21"/>
                <w:highlight w:val="none"/>
              </w:rPr>
              <w:t>符性分析</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4038"/>
              <w:gridCol w:w="2451"/>
              <w:gridCol w:w="731"/>
            </w:tblGrid>
            <w:tr w14:paraId="699BE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 w:type="pct"/>
                  <w:shd w:val="clear" w:color="auto" w:fill="D7D7D7" w:themeFill="background1" w:themeFillShade="D8"/>
                  <w:noWrap w:val="0"/>
                  <w:vAlign w:val="center"/>
                </w:tcPr>
                <w:p w14:paraId="0B1CC519">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序号</w:t>
                  </w:r>
                </w:p>
              </w:tc>
              <w:tc>
                <w:tcPr>
                  <w:tcW w:w="2634" w:type="pct"/>
                  <w:shd w:val="clear" w:color="auto" w:fill="D7D7D7" w:themeFill="background1" w:themeFillShade="D8"/>
                  <w:noWrap w:val="0"/>
                  <w:vAlign w:val="center"/>
                </w:tcPr>
                <w:p w14:paraId="79916B1A">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文件内容</w:t>
                  </w:r>
                </w:p>
              </w:tc>
              <w:tc>
                <w:tcPr>
                  <w:tcW w:w="1599" w:type="pct"/>
                  <w:shd w:val="clear" w:color="auto" w:fill="D7D7D7" w:themeFill="background1" w:themeFillShade="D8"/>
                  <w:noWrap w:val="0"/>
                  <w:vAlign w:val="center"/>
                </w:tcPr>
                <w:p w14:paraId="7A5276EF">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本项目</w:t>
                  </w:r>
                </w:p>
              </w:tc>
              <w:tc>
                <w:tcPr>
                  <w:tcW w:w="477" w:type="pct"/>
                  <w:shd w:val="clear" w:color="auto" w:fill="D7D7D7" w:themeFill="background1" w:themeFillShade="D8"/>
                  <w:noWrap w:val="0"/>
                  <w:vAlign w:val="center"/>
                </w:tcPr>
                <w:p w14:paraId="3C188640">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相符性</w:t>
                  </w:r>
                </w:p>
              </w:tc>
            </w:tr>
            <w:tr w14:paraId="36510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 w:type="pct"/>
                  <w:noWrap w:val="0"/>
                  <w:vAlign w:val="center"/>
                </w:tcPr>
                <w:p w14:paraId="2DED6F71">
                  <w:pPr>
                    <w:pStyle w:val="114"/>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2634" w:type="pct"/>
                  <w:noWrap w:val="0"/>
                  <w:vAlign w:val="center"/>
                </w:tcPr>
                <w:p w14:paraId="5DAE3D1A">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传统行业绿色发展水平明显提升。进一步提升传统行业规范化水平，改进工艺技术，更新设备装置，提升污染防治能力，加大节能降碳力度，提高绿色电力（绿证）消费，腾退低效土地资源，树立一批行业转型标杆企业。</w:t>
                  </w:r>
                </w:p>
              </w:tc>
              <w:tc>
                <w:tcPr>
                  <w:tcW w:w="1599" w:type="pct"/>
                  <w:noWrap w:val="0"/>
                  <w:vAlign w:val="center"/>
                </w:tcPr>
                <w:p w14:paraId="02D3BBEF">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kern w:val="0"/>
                      <w:sz w:val="18"/>
                      <w:szCs w:val="18"/>
                      <w:highlight w:val="none"/>
                    </w:rPr>
                    <w:t>本项目</w:t>
                  </w:r>
                  <w:r>
                    <w:rPr>
                      <w:rFonts w:hint="eastAsia" w:cs="Times New Roman"/>
                      <w:bCs/>
                      <w:color w:val="auto"/>
                      <w:kern w:val="0"/>
                      <w:sz w:val="18"/>
                      <w:szCs w:val="18"/>
                      <w:highlight w:val="none"/>
                      <w:lang w:val="en-US" w:eastAsia="zh-CN"/>
                    </w:rPr>
                    <w:t>生产特种纳米新材料薄膜不属于传统行业，</w:t>
                  </w:r>
                  <w:r>
                    <w:rPr>
                      <w:rFonts w:hint="default" w:ascii="Times New Roman" w:hAnsi="Times New Roman" w:eastAsia="宋体" w:cs="Times New Roman"/>
                      <w:bCs/>
                      <w:color w:val="auto"/>
                      <w:kern w:val="0"/>
                      <w:sz w:val="18"/>
                      <w:szCs w:val="18"/>
                      <w:highlight w:val="none"/>
                    </w:rPr>
                    <w:t>采取有效污染防治措施，</w:t>
                  </w:r>
                  <w:r>
                    <w:rPr>
                      <w:rFonts w:hint="eastAsia" w:cs="Times New Roman"/>
                      <w:bCs/>
                      <w:color w:val="auto"/>
                      <w:kern w:val="0"/>
                      <w:sz w:val="18"/>
                      <w:szCs w:val="18"/>
                      <w:highlight w:val="none"/>
                      <w:lang w:val="en-US" w:eastAsia="zh-CN"/>
                    </w:rPr>
                    <w:t>不排放废气废水，</w:t>
                  </w:r>
                  <w:r>
                    <w:rPr>
                      <w:rFonts w:hint="default" w:ascii="Times New Roman" w:hAnsi="Times New Roman" w:eastAsia="宋体" w:cs="Times New Roman"/>
                      <w:bCs/>
                      <w:color w:val="auto"/>
                      <w:kern w:val="0"/>
                      <w:sz w:val="18"/>
                      <w:szCs w:val="18"/>
                      <w:highlight w:val="none"/>
                    </w:rPr>
                    <w:t>噪声可达标排放，</w:t>
                  </w:r>
                  <w:r>
                    <w:rPr>
                      <w:rFonts w:hint="default" w:ascii="Times New Roman" w:hAnsi="Times New Roman" w:eastAsia="宋体" w:cs="Times New Roman"/>
                      <w:bCs/>
                      <w:color w:val="auto"/>
                      <w:kern w:val="0"/>
                      <w:sz w:val="18"/>
                      <w:szCs w:val="18"/>
                      <w:highlight w:val="none"/>
                      <w:lang w:eastAsia="zh-CN"/>
                    </w:rPr>
                    <w:t>本项目无需申报总量</w:t>
                  </w:r>
                  <w:r>
                    <w:rPr>
                      <w:rFonts w:hint="default" w:ascii="Times New Roman" w:hAnsi="Times New Roman" w:eastAsia="宋体" w:cs="Times New Roman"/>
                      <w:bCs/>
                      <w:color w:val="auto"/>
                      <w:kern w:val="0"/>
                      <w:sz w:val="18"/>
                      <w:szCs w:val="18"/>
                      <w:highlight w:val="none"/>
                    </w:rPr>
                    <w:t>；本项目选址符合</w:t>
                  </w:r>
                  <w:r>
                    <w:rPr>
                      <w:rFonts w:hint="eastAsia"/>
                      <w:color w:val="auto"/>
                      <w:sz w:val="18"/>
                      <w:szCs w:val="18"/>
                      <w:highlight w:val="none"/>
                      <w:lang w:eastAsia="zh-CN"/>
                    </w:rPr>
                    <w:t>海门经济技术开发区</w:t>
                  </w:r>
                  <w:r>
                    <w:rPr>
                      <w:rFonts w:hint="default" w:ascii="Times New Roman" w:hAnsi="Times New Roman" w:eastAsia="宋体" w:cs="Times New Roman"/>
                      <w:bCs/>
                      <w:color w:val="auto"/>
                      <w:kern w:val="0"/>
                      <w:sz w:val="18"/>
                      <w:szCs w:val="18"/>
                      <w:highlight w:val="none"/>
                    </w:rPr>
                    <w:t>的产业定位和规划选址要求</w:t>
                  </w:r>
                </w:p>
              </w:tc>
              <w:tc>
                <w:tcPr>
                  <w:tcW w:w="477" w:type="pct"/>
                  <w:noWrap w:val="0"/>
                  <w:vAlign w:val="center"/>
                </w:tcPr>
                <w:p w14:paraId="7BEAFEE5">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相符</w:t>
                  </w:r>
                </w:p>
              </w:tc>
            </w:tr>
            <w:tr w14:paraId="70EC1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 w:type="pct"/>
                  <w:noWrap w:val="0"/>
                  <w:vAlign w:val="center"/>
                </w:tcPr>
                <w:p w14:paraId="2E40FFD2">
                  <w:pPr>
                    <w:pStyle w:val="114"/>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2634" w:type="pct"/>
                  <w:noWrap w:val="0"/>
                  <w:vAlign w:val="center"/>
                </w:tcPr>
                <w:p w14:paraId="5C2E0FB6">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新兴产业空间布局规划更加合理。引进一批清洁生产水平高、产业链耦合共生紧密的项目，形成产业绿色发展集群，实现沿江向沿海转移、主城区向郊区转移、由分散到集中的空间布局。</w:t>
                  </w:r>
                </w:p>
              </w:tc>
              <w:tc>
                <w:tcPr>
                  <w:tcW w:w="1599" w:type="pct"/>
                  <w:noWrap w:val="0"/>
                  <w:vAlign w:val="center"/>
                </w:tcPr>
                <w:p w14:paraId="04F6CAE6">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本项目位于</w:t>
                  </w:r>
                  <w:r>
                    <w:rPr>
                      <w:rFonts w:hint="default" w:ascii="Times New Roman" w:hAnsi="Times New Roman" w:eastAsia="宋体" w:cs="Times New Roman"/>
                      <w:color w:val="auto"/>
                      <w:sz w:val="18"/>
                      <w:szCs w:val="18"/>
                      <w:highlight w:val="none"/>
                      <w:lang w:val="en-US" w:eastAsia="zh-CN"/>
                    </w:rPr>
                    <w:t>海门经济技术开发区扬子江路2288号</w:t>
                  </w:r>
                  <w:r>
                    <w:rPr>
                      <w:rFonts w:hint="eastAsia" w:ascii="Times New Roman" w:hAnsi="Times New Roman" w:eastAsia="宋体" w:cs="Times New Roman"/>
                      <w:color w:val="auto"/>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z w:val="18"/>
                      <w:szCs w:val="18"/>
                      <w:highlight w:val="none"/>
                    </w:rPr>
                    <w:t>，用地性质为工业用地，不涉及煤等高污染燃料使用。</w:t>
                  </w:r>
                </w:p>
              </w:tc>
              <w:tc>
                <w:tcPr>
                  <w:tcW w:w="477" w:type="pct"/>
                  <w:noWrap w:val="0"/>
                  <w:vAlign w:val="center"/>
                </w:tcPr>
                <w:p w14:paraId="684F1698">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kern w:val="0"/>
                      <w:sz w:val="18"/>
                      <w:szCs w:val="18"/>
                      <w:highlight w:val="none"/>
                    </w:rPr>
                    <w:t>相符</w:t>
                  </w:r>
                </w:p>
              </w:tc>
            </w:tr>
            <w:tr w14:paraId="438D5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 w:type="pct"/>
                  <w:noWrap w:val="0"/>
                  <w:vAlign w:val="center"/>
                </w:tcPr>
                <w:p w14:paraId="0C0F7FCA">
                  <w:pPr>
                    <w:pStyle w:val="114"/>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2634" w:type="pct"/>
                  <w:noWrap w:val="0"/>
                  <w:vAlign w:val="center"/>
                </w:tcPr>
                <w:p w14:paraId="329A2FB3">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资源能源利用更加集约高效。重点行业单位产品能耗、水耗、物耗及污染物排放持续下降，单位产品二氧化碳排放强度合理优化。重点行业单位增加值能耗水平持续下降，主要高耗能行业单位产品能耗达到国内先进水平。</w:t>
                  </w:r>
                </w:p>
              </w:tc>
              <w:tc>
                <w:tcPr>
                  <w:tcW w:w="1599" w:type="pct"/>
                  <w:noWrap w:val="0"/>
                  <w:vAlign w:val="center"/>
                </w:tcPr>
                <w:p w14:paraId="68C2F69B">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本项目不使用高污染燃料煤等，能源主要为电能，</w:t>
                  </w:r>
                  <w:r>
                    <w:rPr>
                      <w:rFonts w:hint="eastAsia" w:cs="Times New Roman"/>
                      <w:color w:val="auto"/>
                      <w:sz w:val="18"/>
                      <w:szCs w:val="18"/>
                      <w:highlight w:val="none"/>
                      <w:lang w:val="en-US" w:eastAsia="zh-CN"/>
                    </w:rPr>
                    <w:t>不属于高耗能行业。</w:t>
                  </w:r>
                </w:p>
              </w:tc>
              <w:tc>
                <w:tcPr>
                  <w:tcW w:w="477" w:type="pct"/>
                  <w:noWrap w:val="0"/>
                  <w:vAlign w:val="center"/>
                </w:tcPr>
                <w:p w14:paraId="4890D1DA">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kern w:val="0"/>
                      <w:sz w:val="18"/>
                      <w:szCs w:val="18"/>
                      <w:highlight w:val="none"/>
                    </w:rPr>
                    <w:t>相符</w:t>
                  </w:r>
                </w:p>
              </w:tc>
            </w:tr>
            <w:tr w14:paraId="74857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 w:type="pct"/>
                  <w:noWrap w:val="0"/>
                  <w:vAlign w:val="center"/>
                </w:tcPr>
                <w:p w14:paraId="4C94C4E2">
                  <w:pPr>
                    <w:pStyle w:val="114"/>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2634" w:type="pct"/>
                  <w:noWrap w:val="0"/>
                  <w:vAlign w:val="center"/>
                </w:tcPr>
                <w:p w14:paraId="2DD63F52">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绿色产业发展机制体制日益健全。排污权、用水权、碳排放权等市场化交易制度更加完善，生态环境治理体系和治理能力现代化迈上新台阶。</w:t>
                  </w:r>
                </w:p>
              </w:tc>
              <w:tc>
                <w:tcPr>
                  <w:tcW w:w="1599" w:type="pct"/>
                  <w:noWrap w:val="0"/>
                  <w:vAlign w:val="center"/>
                </w:tcPr>
                <w:p w14:paraId="79998026">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kern w:val="2"/>
                      <w:sz w:val="18"/>
                      <w:szCs w:val="18"/>
                      <w:highlight w:val="none"/>
                    </w:rPr>
                    <w:t>本项目</w:t>
                  </w:r>
                  <w:r>
                    <w:rPr>
                      <w:rFonts w:hint="eastAsia" w:cs="Times New Roman"/>
                      <w:color w:val="auto"/>
                      <w:spacing w:val="-2"/>
                      <w:kern w:val="2"/>
                      <w:sz w:val="18"/>
                      <w:szCs w:val="18"/>
                      <w:highlight w:val="none"/>
                      <w:lang w:val="en-US" w:eastAsia="zh-CN"/>
                    </w:rPr>
                    <w:t>生产过程清洁，无废气废水排放，</w:t>
                  </w:r>
                  <w:r>
                    <w:rPr>
                      <w:rFonts w:hint="default" w:ascii="Times New Roman" w:hAnsi="Times New Roman" w:eastAsia="宋体" w:cs="Times New Roman"/>
                      <w:color w:val="auto"/>
                      <w:spacing w:val="-2"/>
                      <w:kern w:val="2"/>
                      <w:sz w:val="18"/>
                      <w:szCs w:val="18"/>
                      <w:highlight w:val="none"/>
                      <w:lang w:eastAsia="zh-CN"/>
                    </w:rPr>
                    <w:t>无需申请总量</w:t>
                  </w:r>
                  <w:r>
                    <w:rPr>
                      <w:rFonts w:hint="default" w:ascii="Times New Roman" w:hAnsi="Times New Roman" w:eastAsia="宋体" w:cs="Times New Roman"/>
                      <w:color w:val="auto"/>
                      <w:spacing w:val="-2"/>
                      <w:kern w:val="2"/>
                      <w:sz w:val="18"/>
                      <w:szCs w:val="18"/>
                      <w:highlight w:val="none"/>
                    </w:rPr>
                    <w:t>。</w:t>
                  </w:r>
                </w:p>
              </w:tc>
              <w:tc>
                <w:tcPr>
                  <w:tcW w:w="477" w:type="pct"/>
                  <w:noWrap w:val="0"/>
                  <w:vAlign w:val="center"/>
                </w:tcPr>
                <w:p w14:paraId="2712BB90">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kern w:val="0"/>
                      <w:sz w:val="18"/>
                      <w:szCs w:val="18"/>
                      <w:highlight w:val="none"/>
                    </w:rPr>
                    <w:t>相符</w:t>
                  </w:r>
                </w:p>
              </w:tc>
            </w:tr>
            <w:tr w14:paraId="5AB00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 w:type="pct"/>
                  <w:noWrap w:val="0"/>
                  <w:vAlign w:val="center"/>
                </w:tcPr>
                <w:p w14:paraId="026B247F">
                  <w:pPr>
                    <w:pStyle w:val="114"/>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5</w:t>
                  </w:r>
                </w:p>
              </w:tc>
              <w:tc>
                <w:tcPr>
                  <w:tcW w:w="2634" w:type="pct"/>
                  <w:noWrap w:val="0"/>
                  <w:vAlign w:val="center"/>
                </w:tcPr>
                <w:p w14:paraId="0A906D27">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装备制造。禁止引进纯电镀项目</w:t>
                  </w:r>
                  <w:r>
                    <w:rPr>
                      <w:rFonts w:hint="eastAsia"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为本地产业配套的“绿岛”类项目除外</w:t>
                  </w:r>
                  <w:r>
                    <w:rPr>
                      <w:rFonts w:hint="eastAsia"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新建电镀“绿岛”项目废水回用率&gt;40%；工艺、装备、清洁生产水平基本达到国际先进水平。现有电镀企业废水回用率&gt;35%。工业涂装企业的涂料使用应符合《低挥发性有机化合物含量涂料产品技术要求》规定的VOCs含量限值要求，新建含涂装工序项目清洁生产和能效水平基本达到国际先进水平，单位涂装面积VOCs排放量&lt;60g/m</w:t>
                  </w:r>
                  <w:r>
                    <w:rPr>
                      <w:rFonts w:hint="default" w:ascii="Times New Roman" w:hAnsi="Times New Roman" w:eastAsia="宋体" w:cs="Times New Roman"/>
                      <w:color w:val="auto"/>
                      <w:kern w:val="0"/>
                      <w:sz w:val="18"/>
                      <w:szCs w:val="18"/>
                      <w:highlight w:val="none"/>
                      <w:vertAlign w:val="superscript"/>
                      <w:lang w:bidi="ar"/>
                    </w:rPr>
                    <w:t>2</w:t>
                  </w:r>
                  <w:r>
                    <w:rPr>
                      <w:rFonts w:hint="default" w:ascii="Times New Roman" w:hAnsi="Times New Roman" w:eastAsia="宋体"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现有含涂装工序企业以单位涂装面积VOCs排放量&lt;80g/m</w:t>
                  </w:r>
                  <w:r>
                    <w:rPr>
                      <w:rFonts w:hint="default" w:ascii="Times New Roman" w:hAnsi="Times New Roman" w:eastAsia="宋体" w:cs="Times New Roman"/>
                      <w:color w:val="auto"/>
                      <w:kern w:val="0"/>
                      <w:sz w:val="18"/>
                      <w:szCs w:val="18"/>
                      <w:highlight w:val="none"/>
                      <w:vertAlign w:val="superscript"/>
                      <w:lang w:bidi="ar"/>
                    </w:rPr>
                    <w:t>2</w:t>
                  </w:r>
                  <w:r>
                    <w:rPr>
                      <w:rFonts w:hint="default" w:ascii="Times New Roman" w:hAnsi="Times New Roman" w:eastAsia="宋体" w:cs="Times New Roman"/>
                      <w:color w:val="auto"/>
                      <w:kern w:val="0"/>
                      <w:sz w:val="18"/>
                      <w:szCs w:val="18"/>
                      <w:highlight w:val="none"/>
                      <w:lang w:bidi="ar"/>
                    </w:rPr>
                    <w:t>为目标限期提标改造。到2025年，铸造企业颗粒物污染排放量较2020年减少30%以上。</w:t>
                  </w:r>
                </w:p>
              </w:tc>
              <w:tc>
                <w:tcPr>
                  <w:tcW w:w="1599" w:type="pct"/>
                  <w:noWrap w:val="0"/>
                  <w:vAlign w:val="center"/>
                </w:tcPr>
                <w:p w14:paraId="0214A82B">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本项目不属于电镀项目，无涂料使用，</w:t>
                  </w:r>
                  <w:r>
                    <w:rPr>
                      <w:rFonts w:hint="eastAsia" w:ascii="Times New Roman" w:hAnsi="Times New Roman" w:eastAsia="宋体" w:cs="Times New Roman"/>
                      <w:color w:val="auto"/>
                      <w:sz w:val="18"/>
                      <w:szCs w:val="18"/>
                      <w:highlight w:val="none"/>
                      <w:lang w:eastAsia="zh-CN"/>
                    </w:rPr>
                    <w:t>本项目</w:t>
                  </w:r>
                  <w:r>
                    <w:rPr>
                      <w:rFonts w:hint="eastAsia" w:cs="Times New Roman"/>
                      <w:color w:val="auto"/>
                      <w:sz w:val="18"/>
                      <w:szCs w:val="18"/>
                      <w:highlight w:val="none"/>
                      <w:lang w:val="en-US" w:eastAsia="zh-CN"/>
                    </w:rPr>
                    <w:t>无废气废水排放</w:t>
                  </w:r>
                  <w:r>
                    <w:rPr>
                      <w:rFonts w:hint="default" w:ascii="Times New Roman" w:hAnsi="Times New Roman" w:eastAsia="宋体" w:cs="Times New Roman"/>
                      <w:color w:val="auto"/>
                      <w:sz w:val="18"/>
                      <w:szCs w:val="18"/>
                      <w:highlight w:val="none"/>
                      <w:lang w:val="en-US" w:eastAsia="zh-CN"/>
                    </w:rPr>
                    <w:t>。</w:t>
                  </w:r>
                </w:p>
              </w:tc>
              <w:tc>
                <w:tcPr>
                  <w:tcW w:w="477" w:type="pct"/>
                  <w:noWrap w:val="0"/>
                  <w:vAlign w:val="center"/>
                </w:tcPr>
                <w:p w14:paraId="703A3282">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kern w:val="0"/>
                      <w:sz w:val="18"/>
                      <w:szCs w:val="18"/>
                      <w:highlight w:val="none"/>
                    </w:rPr>
                    <w:t>相符</w:t>
                  </w:r>
                </w:p>
              </w:tc>
            </w:tr>
          </w:tbl>
          <w:p w14:paraId="0E88B91C">
            <w:pPr>
              <w:autoSpaceDE w:val="0"/>
              <w:autoSpaceDN w:val="0"/>
              <w:adjustRightInd w:val="0"/>
              <w:snapToGrid w:val="0"/>
              <w:spacing w:line="360" w:lineRule="auto"/>
              <w:ind w:firstLine="422" w:firstLineChars="200"/>
              <w:jc w:val="left"/>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w:t>
            </w:r>
            <w:r>
              <w:rPr>
                <w:rFonts w:hint="eastAsia" w:cs="Times New Roman"/>
                <w:b/>
                <w:bCs/>
                <w:color w:val="auto"/>
                <w:kern w:val="0"/>
                <w:szCs w:val="21"/>
                <w:highlight w:val="none"/>
                <w:lang w:val="en-US" w:eastAsia="zh-CN"/>
              </w:rPr>
              <w:t>2</w:t>
            </w:r>
            <w:r>
              <w:rPr>
                <w:rFonts w:hint="default" w:ascii="Times New Roman" w:hAnsi="Times New Roman" w:eastAsia="宋体" w:cs="Times New Roman"/>
                <w:b/>
                <w:bCs/>
                <w:color w:val="auto"/>
                <w:kern w:val="0"/>
                <w:szCs w:val="21"/>
                <w:highlight w:val="none"/>
              </w:rPr>
              <w:t>）与负面清单相符性</w:t>
            </w:r>
          </w:p>
          <w:p w14:paraId="49C5334F">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①对照《&lt;长江经济带发展负面清单指南&gt;（试行）》（长江办</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Cs w:val="21"/>
                <w:highlight w:val="none"/>
              </w:rPr>
              <w:t>2022</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color w:val="auto"/>
                <w:szCs w:val="21"/>
                <w:highlight w:val="none"/>
              </w:rPr>
              <w:t>7 号）），本项目不在长江经济带发展负面清单指南提出的禁止范畴内，符合指导意见要求，详见表1-</w:t>
            </w:r>
            <w:r>
              <w:rPr>
                <w:rFonts w:hint="eastAsia" w:cs="Times New Roman"/>
                <w:color w:val="auto"/>
                <w:szCs w:val="21"/>
                <w:highlight w:val="none"/>
                <w:lang w:val="en-US" w:eastAsia="zh-CN"/>
              </w:rPr>
              <w:t>8</w:t>
            </w:r>
            <w:r>
              <w:rPr>
                <w:rFonts w:hint="default" w:ascii="Times New Roman" w:hAnsi="Times New Roman" w:eastAsia="宋体" w:cs="Times New Roman"/>
                <w:color w:val="auto"/>
                <w:szCs w:val="21"/>
                <w:highlight w:val="none"/>
              </w:rPr>
              <w:t>。</w:t>
            </w:r>
          </w:p>
          <w:p w14:paraId="3016C8A5">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p>
          <w:p w14:paraId="69EEF752">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p>
          <w:p w14:paraId="347DE4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rPr>
            </w:pPr>
            <w:r>
              <w:rPr>
                <w:rFonts w:hint="default"/>
                <w:b/>
                <w:bCs/>
                <w:color w:val="auto"/>
              </w:rPr>
              <w:t>表1-</w:t>
            </w:r>
            <w:r>
              <w:rPr>
                <w:rFonts w:hint="eastAsia"/>
                <w:b/>
                <w:bCs/>
                <w:color w:val="auto"/>
                <w:lang w:val="en-US" w:eastAsia="zh-CN"/>
              </w:rPr>
              <w:t>8</w:t>
            </w:r>
            <w:r>
              <w:rPr>
                <w:rFonts w:hint="default"/>
                <w:b/>
                <w:bCs/>
                <w:color w:val="auto"/>
              </w:rPr>
              <w:t xml:space="preserve"> 与长江办</w:t>
            </w:r>
            <w:r>
              <w:rPr>
                <w:rFonts w:hint="default" w:ascii="Times New Roman" w:hAnsi="Times New Roman" w:eastAsia="宋体" w:cs="Times New Roman"/>
                <w:b/>
                <w:bCs/>
                <w:color w:val="auto"/>
                <w:sz w:val="18"/>
                <w:szCs w:val="18"/>
                <w:lang w:eastAsia="zh-CN"/>
              </w:rPr>
              <w:t>〔</w:t>
            </w:r>
            <w:r>
              <w:rPr>
                <w:rFonts w:hint="default"/>
                <w:b/>
                <w:bCs/>
                <w:color w:val="auto"/>
              </w:rPr>
              <w:t>2022</w:t>
            </w:r>
            <w:r>
              <w:rPr>
                <w:rFonts w:hint="default" w:ascii="Times New Roman" w:hAnsi="Times New Roman" w:eastAsia="宋体" w:cs="Times New Roman"/>
                <w:b/>
                <w:bCs/>
                <w:color w:val="auto"/>
                <w:sz w:val="18"/>
                <w:szCs w:val="18"/>
                <w:lang w:eastAsia="zh-CN"/>
              </w:rPr>
              <w:t>〕</w:t>
            </w:r>
            <w:r>
              <w:rPr>
                <w:rFonts w:hint="default"/>
                <w:b/>
                <w:bCs/>
                <w:color w:val="auto"/>
              </w:rPr>
              <w:t>7号</w:t>
            </w:r>
            <w:r>
              <w:rPr>
                <w:rFonts w:hint="eastAsia"/>
                <w:b/>
                <w:bCs/>
                <w:color w:val="auto"/>
                <w:lang w:val="en-US" w:eastAsia="zh-CN"/>
              </w:rPr>
              <w:t>文</w:t>
            </w:r>
            <w:r>
              <w:rPr>
                <w:rFonts w:hint="default"/>
                <w:b/>
                <w:bCs/>
                <w:color w:val="auto"/>
              </w:rPr>
              <w:t>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82"/>
              <w:gridCol w:w="3788"/>
              <w:gridCol w:w="2666"/>
              <w:gridCol w:w="732"/>
            </w:tblGrid>
            <w:tr w14:paraId="4FAA7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shd w:val="clear" w:color="auto" w:fill="D7D7D7" w:themeFill="background1" w:themeFillShade="D8"/>
                  <w:noWrap w:val="0"/>
                  <w:vAlign w:val="center"/>
                </w:tcPr>
                <w:p w14:paraId="22E338EA">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序号</w:t>
                  </w:r>
                </w:p>
              </w:tc>
              <w:tc>
                <w:tcPr>
                  <w:tcW w:w="2469" w:type="pct"/>
                  <w:shd w:val="clear" w:color="auto" w:fill="D7D7D7" w:themeFill="background1" w:themeFillShade="D8"/>
                  <w:noWrap w:val="0"/>
                  <w:vAlign w:val="center"/>
                </w:tcPr>
                <w:p w14:paraId="4E0BF797">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管控条款</w:t>
                  </w:r>
                </w:p>
              </w:tc>
              <w:tc>
                <w:tcPr>
                  <w:tcW w:w="1738" w:type="pct"/>
                  <w:shd w:val="clear" w:color="auto" w:fill="D7D7D7" w:themeFill="background1" w:themeFillShade="D8"/>
                  <w:noWrap w:val="0"/>
                  <w:vAlign w:val="center"/>
                </w:tcPr>
                <w:p w14:paraId="10042884">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本项目情况</w:t>
                  </w:r>
                </w:p>
              </w:tc>
              <w:tc>
                <w:tcPr>
                  <w:tcW w:w="477" w:type="pct"/>
                  <w:shd w:val="clear" w:color="auto" w:fill="D7D7D7" w:themeFill="background1" w:themeFillShade="D8"/>
                  <w:noWrap w:val="0"/>
                  <w:vAlign w:val="center"/>
                </w:tcPr>
                <w:p w14:paraId="771FCB46">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相符性</w:t>
                  </w:r>
                </w:p>
              </w:tc>
            </w:tr>
            <w:tr w14:paraId="3AF40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5CDBAFC4">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2469" w:type="pct"/>
                  <w:noWrap w:val="0"/>
                  <w:vAlign w:val="center"/>
                </w:tcPr>
                <w:p w14:paraId="55364745">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禁止建设不符合全国和省级港口布局规划以及港口总体规划的码头项目，禁止建设不符合《长江干线过江通道布局规划》的过长江通道项目。</w:t>
                  </w:r>
                </w:p>
              </w:tc>
              <w:tc>
                <w:tcPr>
                  <w:tcW w:w="1738" w:type="pct"/>
                  <w:noWrap w:val="0"/>
                  <w:vAlign w:val="center"/>
                </w:tcPr>
                <w:p w14:paraId="59086AD0">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kern w:val="2"/>
                      <w:sz w:val="18"/>
                      <w:szCs w:val="18"/>
                      <w:highlight w:val="none"/>
                    </w:rPr>
                    <w:t>本项目不属于码头及长江干线过江通道项目。</w:t>
                  </w:r>
                </w:p>
              </w:tc>
              <w:tc>
                <w:tcPr>
                  <w:tcW w:w="477" w:type="pct"/>
                  <w:noWrap w:val="0"/>
                  <w:vAlign w:val="center"/>
                </w:tcPr>
                <w:p w14:paraId="6A03C3A6">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4D3D8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34A3D54D">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2469" w:type="pct"/>
                  <w:noWrap w:val="0"/>
                  <w:vAlign w:val="center"/>
                </w:tcPr>
                <w:p w14:paraId="4F636F7F">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738" w:type="pct"/>
                  <w:noWrap w:val="0"/>
                  <w:vAlign w:val="center"/>
                </w:tcPr>
                <w:p w14:paraId="534CC07B">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pacing w:val="-2"/>
                      <w:kern w:val="2"/>
                      <w:sz w:val="18"/>
                      <w:szCs w:val="18"/>
                      <w:highlight w:val="none"/>
                    </w:rPr>
                    <w:t>不在自然保护区核心区、缓冲区的岸线和河段范围内，不在国家级和省级风景名胜区核心景区的岸线和河段范围内。</w:t>
                  </w:r>
                </w:p>
              </w:tc>
              <w:tc>
                <w:tcPr>
                  <w:tcW w:w="477" w:type="pct"/>
                  <w:noWrap w:val="0"/>
                  <w:vAlign w:val="center"/>
                </w:tcPr>
                <w:p w14:paraId="78A9C05A">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6A5DE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5EEAA789">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2469" w:type="pct"/>
                  <w:noWrap w:val="0"/>
                  <w:vAlign w:val="center"/>
                </w:tcPr>
                <w:p w14:paraId="4FF9D796">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w:t>
                  </w:r>
                  <w:r>
                    <w:rPr>
                      <w:rFonts w:hint="eastAsia" w:ascii="Times New Roman" w:hAnsi="Times New Roman" w:eastAsia="宋体" w:cs="Times New Roman"/>
                      <w:color w:val="auto"/>
                      <w:sz w:val="18"/>
                      <w:szCs w:val="18"/>
                      <w:highlight w:val="none"/>
                      <w:lang w:eastAsia="zh-CN"/>
                    </w:rPr>
                    <w:t>范围</w:t>
                  </w:r>
                  <w:r>
                    <w:rPr>
                      <w:rFonts w:hint="default" w:ascii="Times New Roman" w:hAnsi="Times New Roman" w:eastAsia="宋体" w:cs="Times New Roman"/>
                      <w:color w:val="auto"/>
                      <w:sz w:val="18"/>
                      <w:szCs w:val="18"/>
                      <w:highlight w:val="none"/>
                    </w:rPr>
                    <w:t>内新建、改建、扩建排放污染物的投资建设项目。</w:t>
                  </w:r>
                </w:p>
              </w:tc>
              <w:tc>
                <w:tcPr>
                  <w:tcW w:w="1738" w:type="pct"/>
                  <w:noWrap w:val="0"/>
                  <w:vAlign w:val="center"/>
                </w:tcPr>
                <w:p w14:paraId="4E8A5DC4">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pacing w:val="-2"/>
                      <w:kern w:val="2"/>
                      <w:sz w:val="18"/>
                      <w:szCs w:val="18"/>
                      <w:highlight w:val="none"/>
                    </w:rPr>
                    <w:t>，不在饮用水水源一级保护区的岸线和河段范围内，不在饮用水水源二级保护区的岸线和河段范围内。</w:t>
                  </w:r>
                </w:p>
              </w:tc>
              <w:tc>
                <w:tcPr>
                  <w:tcW w:w="477" w:type="pct"/>
                  <w:noWrap w:val="0"/>
                  <w:vAlign w:val="center"/>
                </w:tcPr>
                <w:p w14:paraId="228D00BF">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020ED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72A299FD">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2469" w:type="pct"/>
                  <w:noWrap w:val="0"/>
                  <w:vAlign w:val="center"/>
                </w:tcPr>
                <w:p w14:paraId="673C9F19">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38" w:type="pct"/>
                  <w:noWrap w:val="0"/>
                  <w:vAlign w:val="center"/>
                </w:tcPr>
                <w:p w14:paraId="716197A8">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pacing w:val="-2"/>
                      <w:kern w:val="2"/>
                      <w:sz w:val="18"/>
                      <w:szCs w:val="18"/>
                      <w:highlight w:val="none"/>
                    </w:rPr>
                    <w:t>，不在国家级和省级水产种质资源保护区的岸线和河段范围内，不在国家湿地公园的岸线和河段范围内。</w:t>
                  </w:r>
                </w:p>
              </w:tc>
              <w:tc>
                <w:tcPr>
                  <w:tcW w:w="477" w:type="pct"/>
                  <w:noWrap w:val="0"/>
                  <w:vAlign w:val="center"/>
                </w:tcPr>
                <w:p w14:paraId="145B9DE9">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5E85D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253E5C27">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2469" w:type="pct"/>
                  <w:noWrap w:val="0"/>
                  <w:vAlign w:val="center"/>
                </w:tcPr>
                <w:p w14:paraId="438E1C30">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38" w:type="pct"/>
                  <w:noWrap w:val="0"/>
                  <w:vAlign w:val="center"/>
                </w:tcPr>
                <w:p w14:paraId="143BC028">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pacing w:val="-2"/>
                      <w:kern w:val="2"/>
                      <w:sz w:val="18"/>
                      <w:szCs w:val="18"/>
                      <w:highlight w:val="none"/>
                    </w:rPr>
                    <w:t>，不在《长江岸线保护和开发利用总体规划》划定的岸线保护区和岸线保留区内，不在《全国重要江河湖泊水功能区划》划定的河段保护区、保留区内。</w:t>
                  </w:r>
                </w:p>
              </w:tc>
              <w:tc>
                <w:tcPr>
                  <w:tcW w:w="477" w:type="pct"/>
                  <w:noWrap w:val="0"/>
                  <w:vAlign w:val="center"/>
                </w:tcPr>
                <w:p w14:paraId="57AEF31D">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1E436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680D0B93">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2469" w:type="pct"/>
                  <w:noWrap w:val="0"/>
                  <w:vAlign w:val="center"/>
                </w:tcPr>
                <w:p w14:paraId="109BEF41">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禁止未经许可在长江干支流及湖泊新设、改设或扩大排污。</w:t>
                  </w:r>
                </w:p>
              </w:tc>
              <w:tc>
                <w:tcPr>
                  <w:tcW w:w="1738" w:type="pct"/>
                  <w:noWrap w:val="0"/>
                  <w:vAlign w:val="center"/>
                </w:tcPr>
                <w:p w14:paraId="1F7AEAAD">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本项目不涉及。</w:t>
                  </w:r>
                </w:p>
              </w:tc>
              <w:tc>
                <w:tcPr>
                  <w:tcW w:w="477" w:type="pct"/>
                  <w:noWrap w:val="0"/>
                  <w:vAlign w:val="center"/>
                </w:tcPr>
                <w:p w14:paraId="789CF57C">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73365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11DE7681">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w:t>
                  </w:r>
                </w:p>
              </w:tc>
              <w:tc>
                <w:tcPr>
                  <w:tcW w:w="2469" w:type="pct"/>
                  <w:noWrap w:val="0"/>
                  <w:vAlign w:val="center"/>
                </w:tcPr>
                <w:p w14:paraId="538AEB0E">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禁止在“一江一口两湖七河”和 332 个水生生物保护区开展生产性捕捞。</w:t>
                  </w:r>
                </w:p>
              </w:tc>
              <w:tc>
                <w:tcPr>
                  <w:tcW w:w="1738" w:type="pct"/>
                  <w:noWrap w:val="0"/>
                  <w:vAlign w:val="center"/>
                </w:tcPr>
                <w:p w14:paraId="53F4B8D4">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本项目不涉及。</w:t>
                  </w:r>
                </w:p>
              </w:tc>
              <w:tc>
                <w:tcPr>
                  <w:tcW w:w="477" w:type="pct"/>
                  <w:noWrap w:val="0"/>
                  <w:vAlign w:val="center"/>
                </w:tcPr>
                <w:p w14:paraId="4161DF2B">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6BA23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0B62C413">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w:t>
                  </w:r>
                </w:p>
              </w:tc>
              <w:tc>
                <w:tcPr>
                  <w:tcW w:w="2469" w:type="pct"/>
                  <w:noWrap w:val="0"/>
                  <w:vAlign w:val="center"/>
                </w:tcPr>
                <w:p w14:paraId="6AA12430">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禁止在长江干支流、重要湖泊岸线一公里范围内新建、扩建化工园区和化工项目。禁止在长江干流岸线三公里范围内和重要支流岸线一公里范围内新建、改建、扩建尾矿库、</w:t>
                  </w:r>
                  <w:r>
                    <w:rPr>
                      <w:rFonts w:hint="default" w:ascii="Times New Roman" w:hAnsi="Times New Roman" w:eastAsia="宋体" w:cs="Times New Roman"/>
                      <w:color w:val="auto"/>
                      <w:sz w:val="18"/>
                      <w:szCs w:val="18"/>
                      <w:highlight w:val="none"/>
                      <w:lang w:eastAsia="zh-CN"/>
                    </w:rPr>
                    <w:t>冶炼</w:t>
                  </w:r>
                  <w:r>
                    <w:rPr>
                      <w:rFonts w:hint="default" w:ascii="Times New Roman" w:hAnsi="Times New Roman" w:eastAsia="宋体" w:cs="Times New Roman"/>
                      <w:color w:val="auto"/>
                      <w:sz w:val="18"/>
                      <w:szCs w:val="18"/>
                      <w:highlight w:val="none"/>
                    </w:rPr>
                    <w:t>渣库和磷石膏库，以提升安全、生态环境保护水平为目的的改建除外。</w:t>
                  </w:r>
                </w:p>
              </w:tc>
              <w:tc>
                <w:tcPr>
                  <w:tcW w:w="1738" w:type="pct"/>
                  <w:noWrap w:val="0"/>
                  <w:vAlign w:val="center"/>
                </w:tcPr>
                <w:p w14:paraId="732829EB">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本项目不属于化工项目。</w:t>
                  </w:r>
                </w:p>
              </w:tc>
              <w:tc>
                <w:tcPr>
                  <w:tcW w:w="477" w:type="pct"/>
                  <w:noWrap w:val="0"/>
                  <w:vAlign w:val="center"/>
                </w:tcPr>
                <w:p w14:paraId="2B269FDD">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27AFD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490FE1DC">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w:t>
                  </w:r>
                </w:p>
              </w:tc>
              <w:tc>
                <w:tcPr>
                  <w:tcW w:w="2469" w:type="pct"/>
                  <w:noWrap w:val="0"/>
                  <w:vAlign w:val="center"/>
                </w:tcPr>
                <w:p w14:paraId="356C523E">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禁止在合规园区外新建、扩建钢铁、石化、化工、焦化、建材、有色、制浆造纸等高污染项目。</w:t>
                  </w:r>
                </w:p>
              </w:tc>
              <w:tc>
                <w:tcPr>
                  <w:tcW w:w="1738" w:type="pct"/>
                  <w:noWrap w:val="0"/>
                  <w:vAlign w:val="center"/>
                </w:tcPr>
                <w:p w14:paraId="1D93EA0F">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本项目不属于《环境保护综合名录》中所列高污染项目。</w:t>
                  </w:r>
                </w:p>
              </w:tc>
              <w:tc>
                <w:tcPr>
                  <w:tcW w:w="477" w:type="pct"/>
                  <w:noWrap w:val="0"/>
                  <w:vAlign w:val="center"/>
                </w:tcPr>
                <w:p w14:paraId="6EA2AC9F">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0BF1C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129D720F">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w:t>
                  </w:r>
                </w:p>
              </w:tc>
              <w:tc>
                <w:tcPr>
                  <w:tcW w:w="2469" w:type="pct"/>
                  <w:noWrap w:val="0"/>
                  <w:vAlign w:val="center"/>
                </w:tcPr>
                <w:p w14:paraId="61115947">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禁止新建、扩建不符合国家石化、现代煤化工等产业布局规划的项目。</w:t>
                  </w:r>
                </w:p>
              </w:tc>
              <w:tc>
                <w:tcPr>
                  <w:tcW w:w="1738" w:type="pct"/>
                  <w:noWrap w:val="0"/>
                  <w:vAlign w:val="center"/>
                </w:tcPr>
                <w:p w14:paraId="4D70F00A">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本项目不属于国家石化、现代煤化工等产业。</w:t>
                  </w:r>
                </w:p>
              </w:tc>
              <w:tc>
                <w:tcPr>
                  <w:tcW w:w="477" w:type="pct"/>
                  <w:noWrap w:val="0"/>
                  <w:vAlign w:val="center"/>
                </w:tcPr>
                <w:p w14:paraId="07487CC6">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r w14:paraId="7C668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4" w:type="pct"/>
                  <w:noWrap w:val="0"/>
                  <w:vAlign w:val="center"/>
                </w:tcPr>
                <w:p w14:paraId="74BE48D4">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w:t>
                  </w:r>
                </w:p>
              </w:tc>
              <w:tc>
                <w:tcPr>
                  <w:tcW w:w="2469" w:type="pct"/>
                  <w:noWrap w:val="0"/>
                  <w:vAlign w:val="center"/>
                </w:tcPr>
                <w:p w14:paraId="367B93A0">
                  <w:pPr>
                    <w:pStyle w:val="114"/>
                    <w:keepNext w:val="0"/>
                    <w:keepLines w:val="0"/>
                    <w:pageBreakBefore w:val="0"/>
                    <w:widowControl/>
                    <w:kinsoku/>
                    <w:wordWrap/>
                    <w:overflowPunct/>
                    <w:topLinePunct w:val="0"/>
                    <w:autoSpaceDE w:val="0"/>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禁止新建、扩建法律法规和相关政策明令</w:t>
                  </w:r>
                  <w:r>
                    <w:rPr>
                      <w:rFonts w:hint="default" w:ascii="Times New Roman" w:hAnsi="Times New Roman" w:eastAsia="宋体" w:cs="Times New Roman"/>
                      <w:color w:val="auto"/>
                      <w:sz w:val="18"/>
                      <w:szCs w:val="18"/>
                      <w:highlight w:val="none"/>
                      <w:lang w:eastAsia="zh-CN"/>
                    </w:rPr>
                    <w:t>禁止</w:t>
                  </w:r>
                  <w:r>
                    <w:rPr>
                      <w:rFonts w:hint="default" w:ascii="Times New Roman" w:hAnsi="Times New Roman" w:eastAsia="宋体" w:cs="Times New Roman"/>
                      <w:color w:val="auto"/>
                      <w:sz w:val="18"/>
                      <w:szCs w:val="18"/>
                      <w:highlight w:val="none"/>
                    </w:rPr>
                    <w:t>的落后产能项目。禁止新建、扩建不符合国家产能置换要求的严重过剩产能行业的项目。禁止新建、扩建不符合要求的高耗能高排放项目。</w:t>
                  </w:r>
                </w:p>
              </w:tc>
              <w:tc>
                <w:tcPr>
                  <w:tcW w:w="1738" w:type="pct"/>
                  <w:noWrap w:val="0"/>
                  <w:vAlign w:val="center"/>
                </w:tcPr>
                <w:p w14:paraId="58A08630">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pacing w:val="-2"/>
                      <w:kern w:val="2"/>
                      <w:sz w:val="18"/>
                      <w:szCs w:val="18"/>
                      <w:highlight w:val="none"/>
                    </w:rPr>
                  </w:pPr>
                  <w:r>
                    <w:rPr>
                      <w:rFonts w:hint="default" w:ascii="Times New Roman" w:hAnsi="Times New Roman" w:eastAsia="宋体" w:cs="Times New Roman"/>
                      <w:color w:val="auto"/>
                      <w:spacing w:val="-2"/>
                      <w:kern w:val="2"/>
                      <w:sz w:val="18"/>
                      <w:szCs w:val="18"/>
                      <w:highlight w:val="none"/>
                    </w:rPr>
                    <w:t>本项目不属于法律法规和相关政策明令禁止的落后产能项目，不属于国家产能置换要求的严重过剩产能行业的项目，不属于高耗能高排放项目。</w:t>
                  </w:r>
                </w:p>
              </w:tc>
              <w:tc>
                <w:tcPr>
                  <w:tcW w:w="477" w:type="pct"/>
                  <w:noWrap w:val="0"/>
                  <w:vAlign w:val="center"/>
                </w:tcPr>
                <w:p w14:paraId="1AAB9345">
                  <w:pPr>
                    <w:pStyle w:val="63"/>
                    <w:keepNext w:val="0"/>
                    <w:keepLines w:val="0"/>
                    <w:pageBreakBefore w:val="0"/>
                    <w:widowControl/>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相符</w:t>
                  </w:r>
                </w:p>
              </w:tc>
            </w:tr>
          </w:tbl>
          <w:p w14:paraId="507BFB32">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②对照《（江苏省“十四五”长江经济带发展负面清单指南（试行，2022年版））江苏省实施细则》（苏长江办发</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Cs w:val="21"/>
                <w:highlight w:val="none"/>
              </w:rPr>
              <w:t>2022</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color w:val="auto"/>
                <w:szCs w:val="21"/>
                <w:highlight w:val="none"/>
              </w:rPr>
              <w:t>55号），本项目不在长江经济带发展负面清单指南提出的禁止范畴内，因此符合指导意见要求。具体管控要求对照详见表1-</w:t>
            </w:r>
            <w:r>
              <w:rPr>
                <w:rFonts w:hint="eastAsia" w:cs="Times New Roman"/>
                <w:color w:val="auto"/>
                <w:szCs w:val="21"/>
                <w:highlight w:val="none"/>
                <w:lang w:val="en-US" w:eastAsia="zh-CN"/>
              </w:rPr>
              <w:t>9</w:t>
            </w:r>
            <w:r>
              <w:rPr>
                <w:rFonts w:hint="default" w:ascii="Times New Roman" w:hAnsi="Times New Roman" w:eastAsia="宋体" w:cs="Times New Roman"/>
                <w:color w:val="auto"/>
                <w:szCs w:val="21"/>
                <w:highlight w:val="none"/>
              </w:rPr>
              <w:t>。</w:t>
            </w:r>
          </w:p>
          <w:p w14:paraId="33D2F269">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p>
          <w:p w14:paraId="259CC508">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p>
          <w:p w14:paraId="7F9E6B14">
            <w:pPr>
              <w:adjustRightInd w:val="0"/>
              <w:snapToGrid w:val="0"/>
              <w:spacing w:line="360" w:lineRule="auto"/>
              <w:ind w:firstLine="420" w:firstLineChars="200"/>
              <w:rPr>
                <w:rFonts w:hint="default" w:ascii="Times New Roman" w:hAnsi="Times New Roman" w:eastAsia="宋体" w:cs="Times New Roman"/>
                <w:color w:val="auto"/>
                <w:szCs w:val="21"/>
                <w:highlight w:val="none"/>
              </w:rPr>
            </w:pPr>
          </w:p>
          <w:p w14:paraId="3B3ACAE5">
            <w:pPr>
              <w:pStyle w:val="187"/>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与《&lt;长江经济带发展负面清单指南&gt;江苏省实施细则》相符性分析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88"/>
              <w:gridCol w:w="3720"/>
              <w:gridCol w:w="2728"/>
              <w:gridCol w:w="732"/>
            </w:tblGrid>
            <w:tr w14:paraId="527BB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shd w:val="clear" w:color="auto" w:fill="D7D7D7" w:themeFill="background1" w:themeFillShade="D8"/>
                  <w:noWrap w:val="0"/>
                  <w:vAlign w:val="center"/>
                </w:tcPr>
                <w:p w14:paraId="1E761C80">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lang w:bidi="en-US"/>
                    </w:rPr>
                  </w:pPr>
                  <w:r>
                    <w:rPr>
                      <w:rFonts w:hint="default" w:ascii="Times New Roman" w:hAnsi="Times New Roman" w:eastAsia="宋体" w:cs="Times New Roman"/>
                      <w:b/>
                      <w:bCs/>
                      <w:color w:val="auto"/>
                      <w:sz w:val="18"/>
                      <w:szCs w:val="18"/>
                      <w:highlight w:val="none"/>
                      <w:lang w:bidi="en-US"/>
                    </w:rPr>
                    <w:t>序号</w:t>
                  </w:r>
                </w:p>
              </w:tc>
              <w:tc>
                <w:tcPr>
                  <w:tcW w:w="2425" w:type="pct"/>
                  <w:shd w:val="clear" w:color="auto" w:fill="D7D7D7" w:themeFill="background1" w:themeFillShade="D8"/>
                  <w:noWrap w:val="0"/>
                  <w:vAlign w:val="center"/>
                </w:tcPr>
                <w:p w14:paraId="50C3DB3C">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lang w:bidi="en-US"/>
                    </w:rPr>
                  </w:pPr>
                  <w:r>
                    <w:rPr>
                      <w:rFonts w:hint="default" w:ascii="Times New Roman" w:hAnsi="Times New Roman" w:eastAsia="宋体" w:cs="Times New Roman"/>
                      <w:b/>
                      <w:bCs/>
                      <w:color w:val="auto"/>
                      <w:sz w:val="18"/>
                      <w:szCs w:val="18"/>
                      <w:highlight w:val="none"/>
                      <w:lang w:bidi="en-US"/>
                    </w:rPr>
                    <w:t>管控条款</w:t>
                  </w:r>
                </w:p>
              </w:tc>
              <w:tc>
                <w:tcPr>
                  <w:tcW w:w="1778" w:type="pct"/>
                  <w:shd w:val="clear" w:color="auto" w:fill="D7D7D7" w:themeFill="background1" w:themeFillShade="D8"/>
                  <w:noWrap w:val="0"/>
                  <w:vAlign w:val="center"/>
                </w:tcPr>
                <w:p w14:paraId="2D2EB9B6">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lang w:bidi="en-US"/>
                    </w:rPr>
                  </w:pPr>
                  <w:r>
                    <w:rPr>
                      <w:rFonts w:hint="default" w:ascii="Times New Roman" w:hAnsi="Times New Roman" w:eastAsia="宋体" w:cs="Times New Roman"/>
                      <w:b/>
                      <w:bCs/>
                      <w:color w:val="auto"/>
                      <w:sz w:val="18"/>
                      <w:szCs w:val="18"/>
                      <w:highlight w:val="none"/>
                      <w:lang w:bidi="en-US"/>
                    </w:rPr>
                    <w:t>本项目情况</w:t>
                  </w:r>
                </w:p>
              </w:tc>
              <w:tc>
                <w:tcPr>
                  <w:tcW w:w="477" w:type="pct"/>
                  <w:shd w:val="clear" w:color="auto" w:fill="D7D7D7" w:themeFill="background1" w:themeFillShade="D8"/>
                  <w:noWrap w:val="0"/>
                  <w:vAlign w:val="center"/>
                </w:tcPr>
                <w:p w14:paraId="70C95C46">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lang w:bidi="en-US"/>
                    </w:rPr>
                  </w:pPr>
                  <w:r>
                    <w:rPr>
                      <w:rFonts w:hint="default" w:ascii="Times New Roman" w:hAnsi="Times New Roman" w:eastAsia="宋体" w:cs="Times New Roman"/>
                      <w:b/>
                      <w:bCs/>
                      <w:color w:val="auto"/>
                      <w:sz w:val="18"/>
                      <w:szCs w:val="18"/>
                      <w:highlight w:val="none"/>
                      <w:lang w:bidi="en-US"/>
                    </w:rPr>
                    <w:t>相符性</w:t>
                  </w:r>
                </w:p>
              </w:tc>
            </w:tr>
            <w:tr w14:paraId="71624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71B6F257">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1</w:t>
                  </w:r>
                </w:p>
              </w:tc>
              <w:tc>
                <w:tcPr>
                  <w:tcW w:w="2425" w:type="pct"/>
                  <w:noWrap w:val="0"/>
                  <w:vAlign w:val="center"/>
                </w:tcPr>
                <w:p w14:paraId="592B3B17">
                  <w:pPr>
                    <w:pStyle w:val="114"/>
                    <w:keepNext w:val="0"/>
                    <w:keepLines w:val="0"/>
                    <w:pageBreakBefore w:val="0"/>
                    <w:widowControl/>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禁止建设不符合国家港口布局规划和《江苏省沿江沿海港口布局规划（2015-2030年）》《江苏省内河港口布局规划（2017-2035年）》以及我省有关港口总</w:t>
                  </w:r>
                  <w:r>
                    <w:rPr>
                      <w:rFonts w:hint="default" w:ascii="Times New Roman" w:hAnsi="Times New Roman" w:eastAsia="宋体" w:cs="Times New Roman"/>
                      <w:color w:val="auto"/>
                      <w:spacing w:val="-2"/>
                      <w:sz w:val="18"/>
                      <w:szCs w:val="18"/>
                      <w:highlight w:val="none"/>
                    </w:rPr>
                    <w:t>体规划的码头项目，禁止建设未纳入《长</w:t>
                  </w:r>
                  <w:r>
                    <w:rPr>
                      <w:rFonts w:hint="default" w:ascii="Times New Roman" w:hAnsi="Times New Roman" w:eastAsia="宋体" w:cs="Times New Roman"/>
                      <w:color w:val="auto"/>
                      <w:sz w:val="18"/>
                      <w:szCs w:val="18"/>
                      <w:highlight w:val="none"/>
                    </w:rPr>
                    <w:t>江干线过江通道布局规划》的过长江干线通道项目。</w:t>
                  </w:r>
                </w:p>
              </w:tc>
              <w:tc>
                <w:tcPr>
                  <w:tcW w:w="1778" w:type="pct"/>
                  <w:noWrap w:val="0"/>
                  <w:vAlign w:val="center"/>
                </w:tcPr>
                <w:p w14:paraId="4054E10C">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pacing w:val="-2"/>
                      <w:kern w:val="2"/>
                      <w:sz w:val="18"/>
                      <w:szCs w:val="18"/>
                      <w:highlight w:val="none"/>
                      <w:lang w:eastAsia="zh-CN" w:bidi="en-US"/>
                    </w:rPr>
                    <w:t>本项目不属于码头及长江干线过江通道项目。</w:t>
                  </w:r>
                </w:p>
              </w:tc>
              <w:tc>
                <w:tcPr>
                  <w:tcW w:w="477" w:type="pct"/>
                  <w:noWrap w:val="0"/>
                  <w:vAlign w:val="center"/>
                </w:tcPr>
                <w:p w14:paraId="0C520B3C">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434E2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3679612E">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2</w:t>
                  </w:r>
                </w:p>
              </w:tc>
              <w:tc>
                <w:tcPr>
                  <w:tcW w:w="2425" w:type="pct"/>
                  <w:noWrap w:val="0"/>
                  <w:vAlign w:val="center"/>
                </w:tcPr>
                <w:p w14:paraId="6AAB81E6">
                  <w:pPr>
                    <w:pStyle w:val="114"/>
                    <w:keepNext w:val="0"/>
                    <w:keepLines w:val="0"/>
                    <w:pageBreakBefore w:val="0"/>
                    <w:widowControl/>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严格执行《中华人民共和国自然保护区条例》，禁止在自然保护区核心区、缓冲区的岸线和河段范围内投资建设旅游和生产经营项目。严格执行《风景名胜区条例》《江苏</w:t>
                  </w:r>
                  <w:r>
                    <w:rPr>
                      <w:rFonts w:hint="default" w:ascii="Times New Roman" w:hAnsi="Times New Roman" w:eastAsia="宋体" w:cs="Times New Roman"/>
                      <w:color w:val="auto"/>
                      <w:spacing w:val="-2"/>
                      <w:sz w:val="18"/>
                      <w:szCs w:val="18"/>
                      <w:highlight w:val="none"/>
                    </w:rPr>
                    <w:t>省风景名胜区管理条例》，禁止在</w:t>
                  </w:r>
                  <w:r>
                    <w:rPr>
                      <w:rFonts w:hint="default" w:ascii="Times New Roman" w:hAnsi="Times New Roman" w:eastAsia="宋体" w:cs="Times New Roman"/>
                      <w:color w:val="auto"/>
                      <w:sz w:val="18"/>
                      <w:szCs w:val="18"/>
                      <w:highlight w:val="none"/>
                    </w:rPr>
                    <w:t>国家级和省级风景名胜区核心景区的岸线和河段范围内投资建设与风景名胜资源保护无关的项目。</w:t>
                  </w:r>
                </w:p>
              </w:tc>
              <w:tc>
                <w:tcPr>
                  <w:tcW w:w="1778" w:type="pct"/>
                  <w:noWrap w:val="0"/>
                  <w:vAlign w:val="center"/>
                </w:tcPr>
                <w:p w14:paraId="52EFD311">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kern w:val="2"/>
                      <w:sz w:val="18"/>
                      <w:szCs w:val="18"/>
                      <w:highlight w:val="none"/>
                      <w:lang w:eastAsia="zh-CN" w:bidi="en-US"/>
                    </w:rPr>
                    <w:t>本项目</w:t>
                  </w:r>
                  <w:r>
                    <w:rPr>
                      <w:rFonts w:hint="default" w:ascii="Times New Roman" w:hAnsi="Times New Roman" w:eastAsia="宋体" w:cs="Times New Roman"/>
                      <w:color w:val="auto"/>
                      <w:sz w:val="18"/>
                      <w:szCs w:val="18"/>
                      <w:highlight w:val="none"/>
                      <w:lang w:eastAsia="zh-CN" w:bidi="en-US"/>
                    </w:rPr>
                    <w:t>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kern w:val="2"/>
                      <w:sz w:val="18"/>
                      <w:szCs w:val="18"/>
                      <w:highlight w:val="none"/>
                      <w:lang w:eastAsia="zh-CN" w:bidi="en-US"/>
                    </w:rPr>
                    <w:t>，不在自然保护区核心区、缓冲区的岸线和河段范围内，不在国家级和省级风景名胜区核心景区的岸线和河段范围内。</w:t>
                  </w:r>
                </w:p>
              </w:tc>
              <w:tc>
                <w:tcPr>
                  <w:tcW w:w="477" w:type="pct"/>
                  <w:noWrap w:val="0"/>
                  <w:vAlign w:val="center"/>
                </w:tcPr>
                <w:p w14:paraId="25E4D04B">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442C0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6B270619">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3</w:t>
                  </w:r>
                </w:p>
              </w:tc>
              <w:tc>
                <w:tcPr>
                  <w:tcW w:w="2425" w:type="pct"/>
                  <w:noWrap w:val="0"/>
                  <w:vAlign w:val="center"/>
                </w:tcPr>
                <w:p w14:paraId="098E96EC">
                  <w:pPr>
                    <w:pStyle w:val="114"/>
                    <w:keepNext w:val="0"/>
                    <w:keepLines w:val="0"/>
                    <w:pageBreakBefore w:val="0"/>
                    <w:widowControl/>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4"/>
                      <w:kern w:val="0"/>
                      <w:sz w:val="18"/>
                      <w:szCs w:val="18"/>
                      <w:highlight w:val="none"/>
                    </w:rPr>
                  </w:pPr>
                  <w:r>
                    <w:rPr>
                      <w:rFonts w:hint="default" w:ascii="Times New Roman" w:hAnsi="Times New Roman" w:eastAsia="宋体" w:cs="Times New Roman"/>
                      <w:color w:val="auto"/>
                      <w:sz w:val="18"/>
                      <w:szCs w:val="18"/>
                      <w:highlight w:val="none"/>
                    </w:rPr>
                    <w:t>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778" w:type="pct"/>
                  <w:noWrap w:val="0"/>
                  <w:vAlign w:val="center"/>
                </w:tcPr>
                <w:p w14:paraId="30097B6A">
                  <w:pPr>
                    <w:pStyle w:val="114"/>
                    <w:keepNext w:val="0"/>
                    <w:keepLines w:val="0"/>
                    <w:pageBreakBefore w:val="0"/>
                    <w:widowControl/>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4"/>
                      <w:kern w:val="0"/>
                      <w:sz w:val="18"/>
                      <w:szCs w:val="18"/>
                      <w:highlight w:val="none"/>
                    </w:rPr>
                  </w:pPr>
                  <w:r>
                    <w:rPr>
                      <w:rFonts w:hint="default" w:ascii="Times New Roman" w:hAnsi="Times New Roman" w:eastAsia="宋体" w:cs="Times New Roman"/>
                      <w:color w:val="auto"/>
                      <w:sz w:val="18"/>
                      <w:szCs w:val="18"/>
                      <w:highlight w:val="none"/>
                    </w:rPr>
                    <w:t>本项目位于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z w:val="18"/>
                      <w:szCs w:val="18"/>
                      <w:highlight w:val="none"/>
                    </w:rPr>
                    <w:t>，不在饮用水水源一级保护区的岸线和河段范围内，不在饮用水水源二级保护区的岸线和河段范围内。</w:t>
                  </w:r>
                </w:p>
              </w:tc>
              <w:tc>
                <w:tcPr>
                  <w:tcW w:w="477" w:type="pct"/>
                  <w:noWrap w:val="0"/>
                  <w:vAlign w:val="center"/>
                </w:tcPr>
                <w:p w14:paraId="6D7E655F">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6D12B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303A8832">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4</w:t>
                  </w:r>
                </w:p>
              </w:tc>
              <w:tc>
                <w:tcPr>
                  <w:tcW w:w="2425" w:type="pct"/>
                  <w:noWrap w:val="0"/>
                  <w:vAlign w:val="center"/>
                </w:tcPr>
                <w:p w14:paraId="5F6A927A">
                  <w:pPr>
                    <w:pStyle w:val="114"/>
                    <w:keepNext w:val="0"/>
                    <w:keepLines w:val="0"/>
                    <w:pageBreakBefore w:val="0"/>
                    <w:widowControl/>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严格执行《水产种质资源保护区管理暂行办法》，禁止在国家级和省级水产种质资源保护区的岸线和河段范围内新建排污口，以及围湖造田、围海造地或围填海等投资建设项目。严格执行《江苏省湿地保护条例》，禁止在国家湿地公园的岸线和河段范围内挖沙、采矿，以及任何不符合主体功能定位的投资建设项目。</w:t>
                  </w:r>
                </w:p>
              </w:tc>
              <w:tc>
                <w:tcPr>
                  <w:tcW w:w="1778" w:type="pct"/>
                  <w:noWrap w:val="0"/>
                  <w:vAlign w:val="center"/>
                </w:tcPr>
                <w:p w14:paraId="1EA3AB45">
                  <w:pPr>
                    <w:pStyle w:val="114"/>
                    <w:keepNext w:val="0"/>
                    <w:keepLines w:val="0"/>
                    <w:pageBreakBefore w:val="0"/>
                    <w:widowControl/>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z w:val="18"/>
                      <w:szCs w:val="18"/>
                      <w:highlight w:val="none"/>
                    </w:rPr>
                    <w:t>，不在国家级和省级水产种质资源保护区的岸线和河段范围内，不在国家湿地公园的岸线和河段范围内。</w:t>
                  </w:r>
                </w:p>
              </w:tc>
              <w:tc>
                <w:tcPr>
                  <w:tcW w:w="477" w:type="pct"/>
                  <w:noWrap w:val="0"/>
                  <w:vAlign w:val="center"/>
                </w:tcPr>
                <w:p w14:paraId="65AE23B1">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3D0A7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41D58ADA">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5</w:t>
                  </w:r>
                </w:p>
              </w:tc>
              <w:tc>
                <w:tcPr>
                  <w:tcW w:w="2425" w:type="pct"/>
                  <w:noWrap w:val="0"/>
                  <w:vAlign w:val="center"/>
                </w:tcPr>
                <w:p w14:paraId="3FBE6639">
                  <w:pPr>
                    <w:pStyle w:val="114"/>
                    <w:keepNext w:val="0"/>
                    <w:keepLines w:val="0"/>
                    <w:pageBreakBefore w:val="0"/>
                    <w:widowControl/>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4"/>
                      <w:kern w:val="0"/>
                      <w:sz w:val="18"/>
                      <w:szCs w:val="18"/>
                      <w:highlight w:val="none"/>
                    </w:rPr>
                  </w:pPr>
                  <w:r>
                    <w:rPr>
                      <w:rFonts w:hint="default" w:ascii="Times New Roman" w:hAnsi="Times New Roman" w:eastAsia="宋体" w:cs="Times New Roman"/>
                      <w:color w:val="auto"/>
                      <w:sz w:val="18"/>
                      <w:szCs w:val="18"/>
                      <w:highlight w:val="none"/>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长江干支流基础设施项目应按照《长江岸线保护和开发利用总体规划》和生态环境保护、岸线保护等要求，按规定开展项目前期论证并办理相关手续。禁止在《全国重要江河湖泊水功能区划》划定的河段保护区、保留区内投资建设不利于水资源及自然生态保护的项目。</w:t>
                  </w:r>
                </w:p>
              </w:tc>
              <w:tc>
                <w:tcPr>
                  <w:tcW w:w="1778" w:type="pct"/>
                  <w:noWrap w:val="0"/>
                  <w:vAlign w:val="center"/>
                </w:tcPr>
                <w:p w14:paraId="1894D4A5">
                  <w:pPr>
                    <w:pStyle w:val="114"/>
                    <w:keepNext w:val="0"/>
                    <w:keepLines w:val="0"/>
                    <w:pageBreakBefore w:val="0"/>
                    <w:widowControl/>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4"/>
                      <w:sz w:val="18"/>
                      <w:szCs w:val="18"/>
                      <w:highlight w:val="none"/>
                    </w:rPr>
                  </w:pPr>
                  <w:r>
                    <w:rPr>
                      <w:rFonts w:hint="default" w:ascii="Times New Roman" w:hAnsi="Times New Roman" w:eastAsia="宋体" w:cs="Times New Roman"/>
                      <w:color w:val="auto"/>
                      <w:sz w:val="18"/>
                      <w:szCs w:val="18"/>
                      <w:highlight w:val="none"/>
                    </w:rPr>
                    <w:t>本项目位于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z w:val="18"/>
                      <w:szCs w:val="18"/>
                      <w:highlight w:val="none"/>
                    </w:rPr>
                    <w:t>，不在《长江岸线保护和开发利用总体规划》划定的岸线保护区和岸线保留区内，不在《全国重要江河湖泊水功能区划》划定的河段保护区、保留区内。</w:t>
                  </w:r>
                </w:p>
              </w:tc>
              <w:tc>
                <w:tcPr>
                  <w:tcW w:w="477" w:type="pct"/>
                  <w:noWrap w:val="0"/>
                  <w:vAlign w:val="center"/>
                </w:tcPr>
                <w:p w14:paraId="07162714">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18E23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00C1D90E">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6</w:t>
                  </w:r>
                </w:p>
              </w:tc>
              <w:tc>
                <w:tcPr>
                  <w:tcW w:w="2425" w:type="pct"/>
                  <w:noWrap w:val="0"/>
                  <w:vAlign w:val="center"/>
                </w:tcPr>
                <w:p w14:paraId="515CBD0E">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1778" w:type="pct"/>
                  <w:noWrap w:val="0"/>
                  <w:vAlign w:val="center"/>
                </w:tcPr>
                <w:p w14:paraId="4C628601">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4"/>
                      <w:kern w:val="0"/>
                      <w:sz w:val="18"/>
                      <w:szCs w:val="18"/>
                      <w:highlight w:val="none"/>
                    </w:rPr>
                  </w:pPr>
                  <w:r>
                    <w:rPr>
                      <w:rFonts w:hint="default" w:ascii="Times New Roman" w:hAnsi="Times New Roman" w:eastAsia="宋体" w:cs="Times New Roman"/>
                      <w:color w:val="auto"/>
                      <w:sz w:val="18"/>
                      <w:szCs w:val="18"/>
                      <w:highlight w:val="none"/>
                    </w:rPr>
                    <w:t>本项目位于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z w:val="18"/>
                      <w:szCs w:val="18"/>
                      <w:highlight w:val="none"/>
                    </w:rPr>
                    <w:t>，不在国家确定的生态保护红线和永久基本农田范围内。</w:t>
                  </w:r>
                </w:p>
              </w:tc>
              <w:tc>
                <w:tcPr>
                  <w:tcW w:w="477" w:type="pct"/>
                  <w:noWrap w:val="0"/>
                  <w:vAlign w:val="center"/>
                </w:tcPr>
                <w:p w14:paraId="448D131F">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0C6A1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07532741">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7</w:t>
                  </w:r>
                </w:p>
              </w:tc>
              <w:tc>
                <w:tcPr>
                  <w:tcW w:w="2425" w:type="pct"/>
                  <w:noWrap w:val="0"/>
                  <w:vAlign w:val="center"/>
                </w:tcPr>
                <w:p w14:paraId="183C95EA">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禁止在距离长江干流和京杭大运河（南水北调东线江苏段）、新沟河、新孟河、走马塘、望虞河、秦淮新河、城南河、德胜河、三茅大港、夹江（扬州）、润扬河、潘家河、蟛蜞港、泰州引江河</w:t>
                  </w:r>
                  <w:r>
                    <w:rPr>
                      <w:rFonts w:hint="default" w:ascii="Times New Roman" w:hAnsi="Times New Roman" w:eastAsia="宋体" w:cs="Times New Roman"/>
                      <w:color w:val="auto"/>
                      <w:spacing w:val="-90"/>
                      <w:sz w:val="18"/>
                      <w:szCs w:val="18"/>
                      <w:highlight w:val="none"/>
                    </w:rPr>
                    <w:t> </w:t>
                  </w:r>
                  <w:r>
                    <w:rPr>
                      <w:rFonts w:hint="default" w:ascii="Times New Roman" w:hAnsi="Times New Roman" w:eastAsia="宋体" w:cs="Times New Roman"/>
                      <w:color w:val="auto"/>
                      <w:sz w:val="18"/>
                      <w:szCs w:val="18"/>
                      <w:highlight w:val="none"/>
                    </w:rPr>
                    <w:t>1 公里范围内新建、扩建化工园区和化工项目。长江干支流</w:t>
                  </w:r>
                  <w:r>
                    <w:rPr>
                      <w:rFonts w:hint="default" w:ascii="Times New Roman" w:hAnsi="Times New Roman" w:eastAsia="宋体" w:cs="Times New Roman"/>
                      <w:color w:val="auto"/>
                      <w:spacing w:val="-62"/>
                      <w:sz w:val="18"/>
                      <w:szCs w:val="18"/>
                      <w:highlight w:val="none"/>
                    </w:rPr>
                    <w:t> </w:t>
                  </w:r>
                  <w:r>
                    <w:rPr>
                      <w:rFonts w:hint="default" w:ascii="Times New Roman" w:hAnsi="Times New Roman" w:eastAsia="宋体" w:cs="Times New Roman"/>
                      <w:color w:val="auto"/>
                      <w:sz w:val="18"/>
                      <w:szCs w:val="18"/>
                      <w:highlight w:val="none"/>
                    </w:rPr>
                    <w:t>1公里按照长江干支流岸线边界（即水利部门河道管理范围边界）向陆域纵深</w:t>
                  </w:r>
                  <w:r>
                    <w:rPr>
                      <w:rFonts w:hint="default" w:ascii="Times New Roman" w:hAnsi="Times New Roman" w:eastAsia="宋体" w:cs="Times New Roman"/>
                      <w:color w:val="auto"/>
                      <w:spacing w:val="-90"/>
                      <w:sz w:val="18"/>
                      <w:szCs w:val="18"/>
                      <w:highlight w:val="none"/>
                    </w:rPr>
                    <w:t> </w:t>
                  </w:r>
                  <w:r>
                    <w:rPr>
                      <w:rFonts w:hint="default" w:ascii="Times New Roman" w:hAnsi="Times New Roman" w:eastAsia="宋体" w:cs="Times New Roman"/>
                      <w:color w:val="auto"/>
                      <w:sz w:val="18"/>
                      <w:szCs w:val="18"/>
                      <w:highlight w:val="none"/>
                    </w:rPr>
                    <w:t>1公里执行。严格落实国家和省关于水源地保护、岸线利用项目清理整治、沿江重化产能转型升级等相关政策文件要求，对长江干支流两岸排污行为实行严格监管，对违法违规工业园区和企业依法淘汰取缔。</w:t>
                  </w:r>
                </w:p>
              </w:tc>
              <w:tc>
                <w:tcPr>
                  <w:tcW w:w="1778" w:type="pct"/>
                  <w:noWrap w:val="0"/>
                  <w:vAlign w:val="center"/>
                </w:tcPr>
                <w:p w14:paraId="66259BEF">
                  <w:pPr>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4"/>
                      <w:sz w:val="18"/>
                      <w:szCs w:val="18"/>
                      <w:highlight w:val="none"/>
                    </w:rPr>
                  </w:pPr>
                  <w:r>
                    <w:rPr>
                      <w:rFonts w:hint="default" w:ascii="Times New Roman" w:hAnsi="Times New Roman" w:eastAsia="宋体" w:cs="Times New Roman"/>
                      <w:color w:val="auto"/>
                      <w:sz w:val="18"/>
                      <w:szCs w:val="18"/>
                      <w:highlight w:val="none"/>
                    </w:rPr>
                    <w:t>本项目不属于化工项目。</w:t>
                  </w:r>
                </w:p>
              </w:tc>
              <w:tc>
                <w:tcPr>
                  <w:tcW w:w="477" w:type="pct"/>
                  <w:noWrap w:val="0"/>
                  <w:vAlign w:val="center"/>
                </w:tcPr>
                <w:p w14:paraId="6429649A">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19C91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06E71E48">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8</w:t>
                  </w:r>
                </w:p>
              </w:tc>
              <w:tc>
                <w:tcPr>
                  <w:tcW w:w="2425" w:type="pct"/>
                  <w:noWrap w:val="0"/>
                  <w:vAlign w:val="center"/>
                </w:tcPr>
                <w:p w14:paraId="7E6CDF00">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禁止在距离长江干流岸线</w:t>
                  </w:r>
                  <w:r>
                    <w:rPr>
                      <w:rFonts w:hint="default" w:ascii="Times New Roman" w:hAnsi="Times New Roman" w:eastAsia="宋体" w:cs="Times New Roman"/>
                      <w:color w:val="auto"/>
                      <w:spacing w:val="-90"/>
                      <w:sz w:val="18"/>
                      <w:szCs w:val="18"/>
                      <w:highlight w:val="none"/>
                    </w:rPr>
                    <w:t> </w:t>
                  </w:r>
                  <w:r>
                    <w:rPr>
                      <w:rFonts w:hint="default" w:ascii="Times New Roman" w:hAnsi="Times New Roman" w:eastAsia="宋体" w:cs="Times New Roman"/>
                      <w:color w:val="auto"/>
                      <w:sz w:val="18"/>
                      <w:szCs w:val="18"/>
                      <w:highlight w:val="none"/>
                    </w:rPr>
                    <w:t>3公里范围内新建、改建、扩建尾矿库。</w:t>
                  </w:r>
                </w:p>
              </w:tc>
              <w:tc>
                <w:tcPr>
                  <w:tcW w:w="1778" w:type="pct"/>
                  <w:noWrap w:val="0"/>
                  <w:vAlign w:val="center"/>
                </w:tcPr>
                <w:p w14:paraId="59D01BF6">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4"/>
                      <w:kern w:val="0"/>
                      <w:sz w:val="18"/>
                      <w:szCs w:val="18"/>
                      <w:highlight w:val="none"/>
                    </w:rPr>
                  </w:pPr>
                  <w:r>
                    <w:rPr>
                      <w:rFonts w:hint="default" w:ascii="Times New Roman" w:hAnsi="Times New Roman" w:eastAsia="宋体" w:cs="Times New Roman"/>
                      <w:color w:val="auto"/>
                      <w:sz w:val="18"/>
                      <w:szCs w:val="18"/>
                      <w:highlight w:val="none"/>
                    </w:rPr>
                    <w:t>本项目不属于尾矿库项目。</w:t>
                  </w:r>
                </w:p>
              </w:tc>
              <w:tc>
                <w:tcPr>
                  <w:tcW w:w="477" w:type="pct"/>
                  <w:noWrap w:val="0"/>
                  <w:vAlign w:val="center"/>
                </w:tcPr>
                <w:p w14:paraId="360AFDFB">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67078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25EEEAA8">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9</w:t>
                  </w:r>
                </w:p>
              </w:tc>
              <w:tc>
                <w:tcPr>
                  <w:tcW w:w="2425" w:type="pct"/>
                  <w:noWrap w:val="0"/>
                  <w:vAlign w:val="center"/>
                </w:tcPr>
                <w:p w14:paraId="0E4477FD">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禁止在沿江地区新建、扩建未纳入国家和省布局规划的燃煤发电项目。</w:t>
                  </w:r>
                </w:p>
              </w:tc>
              <w:tc>
                <w:tcPr>
                  <w:tcW w:w="1778" w:type="pct"/>
                  <w:noWrap w:val="0"/>
                  <w:vAlign w:val="center"/>
                </w:tcPr>
                <w:p w14:paraId="780C06A0">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4"/>
                      <w:kern w:val="0"/>
                      <w:sz w:val="18"/>
                      <w:szCs w:val="18"/>
                      <w:highlight w:val="none"/>
                    </w:rPr>
                  </w:pPr>
                  <w:r>
                    <w:rPr>
                      <w:rFonts w:hint="default" w:ascii="Times New Roman" w:hAnsi="Times New Roman" w:eastAsia="宋体" w:cs="Times New Roman"/>
                      <w:color w:val="auto"/>
                      <w:sz w:val="18"/>
                      <w:szCs w:val="18"/>
                      <w:highlight w:val="none"/>
                    </w:rPr>
                    <w:t>本项目不属于燃煤发电项目。</w:t>
                  </w:r>
                </w:p>
              </w:tc>
              <w:tc>
                <w:tcPr>
                  <w:tcW w:w="477" w:type="pct"/>
                  <w:noWrap w:val="0"/>
                  <w:vAlign w:val="center"/>
                </w:tcPr>
                <w:p w14:paraId="11A63B1A">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64E5D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2B20C698">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10</w:t>
                  </w:r>
                </w:p>
              </w:tc>
              <w:tc>
                <w:tcPr>
                  <w:tcW w:w="2425" w:type="pct"/>
                  <w:noWrap w:val="0"/>
                  <w:vAlign w:val="center"/>
                </w:tcPr>
                <w:p w14:paraId="71F53072">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1778" w:type="pct"/>
                  <w:noWrap w:val="0"/>
                  <w:vAlign w:val="center"/>
                </w:tcPr>
                <w:p w14:paraId="2B564092">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本项目不属于《环境保护综合名录》中所列高污染项目。</w:t>
                  </w:r>
                </w:p>
              </w:tc>
              <w:tc>
                <w:tcPr>
                  <w:tcW w:w="477" w:type="pct"/>
                  <w:noWrap w:val="0"/>
                  <w:vAlign w:val="center"/>
                </w:tcPr>
                <w:p w14:paraId="7E4F2A76">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1EEA8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18" w:type="pct"/>
                  <w:noWrap w:val="0"/>
                  <w:vAlign w:val="center"/>
                </w:tcPr>
                <w:p w14:paraId="24107363">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11</w:t>
                  </w:r>
                </w:p>
              </w:tc>
              <w:tc>
                <w:tcPr>
                  <w:tcW w:w="2425" w:type="pct"/>
                  <w:noWrap w:val="0"/>
                  <w:vAlign w:val="center"/>
                </w:tcPr>
                <w:p w14:paraId="2489B6B6">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禁止在取消化工定位的园区（集中区）内新建化工项目。</w:t>
                  </w:r>
                </w:p>
              </w:tc>
              <w:tc>
                <w:tcPr>
                  <w:tcW w:w="1778" w:type="pct"/>
                  <w:noWrap w:val="0"/>
                  <w:vAlign w:val="center"/>
                </w:tcPr>
                <w:p w14:paraId="17E20E1A">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本项目不属于化工项目。</w:t>
                  </w:r>
                </w:p>
              </w:tc>
              <w:tc>
                <w:tcPr>
                  <w:tcW w:w="477" w:type="pct"/>
                  <w:noWrap w:val="0"/>
                  <w:vAlign w:val="center"/>
                </w:tcPr>
                <w:p w14:paraId="14EB3717">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bidi="en-US"/>
                    </w:rPr>
                  </w:pPr>
                  <w:r>
                    <w:rPr>
                      <w:rFonts w:hint="default" w:ascii="Times New Roman" w:hAnsi="Times New Roman" w:eastAsia="宋体" w:cs="Times New Roman"/>
                      <w:color w:val="auto"/>
                      <w:sz w:val="18"/>
                      <w:szCs w:val="18"/>
                      <w:highlight w:val="none"/>
                      <w:lang w:bidi="en-US"/>
                    </w:rPr>
                    <w:t>相符</w:t>
                  </w:r>
                </w:p>
              </w:tc>
            </w:tr>
            <w:tr w14:paraId="7DC5D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1" w:type="dxa"/>
                  <w:noWrap w:val="0"/>
                  <w:vAlign w:val="center"/>
                </w:tcPr>
                <w:p w14:paraId="6F77C8DD">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12</w:t>
                  </w:r>
                </w:p>
              </w:tc>
              <w:tc>
                <w:tcPr>
                  <w:tcW w:w="3354" w:type="dxa"/>
                  <w:noWrap w:val="0"/>
                  <w:vAlign w:val="center"/>
                </w:tcPr>
                <w:p w14:paraId="29D6BDF4">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禁止在化工集中区内新建、改建、扩建生产和使用《危险化学品目录》中具有爆炸特性化学品的项目。</w:t>
                  </w:r>
                </w:p>
              </w:tc>
              <w:tc>
                <w:tcPr>
                  <w:tcW w:w="2460" w:type="dxa"/>
                  <w:noWrap w:val="0"/>
                  <w:vAlign w:val="center"/>
                </w:tcPr>
                <w:p w14:paraId="1BE4E315">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本项目不生产和使用《危险化学品目录》中具有爆炸特性的化学品。</w:t>
                  </w:r>
                </w:p>
              </w:tc>
              <w:tc>
                <w:tcPr>
                  <w:tcW w:w="660" w:type="dxa"/>
                  <w:noWrap w:val="0"/>
                  <w:vAlign w:val="center"/>
                </w:tcPr>
                <w:p w14:paraId="14F87DFF">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bidi="en-US"/>
                    </w:rPr>
                    <w:t>相符</w:t>
                  </w:r>
                </w:p>
              </w:tc>
            </w:tr>
            <w:tr w14:paraId="7B0DD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1" w:type="dxa"/>
                  <w:noWrap w:val="0"/>
                  <w:vAlign w:val="center"/>
                </w:tcPr>
                <w:p w14:paraId="65DEA1F2">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13</w:t>
                  </w:r>
                </w:p>
              </w:tc>
              <w:tc>
                <w:tcPr>
                  <w:tcW w:w="3354" w:type="dxa"/>
                  <w:noWrap w:val="0"/>
                  <w:vAlign w:val="center"/>
                </w:tcPr>
                <w:p w14:paraId="0E8CCDF3">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禁止在化工企业周边建设不符合安全距离规定的劳动密集型的非化工项目和其他人员密集的公共设施项目。</w:t>
                  </w:r>
                </w:p>
              </w:tc>
              <w:tc>
                <w:tcPr>
                  <w:tcW w:w="2460" w:type="dxa"/>
                  <w:noWrap w:val="0"/>
                  <w:vAlign w:val="center"/>
                </w:tcPr>
                <w:p w14:paraId="679FC2EE">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本项目周边无化工企业。</w:t>
                  </w:r>
                </w:p>
              </w:tc>
              <w:tc>
                <w:tcPr>
                  <w:tcW w:w="660" w:type="dxa"/>
                  <w:noWrap w:val="0"/>
                  <w:vAlign w:val="center"/>
                </w:tcPr>
                <w:p w14:paraId="0B36A9B8">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bidi="en-US"/>
                    </w:rPr>
                    <w:t>相符</w:t>
                  </w:r>
                </w:p>
              </w:tc>
            </w:tr>
            <w:tr w14:paraId="579D7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1" w:type="dxa"/>
                  <w:noWrap w:val="0"/>
                  <w:vAlign w:val="center"/>
                </w:tcPr>
                <w:p w14:paraId="54B03FDB">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14</w:t>
                  </w:r>
                </w:p>
              </w:tc>
              <w:tc>
                <w:tcPr>
                  <w:tcW w:w="3354" w:type="dxa"/>
                  <w:noWrap w:val="0"/>
                  <w:vAlign w:val="center"/>
                </w:tcPr>
                <w:p w14:paraId="42EA9DB7">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禁止在太湖流域一、二、三级保护区内开展《江苏省太湖水污染防治条例》禁止的投资建设活动。</w:t>
                  </w:r>
                </w:p>
              </w:tc>
              <w:tc>
                <w:tcPr>
                  <w:tcW w:w="2460" w:type="dxa"/>
                  <w:noWrap w:val="0"/>
                  <w:vAlign w:val="center"/>
                </w:tcPr>
                <w:p w14:paraId="150165FE">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本项目位于</w:t>
                  </w:r>
                  <w:r>
                    <w:rPr>
                      <w:rFonts w:hint="default" w:ascii="Times New Roman" w:hAnsi="Times New Roman" w:eastAsia="宋体" w:cs="Times New Roman"/>
                      <w:color w:val="auto"/>
                      <w:spacing w:val="-2"/>
                      <w:kern w:val="2"/>
                      <w:sz w:val="18"/>
                      <w:szCs w:val="18"/>
                      <w:highlight w:val="none"/>
                      <w:lang w:val="en-US" w:eastAsia="zh-CN"/>
                    </w:rPr>
                    <w:t>海门经济技术开发区扬子江路2288号</w:t>
                  </w:r>
                  <w:r>
                    <w:rPr>
                      <w:rFonts w:hint="eastAsia" w:ascii="Times New Roman" w:hAnsi="Times New Roman" w:eastAsia="宋体" w:cs="Times New Roman"/>
                      <w:color w:val="auto"/>
                      <w:spacing w:val="-2"/>
                      <w:kern w:val="2"/>
                      <w:sz w:val="18"/>
                      <w:szCs w:val="18"/>
                      <w:highlight w:val="none"/>
                      <w:lang w:val="en-US" w:eastAsia="zh-CN"/>
                    </w:rPr>
                    <w:t>现有</w:t>
                  </w:r>
                  <w:r>
                    <w:rPr>
                      <w:rFonts w:hint="default" w:ascii="Times New Roman" w:hAnsi="Times New Roman" w:eastAsia="宋体" w:cs="Times New Roman"/>
                      <w:color w:val="auto"/>
                      <w:sz w:val="18"/>
                      <w:szCs w:val="18"/>
                      <w:highlight w:val="none"/>
                      <w:lang w:eastAsia="zh-CN"/>
                    </w:rPr>
                    <w:t>厂房内</w:t>
                  </w:r>
                  <w:r>
                    <w:rPr>
                      <w:rFonts w:hint="default" w:ascii="Times New Roman" w:hAnsi="Times New Roman" w:eastAsia="宋体" w:cs="Times New Roman"/>
                      <w:color w:val="auto"/>
                      <w:sz w:val="18"/>
                      <w:szCs w:val="18"/>
                      <w:highlight w:val="none"/>
                    </w:rPr>
                    <w:t>，不属于太湖流域。</w:t>
                  </w:r>
                </w:p>
              </w:tc>
              <w:tc>
                <w:tcPr>
                  <w:tcW w:w="660" w:type="dxa"/>
                  <w:noWrap w:val="0"/>
                  <w:vAlign w:val="center"/>
                </w:tcPr>
                <w:p w14:paraId="6AB8A0C8">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bidi="en-US"/>
                    </w:rPr>
                    <w:t>相符</w:t>
                  </w:r>
                </w:p>
              </w:tc>
            </w:tr>
            <w:tr w14:paraId="7E70B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1" w:type="dxa"/>
                  <w:noWrap w:val="0"/>
                  <w:vAlign w:val="center"/>
                </w:tcPr>
                <w:p w14:paraId="6EE407E0">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15</w:t>
                  </w:r>
                </w:p>
              </w:tc>
              <w:tc>
                <w:tcPr>
                  <w:tcW w:w="3354" w:type="dxa"/>
                  <w:noWrap w:val="0"/>
                  <w:vAlign w:val="center"/>
                </w:tcPr>
                <w:p w14:paraId="398815A3">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禁止新建、扩建尿素、磷铵、电石、烧碱、聚氯乙烯、纯碱新增产能项目。</w:t>
                  </w:r>
                </w:p>
              </w:tc>
              <w:tc>
                <w:tcPr>
                  <w:tcW w:w="2460" w:type="dxa"/>
                  <w:noWrap w:val="0"/>
                  <w:vAlign w:val="center"/>
                </w:tcPr>
                <w:p w14:paraId="6D9FBD81">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本项目不属于尿素、磷铵、电石、烧碱、聚氯乙烯、纯碱项目。</w:t>
                  </w:r>
                </w:p>
              </w:tc>
              <w:tc>
                <w:tcPr>
                  <w:tcW w:w="660" w:type="dxa"/>
                  <w:noWrap w:val="0"/>
                  <w:vAlign w:val="center"/>
                </w:tcPr>
                <w:p w14:paraId="530EEE40">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bidi="en-US"/>
                    </w:rPr>
                    <w:t>相符</w:t>
                  </w:r>
                </w:p>
              </w:tc>
            </w:tr>
            <w:tr w14:paraId="0D787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1" w:type="dxa"/>
                  <w:noWrap w:val="0"/>
                  <w:vAlign w:val="center"/>
                </w:tcPr>
                <w:p w14:paraId="66BD4CD6">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16</w:t>
                  </w:r>
                </w:p>
              </w:tc>
              <w:tc>
                <w:tcPr>
                  <w:tcW w:w="3354" w:type="dxa"/>
                  <w:noWrap w:val="0"/>
                  <w:vAlign w:val="center"/>
                </w:tcPr>
                <w:p w14:paraId="20B98193">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禁止新建、改建、扩建高毒、高残留以及对环境影响大的农药原药项目，禁止新建、扩建农药、医药和染料中间体化工项目。</w:t>
                  </w:r>
                </w:p>
              </w:tc>
              <w:tc>
                <w:tcPr>
                  <w:tcW w:w="2460" w:type="dxa"/>
                  <w:noWrap w:val="0"/>
                  <w:vAlign w:val="center"/>
                </w:tcPr>
                <w:p w14:paraId="716F787B">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本项目不属于农药原药项目，不属于农药、医药和染料中间体化工项目。</w:t>
                  </w:r>
                </w:p>
              </w:tc>
              <w:tc>
                <w:tcPr>
                  <w:tcW w:w="660" w:type="dxa"/>
                  <w:noWrap w:val="0"/>
                  <w:vAlign w:val="center"/>
                </w:tcPr>
                <w:p w14:paraId="362C2E88">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bidi="en-US"/>
                    </w:rPr>
                    <w:t>相符</w:t>
                  </w:r>
                </w:p>
              </w:tc>
            </w:tr>
            <w:tr w14:paraId="3880D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1" w:type="dxa"/>
                  <w:noWrap w:val="0"/>
                  <w:vAlign w:val="center"/>
                </w:tcPr>
                <w:p w14:paraId="2667406B">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17</w:t>
                  </w:r>
                </w:p>
              </w:tc>
              <w:tc>
                <w:tcPr>
                  <w:tcW w:w="3354" w:type="dxa"/>
                  <w:noWrap w:val="0"/>
                  <w:vAlign w:val="center"/>
                </w:tcPr>
                <w:p w14:paraId="4D5BB088">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禁止新建不符合行业准入条件的合成氨、对二甲苯二硫化碳、氟化氢、轮胎等项目。</w:t>
                  </w:r>
                </w:p>
              </w:tc>
              <w:tc>
                <w:tcPr>
                  <w:tcW w:w="2460" w:type="dxa"/>
                  <w:noWrap w:val="0"/>
                  <w:vAlign w:val="center"/>
                </w:tcPr>
                <w:p w14:paraId="13989792">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本项目不属于合成氨、对二甲苯二硫化碳、氟化氢、轮胎等项目。</w:t>
                  </w:r>
                </w:p>
              </w:tc>
              <w:tc>
                <w:tcPr>
                  <w:tcW w:w="660" w:type="dxa"/>
                  <w:noWrap w:val="0"/>
                  <w:vAlign w:val="center"/>
                </w:tcPr>
                <w:p w14:paraId="140DF735">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bidi="en-US"/>
                    </w:rPr>
                    <w:t>相符</w:t>
                  </w:r>
                </w:p>
              </w:tc>
            </w:tr>
            <w:tr w14:paraId="68788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1" w:type="dxa"/>
                  <w:noWrap w:val="0"/>
                  <w:vAlign w:val="center"/>
                </w:tcPr>
                <w:p w14:paraId="778CB158">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18</w:t>
                  </w:r>
                </w:p>
              </w:tc>
              <w:tc>
                <w:tcPr>
                  <w:tcW w:w="3354" w:type="dxa"/>
                  <w:noWrap w:val="0"/>
                  <w:vAlign w:val="center"/>
                </w:tcPr>
                <w:p w14:paraId="0B995B02">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禁止新建、扩建不符合国家石化、现代煤化工等产业布局规划的项目，禁止新建独立焦化项目。</w:t>
                  </w:r>
                </w:p>
              </w:tc>
              <w:tc>
                <w:tcPr>
                  <w:tcW w:w="2460" w:type="dxa"/>
                  <w:noWrap w:val="0"/>
                  <w:vAlign w:val="center"/>
                </w:tcPr>
                <w:p w14:paraId="0C244344">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本项目不属于国家石化、现代煤化工等产业，不属于独立焦化项目。</w:t>
                  </w:r>
                </w:p>
              </w:tc>
              <w:tc>
                <w:tcPr>
                  <w:tcW w:w="660" w:type="dxa"/>
                  <w:noWrap w:val="0"/>
                  <w:vAlign w:val="center"/>
                </w:tcPr>
                <w:p w14:paraId="74D6A452">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bidi="en-US"/>
                    </w:rPr>
                    <w:t>相符</w:t>
                  </w:r>
                </w:p>
              </w:tc>
            </w:tr>
            <w:tr w14:paraId="79637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1" w:type="dxa"/>
                  <w:noWrap w:val="0"/>
                  <w:vAlign w:val="center"/>
                </w:tcPr>
                <w:p w14:paraId="5ABB25C6">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19</w:t>
                  </w:r>
                </w:p>
              </w:tc>
              <w:tc>
                <w:tcPr>
                  <w:tcW w:w="3354" w:type="dxa"/>
                  <w:noWrap w:val="0"/>
                  <w:vAlign w:val="center"/>
                </w:tcPr>
                <w:p w14:paraId="669DB060">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pacing w:val="-2"/>
                      <w:sz w:val="18"/>
                      <w:szCs w:val="18"/>
                      <w:highlight w:val="none"/>
                    </w:rPr>
                    <w:t>禁止新建、扩建不符合国家产能置换要求</w:t>
                  </w:r>
                  <w:r>
                    <w:rPr>
                      <w:rFonts w:hint="default" w:ascii="Times New Roman" w:hAnsi="Times New Roman" w:eastAsia="宋体" w:cs="Times New Roman"/>
                      <w:color w:val="auto"/>
                      <w:sz w:val="18"/>
                      <w:szCs w:val="18"/>
                      <w:highlight w:val="none"/>
                    </w:rPr>
                    <w:t>的严重过剩产能行业的项目。</w:t>
                  </w:r>
                </w:p>
              </w:tc>
              <w:tc>
                <w:tcPr>
                  <w:tcW w:w="2460" w:type="dxa"/>
                  <w:noWrap w:val="0"/>
                  <w:vAlign w:val="center"/>
                </w:tcPr>
                <w:p w14:paraId="4332F2CB">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sz w:val="18"/>
                      <w:szCs w:val="18"/>
                      <w:highlight w:val="none"/>
                    </w:rPr>
                    <w:t>本项目不属于国家产能置换要求的严重过剩产能行业的项目。</w:t>
                  </w:r>
                </w:p>
              </w:tc>
              <w:tc>
                <w:tcPr>
                  <w:tcW w:w="660" w:type="dxa"/>
                  <w:noWrap w:val="0"/>
                  <w:vAlign w:val="center"/>
                </w:tcPr>
                <w:p w14:paraId="01BA0D52">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bidi="en-US"/>
                    </w:rPr>
                    <w:t>相符</w:t>
                  </w:r>
                </w:p>
              </w:tc>
            </w:tr>
            <w:tr w14:paraId="2CD41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1" w:type="dxa"/>
                  <w:noWrap w:val="0"/>
                  <w:vAlign w:val="center"/>
                </w:tcPr>
                <w:p w14:paraId="365BB413">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20</w:t>
                  </w:r>
                </w:p>
              </w:tc>
              <w:tc>
                <w:tcPr>
                  <w:tcW w:w="3354" w:type="dxa"/>
                  <w:noWrap w:val="0"/>
                  <w:vAlign w:val="center"/>
                </w:tcPr>
                <w:p w14:paraId="3E138D91">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禁止新建、扩建国家《江苏省产业结构调整限制、淘汰和禁止目录》明确的限制类、淘汰类、禁止类项目，法律法规和相关政策明令禁止的落后产能项目，以及明令淘汰的安全生产落后工艺及装备项目。</w:t>
                  </w:r>
                </w:p>
              </w:tc>
              <w:tc>
                <w:tcPr>
                  <w:tcW w:w="2460" w:type="dxa"/>
                  <w:noWrap w:val="0"/>
                  <w:vAlign w:val="center"/>
                </w:tcPr>
                <w:p w14:paraId="616422E2">
                  <w:pPr>
                    <w:pStyle w:val="114"/>
                    <w:keepNext w:val="0"/>
                    <w:keepLines w:val="0"/>
                    <w:pageBreakBefore w:val="0"/>
                    <w:kinsoku/>
                    <w:wordWrap/>
                    <w:overflowPunct/>
                    <w:topLinePunct w:val="0"/>
                    <w:autoSpaceDE w:val="0"/>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本项目不属于《产业结构调整指导目录》、《江苏省产业结构调整限制、淘汰和禁止目录》及其他相关法律法规中的限制类、淘汰类、禁止类项目。</w:t>
                  </w:r>
                </w:p>
              </w:tc>
              <w:tc>
                <w:tcPr>
                  <w:tcW w:w="660" w:type="dxa"/>
                  <w:noWrap w:val="0"/>
                  <w:vAlign w:val="center"/>
                </w:tcPr>
                <w:p w14:paraId="68D3D639">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default" w:ascii="Times New Roman" w:hAnsi="Times New Roman" w:eastAsia="宋体" w:cs="Times New Roman"/>
                      <w:color w:val="auto"/>
                      <w:sz w:val="18"/>
                      <w:szCs w:val="18"/>
                      <w:highlight w:val="none"/>
                      <w:lang w:eastAsia="zh-CN" w:bidi="en-US"/>
                    </w:rPr>
                    <w:t>相符</w:t>
                  </w:r>
                </w:p>
              </w:tc>
            </w:tr>
          </w:tbl>
          <w:p w14:paraId="0ADBBD29">
            <w:pPr>
              <w:autoSpaceDE w:val="0"/>
              <w:autoSpaceDN w:val="0"/>
              <w:adjustRightInd w:val="0"/>
              <w:snapToGrid w:val="0"/>
              <w:spacing w:line="360" w:lineRule="auto"/>
              <w:ind w:firstLine="422" w:firstLineChars="200"/>
              <w:jc w:val="left"/>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lang w:eastAsia="zh-CN"/>
              </w:rPr>
              <w:t>（</w:t>
            </w:r>
            <w:r>
              <w:rPr>
                <w:rFonts w:hint="eastAsia" w:ascii="Times New Roman" w:hAnsi="Times New Roman" w:eastAsia="宋体" w:cs="Times New Roman"/>
                <w:b/>
                <w:bCs/>
                <w:color w:val="auto"/>
                <w:kern w:val="0"/>
                <w:szCs w:val="21"/>
                <w:highlight w:val="none"/>
                <w:lang w:val="en-US" w:eastAsia="zh-CN"/>
              </w:rPr>
              <w:t>3）</w:t>
            </w:r>
            <w:r>
              <w:rPr>
                <w:rFonts w:hint="eastAsia" w:ascii="Times New Roman" w:hAnsi="Times New Roman" w:eastAsia="宋体" w:cs="Times New Roman"/>
                <w:b/>
                <w:bCs/>
                <w:color w:val="auto"/>
                <w:kern w:val="0"/>
                <w:szCs w:val="21"/>
                <w:highlight w:val="none"/>
              </w:rPr>
              <w:t>与《关于加强重点行业涉新污染物建设项目环境影响评价工作的意见》（环环评〔2025〕28号）相符性分析</w:t>
            </w:r>
          </w:p>
          <w:p w14:paraId="547177A1">
            <w:pPr>
              <w:adjustRightInd w:val="0"/>
              <w:snapToGrid w:val="0"/>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重点关注重点管控新污染物清单、有毒有害污染物名录、优先控制化学品名录以及《关于持久性有机污染物的斯德哥尔摩公约》（简称《斯德哥尔摩公约》）附件中已发布的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775C08D1">
            <w:pPr>
              <w:adjustRightInd w:val="0"/>
              <w:snapToGrid w:val="0"/>
              <w:spacing w:line="360" w:lineRule="auto"/>
              <w:ind w:firstLine="420" w:firstLineChars="200"/>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经与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进行对照，本项目靶材涉及有毒有害污染物名录的铬</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靶材中铬处于金属态，危害较小，且不排放含铬废气废水。与文件相符性分析见1-10</w:t>
            </w:r>
            <w:r>
              <w:rPr>
                <w:rFonts w:hint="default" w:ascii="Times New Roman" w:hAnsi="Times New Roman" w:eastAsia="宋体" w:cs="Times New Roman"/>
                <w:color w:val="auto"/>
                <w:szCs w:val="21"/>
                <w:highlight w:val="none"/>
                <w:lang w:eastAsia="zh-CN"/>
              </w:rPr>
              <w:t>。</w:t>
            </w:r>
          </w:p>
          <w:p w14:paraId="7C08EB4A">
            <w:pPr>
              <w:pStyle w:val="187"/>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p>
          <w:p w14:paraId="5195E572">
            <w:pPr>
              <w:pStyle w:val="187"/>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 xml:space="preserve">1-10  </w:t>
            </w:r>
            <w:r>
              <w:rPr>
                <w:rFonts w:hint="default" w:ascii="Times New Roman" w:hAnsi="Times New Roman" w:eastAsia="宋体" w:cs="Times New Roman"/>
                <w:b/>
                <w:bCs/>
                <w:color w:val="auto"/>
                <w:sz w:val="21"/>
                <w:szCs w:val="21"/>
                <w:highlight w:val="none"/>
              </w:rPr>
              <w:t>与</w:t>
            </w:r>
            <w:r>
              <w:rPr>
                <w:rFonts w:hint="eastAsia" w:ascii="Times New Roman" w:hAnsi="Times New Roman" w:eastAsia="宋体" w:cs="Times New Roman"/>
                <w:b/>
                <w:bCs/>
                <w:color w:val="auto"/>
                <w:sz w:val="21"/>
                <w:szCs w:val="21"/>
                <w:highlight w:val="none"/>
              </w:rPr>
              <w:t>环环评〔2025〕28号</w:t>
            </w:r>
            <w:r>
              <w:rPr>
                <w:rFonts w:hint="default" w:ascii="Times New Roman" w:hAnsi="Times New Roman" w:eastAsia="宋体" w:cs="Times New Roman"/>
                <w:b/>
                <w:bCs/>
                <w:color w:val="auto"/>
                <w:sz w:val="21"/>
                <w:szCs w:val="21"/>
                <w:highlight w:val="none"/>
              </w:rPr>
              <w:t>的相符性分析</w:t>
            </w:r>
          </w:p>
          <w:tbl>
            <w:tblPr>
              <w:tblStyle w:val="30"/>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4700"/>
              <w:gridCol w:w="1483"/>
              <w:gridCol w:w="1483"/>
            </w:tblGrid>
            <w:tr w14:paraId="5D75E4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65" w:type="pct"/>
                  <w:shd w:val="clear" w:color="auto" w:fill="D7D7D7" w:themeFill="background1" w:themeFillShade="D8"/>
                  <w:vAlign w:val="center"/>
                </w:tcPr>
                <w:p w14:paraId="7E902D4A">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lang w:eastAsia="zh-CN" w:bidi="en-US"/>
                    </w:rPr>
                  </w:pPr>
                  <w:r>
                    <w:rPr>
                      <w:rFonts w:hint="default" w:ascii="Times New Roman" w:hAnsi="Times New Roman" w:eastAsia="宋体" w:cs="Times New Roman"/>
                      <w:b/>
                      <w:bCs/>
                      <w:color w:val="auto"/>
                      <w:sz w:val="18"/>
                      <w:szCs w:val="18"/>
                      <w:highlight w:val="none"/>
                      <w:lang w:eastAsia="zh-CN" w:bidi="en-US"/>
                    </w:rPr>
                    <w:t>相关要求</w:t>
                  </w:r>
                </w:p>
              </w:tc>
              <w:tc>
                <w:tcPr>
                  <w:tcW w:w="967" w:type="pct"/>
                  <w:shd w:val="clear" w:color="auto" w:fill="D7D7D7" w:themeFill="background1" w:themeFillShade="D8"/>
                  <w:vAlign w:val="center"/>
                </w:tcPr>
                <w:p w14:paraId="7C2658C7">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lang w:eastAsia="zh-CN" w:bidi="en-US"/>
                    </w:rPr>
                  </w:pPr>
                  <w:r>
                    <w:rPr>
                      <w:rFonts w:hint="default" w:ascii="Times New Roman" w:hAnsi="Times New Roman" w:eastAsia="宋体" w:cs="Times New Roman"/>
                      <w:b/>
                      <w:bCs/>
                      <w:color w:val="auto"/>
                      <w:sz w:val="18"/>
                      <w:szCs w:val="18"/>
                      <w:highlight w:val="none"/>
                      <w:lang w:eastAsia="zh-CN" w:bidi="en-US"/>
                    </w:rPr>
                    <w:t>本项目与其相符性</w:t>
                  </w:r>
                </w:p>
              </w:tc>
              <w:tc>
                <w:tcPr>
                  <w:tcW w:w="967" w:type="pct"/>
                  <w:shd w:val="clear" w:color="auto" w:fill="D7D7D7" w:themeFill="background1" w:themeFillShade="D8"/>
                  <w:vAlign w:val="center"/>
                </w:tcPr>
                <w:p w14:paraId="44366128">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lang w:val="en-US" w:eastAsia="zh-CN" w:bidi="en-US"/>
                    </w:rPr>
                  </w:pPr>
                  <w:r>
                    <w:rPr>
                      <w:rFonts w:hint="eastAsia" w:ascii="Times New Roman" w:hAnsi="Times New Roman" w:eastAsia="宋体" w:cs="Times New Roman"/>
                      <w:b/>
                      <w:bCs/>
                      <w:color w:val="auto"/>
                      <w:sz w:val="18"/>
                      <w:szCs w:val="18"/>
                      <w:highlight w:val="none"/>
                      <w:lang w:val="en-US" w:eastAsia="zh-CN" w:bidi="en-US"/>
                    </w:rPr>
                    <w:t>相符性</w:t>
                  </w:r>
                </w:p>
              </w:tc>
            </w:tr>
            <w:tr w14:paraId="1F12E5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65" w:type="pct"/>
                  <w:vAlign w:val="center"/>
                </w:tcPr>
                <w:p w14:paraId="47A2283A">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一）优化原料、工艺和治理措施，从源头减少新污染物产生。建设项目应尽可能开发、使用低毒低害和无毒无害原料，减少产品中有毒有害物质含量；应采用清洁的生产工艺，提高资源利用率，从源头避免或削减新污染物产生。强化治理措施，已有污染防治技术的新污染物，应采取可行污染防治技术，加大治理力度，减轻新污染物排放对环境的影响。鼓励建设项目开展有毒有害化学物质绿色替代、新污染物减排以及污水污泥、废液废渣中新污染物治理等技术示范。</w:t>
                  </w:r>
                </w:p>
              </w:tc>
              <w:tc>
                <w:tcPr>
                  <w:tcW w:w="967" w:type="pct"/>
                  <w:vAlign w:val="center"/>
                </w:tcPr>
                <w:p w14:paraId="32EE0CD7">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本项目涉及</w:t>
                  </w:r>
                  <w:r>
                    <w:rPr>
                      <w:rFonts w:hint="eastAsia" w:ascii="Times New Roman" w:hAnsi="Times New Roman" w:eastAsia="宋体" w:cs="Times New Roman"/>
                      <w:color w:val="auto"/>
                      <w:sz w:val="18"/>
                      <w:szCs w:val="18"/>
                      <w:highlight w:val="none"/>
                      <w:lang w:val="en-US" w:eastAsia="zh-CN" w:bidi="en-US"/>
                    </w:rPr>
                    <w:t>铬</w:t>
                  </w:r>
                  <w:r>
                    <w:rPr>
                      <w:rFonts w:hint="eastAsia" w:ascii="Times New Roman" w:hAnsi="Times New Roman" w:eastAsia="宋体" w:cs="Times New Roman"/>
                      <w:color w:val="auto"/>
                      <w:sz w:val="18"/>
                      <w:szCs w:val="18"/>
                      <w:highlight w:val="none"/>
                      <w:lang w:eastAsia="zh-CN" w:bidi="en-US"/>
                    </w:rPr>
                    <w:t>，</w:t>
                  </w:r>
                  <w:r>
                    <w:rPr>
                      <w:rFonts w:hint="eastAsia" w:ascii="Times New Roman" w:hAnsi="Times New Roman" w:eastAsia="宋体" w:cs="Times New Roman"/>
                      <w:color w:val="auto"/>
                      <w:sz w:val="18"/>
                      <w:szCs w:val="18"/>
                      <w:highlight w:val="none"/>
                      <w:lang w:val="en-US" w:eastAsia="zh-CN" w:bidi="en-US"/>
                    </w:rPr>
                    <w:t>不排放含铬废气废水</w:t>
                  </w:r>
                  <w:r>
                    <w:rPr>
                      <w:rFonts w:hint="eastAsia" w:ascii="Times New Roman" w:hAnsi="Times New Roman" w:eastAsia="宋体" w:cs="Times New Roman"/>
                      <w:color w:val="auto"/>
                      <w:sz w:val="18"/>
                      <w:szCs w:val="18"/>
                      <w:highlight w:val="none"/>
                      <w:lang w:eastAsia="zh-CN" w:bidi="en-US"/>
                    </w:rPr>
                    <w:t>。</w:t>
                  </w:r>
                </w:p>
              </w:tc>
              <w:tc>
                <w:tcPr>
                  <w:tcW w:w="967" w:type="pct"/>
                  <w:vAlign w:val="center"/>
                </w:tcPr>
                <w:p w14:paraId="7A527B27">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bidi="en-US"/>
                    </w:rPr>
                  </w:pPr>
                  <w:r>
                    <w:rPr>
                      <w:rFonts w:hint="eastAsia" w:ascii="Times New Roman" w:hAnsi="Times New Roman" w:eastAsia="宋体" w:cs="Times New Roman"/>
                      <w:color w:val="auto"/>
                      <w:sz w:val="18"/>
                      <w:szCs w:val="18"/>
                      <w:highlight w:val="none"/>
                      <w:lang w:val="en-US" w:eastAsia="zh-CN" w:bidi="en-US"/>
                    </w:rPr>
                    <w:t>相符</w:t>
                  </w:r>
                </w:p>
              </w:tc>
            </w:tr>
            <w:tr w14:paraId="0A1DA8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65" w:type="pct"/>
                  <w:vAlign w:val="center"/>
                </w:tcPr>
                <w:p w14:paraId="5B46E9AC">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二）核算新污染物产排污情况。环评文件应给出所有列入重点管控新污染物清单、有毒有害污染物名录和优先控制化学品名录的化学物质生产或使用的数量、品种、用途，涉及化学反应的，分析主副反应中新污染物的迁移转化情况；将涉及的新污染物纳入评价因子；核算各环节新污染物的产生和排放情况。改建、扩建项目还应梳理现有工程新污染物排放情况，鼓励采用靶向及非靶向检测技术对废水、废气及废渣中的新污染物进行筛查。</w:t>
                  </w:r>
                </w:p>
              </w:tc>
              <w:tc>
                <w:tcPr>
                  <w:tcW w:w="967" w:type="pct"/>
                  <w:vAlign w:val="center"/>
                </w:tcPr>
                <w:p w14:paraId="4A7F41BA">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本项目涉及</w:t>
                  </w:r>
                  <w:r>
                    <w:rPr>
                      <w:rFonts w:hint="eastAsia" w:ascii="Times New Roman" w:hAnsi="Times New Roman" w:eastAsia="宋体" w:cs="Times New Roman"/>
                      <w:color w:val="auto"/>
                      <w:sz w:val="18"/>
                      <w:szCs w:val="18"/>
                      <w:highlight w:val="none"/>
                      <w:lang w:val="en-US" w:eastAsia="zh-CN" w:bidi="en-US"/>
                    </w:rPr>
                    <w:t>铬</w:t>
                  </w:r>
                  <w:r>
                    <w:rPr>
                      <w:rFonts w:hint="eastAsia" w:ascii="Times New Roman" w:hAnsi="Times New Roman" w:eastAsia="宋体" w:cs="Times New Roman"/>
                      <w:color w:val="auto"/>
                      <w:sz w:val="18"/>
                      <w:szCs w:val="18"/>
                      <w:highlight w:val="none"/>
                      <w:lang w:eastAsia="zh-CN" w:bidi="en-US"/>
                    </w:rPr>
                    <w:t>，</w:t>
                  </w:r>
                  <w:r>
                    <w:rPr>
                      <w:rFonts w:hint="eastAsia" w:ascii="Times New Roman" w:hAnsi="Times New Roman" w:eastAsia="宋体" w:cs="Times New Roman"/>
                      <w:color w:val="auto"/>
                      <w:sz w:val="18"/>
                      <w:szCs w:val="18"/>
                      <w:highlight w:val="none"/>
                      <w:lang w:val="en-US" w:eastAsia="zh-CN" w:bidi="en-US"/>
                    </w:rPr>
                    <w:t>不排放含铬废气废水，无需核算</w:t>
                  </w:r>
                  <w:r>
                    <w:rPr>
                      <w:rFonts w:hint="eastAsia" w:ascii="Times New Roman" w:hAnsi="Times New Roman" w:eastAsia="宋体" w:cs="Times New Roman"/>
                      <w:color w:val="auto"/>
                      <w:sz w:val="18"/>
                      <w:szCs w:val="18"/>
                      <w:highlight w:val="none"/>
                      <w:lang w:eastAsia="zh-CN" w:bidi="en-US"/>
                    </w:rPr>
                    <w:t>。</w:t>
                  </w:r>
                </w:p>
              </w:tc>
              <w:tc>
                <w:tcPr>
                  <w:tcW w:w="967" w:type="pct"/>
                  <w:vAlign w:val="center"/>
                </w:tcPr>
                <w:p w14:paraId="3F0ED579">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val="en-US" w:eastAsia="zh-CN" w:bidi="en-US"/>
                    </w:rPr>
                    <w:t>相符</w:t>
                  </w:r>
                </w:p>
              </w:tc>
            </w:tr>
            <w:tr w14:paraId="3E848F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65" w:type="pct"/>
                  <w:vAlign w:val="center"/>
                </w:tcPr>
                <w:p w14:paraId="74A96749">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三）对已发布污染物排放标准的新污染物严格排放达标要求。新建项目产生并排放已有排放标准新污染物的，应采取措施确保排放达标。涉及新污染物排放的改建、扩建项目，应对现有项目废气、废水排放口新污染物排放情况进行监测，对排放不能达标的，应提出整改措施。对可能涉及新污染物的废母液、精馏残渣、抗生素菌渣、废反应基和废培养基、污泥等固体废物，应根据国家危险废物名录进行判定，未列入名录的固体废物应提出项目运行后按危险废物鉴别标准进行鉴别的要求，属于危险废物的按照危险废物污染环境防治相关要求进行管理。对涉及新污染物的生产、贮存、运输、处置等装置、设备设施及场所，应按相关国家标准提出防腐蚀、防渗漏、防扬散等土壤和地下水污染防治措施。</w:t>
                  </w:r>
                </w:p>
              </w:tc>
              <w:tc>
                <w:tcPr>
                  <w:tcW w:w="967" w:type="pct"/>
                  <w:vAlign w:val="center"/>
                </w:tcPr>
                <w:p w14:paraId="21EC647E">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本项目</w:t>
                  </w:r>
                  <w:r>
                    <w:rPr>
                      <w:rFonts w:hint="eastAsia" w:ascii="Times New Roman" w:hAnsi="Times New Roman" w:eastAsia="宋体" w:cs="Times New Roman"/>
                      <w:color w:val="auto"/>
                      <w:sz w:val="18"/>
                      <w:szCs w:val="18"/>
                      <w:highlight w:val="none"/>
                      <w:lang w:val="en-US" w:eastAsia="zh-CN" w:bidi="en-US"/>
                    </w:rPr>
                    <w:t>不排放含铬废气废水</w:t>
                  </w:r>
                  <w:r>
                    <w:rPr>
                      <w:rFonts w:hint="eastAsia" w:ascii="Times New Roman" w:hAnsi="Times New Roman" w:eastAsia="宋体" w:cs="Times New Roman"/>
                      <w:color w:val="auto"/>
                      <w:sz w:val="18"/>
                      <w:szCs w:val="18"/>
                      <w:highlight w:val="none"/>
                      <w:lang w:eastAsia="zh-CN" w:bidi="en-US"/>
                    </w:rPr>
                    <w:t>。</w:t>
                  </w:r>
                </w:p>
              </w:tc>
              <w:tc>
                <w:tcPr>
                  <w:tcW w:w="967" w:type="pct"/>
                  <w:vAlign w:val="center"/>
                </w:tcPr>
                <w:p w14:paraId="34DEA098">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val="en-US" w:eastAsia="zh-CN" w:bidi="en-US"/>
                    </w:rPr>
                    <w:t>相符</w:t>
                  </w:r>
                </w:p>
              </w:tc>
            </w:tr>
            <w:tr w14:paraId="4FCC50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65" w:type="pct"/>
                  <w:vAlign w:val="center"/>
                </w:tcPr>
                <w:p w14:paraId="6A558B55">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四）对环境质量标准规定的新污染物做好环境质量现状和影响评价。建设项目现状评价因子和预测评价因子筛选应考虑涉及的新污染物，充分利用国家和地方新污染物环境监测试点成果，收集评价范围内和建设项目相关的新污染物环境质量历史监测资料（包括环境空气、周边地表水体及相应底泥/沉积物、土壤和地下水、周边海域海水及沉积物/生物体等），没有相关监测数据的，进行补充监测。对环境质量标准规定的新污染物，根据相关环境质量标准进行现状评价，环境质量标准未规定但已有环境监测方法标准的，应给出监测值。将相应已有环境质量标准的新污染物纳入环境影响预测因子并预测评价其环境影响。</w:t>
                  </w:r>
                </w:p>
              </w:tc>
              <w:tc>
                <w:tcPr>
                  <w:tcW w:w="967" w:type="pct"/>
                  <w:vAlign w:val="center"/>
                </w:tcPr>
                <w:p w14:paraId="6ECF35EF">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本项目不是重点行业，本项目</w:t>
                  </w:r>
                  <w:r>
                    <w:rPr>
                      <w:rFonts w:hint="eastAsia" w:ascii="Times New Roman" w:hAnsi="Times New Roman" w:eastAsia="宋体" w:cs="Times New Roman"/>
                      <w:color w:val="auto"/>
                      <w:sz w:val="18"/>
                      <w:szCs w:val="18"/>
                      <w:highlight w:val="none"/>
                      <w:lang w:val="en-US" w:eastAsia="zh-CN" w:bidi="en-US"/>
                    </w:rPr>
                    <w:t>不排放含铬废气废水</w:t>
                  </w:r>
                  <w:r>
                    <w:rPr>
                      <w:rFonts w:hint="eastAsia" w:ascii="Times New Roman" w:hAnsi="Times New Roman" w:eastAsia="宋体" w:cs="Times New Roman"/>
                      <w:color w:val="auto"/>
                      <w:sz w:val="18"/>
                      <w:szCs w:val="18"/>
                      <w:highlight w:val="none"/>
                      <w:lang w:eastAsia="zh-CN" w:bidi="en-US"/>
                    </w:rPr>
                    <w:t>。</w:t>
                  </w:r>
                </w:p>
              </w:tc>
              <w:tc>
                <w:tcPr>
                  <w:tcW w:w="967" w:type="pct"/>
                  <w:vAlign w:val="center"/>
                </w:tcPr>
                <w:p w14:paraId="4C173A05">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val="en-US" w:eastAsia="zh-CN" w:bidi="en-US"/>
                    </w:rPr>
                    <w:t>相符</w:t>
                  </w:r>
                </w:p>
              </w:tc>
            </w:tr>
            <w:tr w14:paraId="235114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65" w:type="pct"/>
                  <w:vAlign w:val="center"/>
                </w:tcPr>
                <w:p w14:paraId="40034F54">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五）强化新污染物排放情况跟踪监测。应在涉及新污染物的建设项目环评文件中，明确提出将相应的新污染物纳入监测计划要求；对既未发布污染物排放标准，也无污染防治技术，但已有环境监测方法标准的新污染物，应加强日常监控和监测，掌握新污染物排放情况。将周边环境的相应新污染物监测纳入环境监测计划，做好跟踪监测。</w:t>
                  </w:r>
                </w:p>
              </w:tc>
              <w:tc>
                <w:tcPr>
                  <w:tcW w:w="967" w:type="pct"/>
                  <w:vAlign w:val="center"/>
                </w:tcPr>
                <w:p w14:paraId="5A071F62">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本项目</w:t>
                  </w:r>
                  <w:r>
                    <w:rPr>
                      <w:rFonts w:hint="eastAsia" w:ascii="Times New Roman" w:hAnsi="Times New Roman" w:eastAsia="宋体" w:cs="Times New Roman"/>
                      <w:color w:val="auto"/>
                      <w:sz w:val="18"/>
                      <w:szCs w:val="18"/>
                      <w:highlight w:val="none"/>
                      <w:lang w:val="en-US" w:eastAsia="zh-CN" w:bidi="en-US"/>
                    </w:rPr>
                    <w:t>不排放含铬废气废水，无需</w:t>
                  </w:r>
                  <w:r>
                    <w:rPr>
                      <w:rFonts w:hint="eastAsia" w:ascii="Times New Roman" w:hAnsi="Times New Roman" w:eastAsia="宋体" w:cs="Times New Roman"/>
                      <w:color w:val="auto"/>
                      <w:sz w:val="18"/>
                      <w:szCs w:val="18"/>
                      <w:highlight w:val="none"/>
                      <w:lang w:eastAsia="zh-CN" w:bidi="en-US"/>
                    </w:rPr>
                    <w:t>自行监测。</w:t>
                  </w:r>
                </w:p>
              </w:tc>
              <w:tc>
                <w:tcPr>
                  <w:tcW w:w="967" w:type="pct"/>
                  <w:vAlign w:val="center"/>
                </w:tcPr>
                <w:p w14:paraId="3DA7E2AF">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val="en-US" w:eastAsia="zh-CN" w:bidi="en-US"/>
                    </w:rPr>
                    <w:t>相符</w:t>
                  </w:r>
                </w:p>
              </w:tc>
            </w:tr>
            <w:tr w14:paraId="39CD36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65" w:type="pct"/>
                  <w:vAlign w:val="center"/>
                </w:tcPr>
                <w:p w14:paraId="1DDA921F">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六）提出新化学物质环境管理登记要求。对照《中国现有化学物质名录》，原辅材料或产品属于新化学物质的，或将实施新用途环境管理的现有化学物质，用于允许用途以外的其他工业用途的，应在环评文件中提出按相关规定办理新化学物质环境管理登记的要求。</w:t>
                  </w:r>
                </w:p>
              </w:tc>
              <w:tc>
                <w:tcPr>
                  <w:tcW w:w="967" w:type="pct"/>
                  <w:vAlign w:val="center"/>
                </w:tcPr>
                <w:p w14:paraId="652469A1">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本项目原辅料不涉及新化学物质。</w:t>
                  </w:r>
                </w:p>
              </w:tc>
              <w:tc>
                <w:tcPr>
                  <w:tcW w:w="967" w:type="pct"/>
                  <w:vAlign w:val="center"/>
                </w:tcPr>
                <w:p w14:paraId="37754303">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val="en-US" w:eastAsia="zh-CN" w:bidi="en-US"/>
                    </w:rPr>
                    <w:t>相符</w:t>
                  </w:r>
                </w:p>
              </w:tc>
            </w:tr>
            <w:tr w14:paraId="4FC610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65" w:type="pct"/>
                  <w:vAlign w:val="center"/>
                </w:tcPr>
                <w:p w14:paraId="199CAA36">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四、将新污染物管控要求依法纳入排污许可管理</w:t>
                  </w:r>
                </w:p>
                <w:p w14:paraId="2A3AA3F3">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生态环境部门依法核发排污许可证时，石化、涂料、纺织印染、橡胶、农药、医药等行业应按照排污许可证申请与核发技术规范，载明排放标准中规定的新污染物排放限值和自行监测要求；按照环评文件及批复，载明新污染物控制措施要求。生态环境部门应当按排污许可证规定，对新污染物管控要求落实情况开展执法监管。</w:t>
                  </w:r>
                </w:p>
              </w:tc>
              <w:tc>
                <w:tcPr>
                  <w:tcW w:w="967" w:type="pct"/>
                  <w:vAlign w:val="center"/>
                </w:tcPr>
                <w:p w14:paraId="26B05BF3">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eastAsia="zh-CN" w:bidi="en-US"/>
                    </w:rPr>
                    <w:t>本项目建成后按要求申请排污许可。</w:t>
                  </w:r>
                </w:p>
              </w:tc>
              <w:tc>
                <w:tcPr>
                  <w:tcW w:w="967" w:type="pct"/>
                  <w:vAlign w:val="center"/>
                </w:tcPr>
                <w:p w14:paraId="1D2CE6C2">
                  <w:pPr>
                    <w:pStyle w:val="63"/>
                    <w:keepNext w:val="0"/>
                    <w:keepLines w:val="0"/>
                    <w:pageBreakBefore w:val="0"/>
                    <w:kinsoku/>
                    <w:wordWrap/>
                    <w:overflowPunct/>
                    <w:topLinePunct w:val="0"/>
                    <w:autoSpaceDE w:val="0"/>
                    <w:autoSpaceDN/>
                    <w:bidi w:val="0"/>
                    <w:adjustRightInd w:val="0"/>
                    <w:snapToGrid w:val="0"/>
                    <w:spacing w:beforeLines="0" w:afterLines="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bidi="en-US"/>
                    </w:rPr>
                  </w:pPr>
                  <w:r>
                    <w:rPr>
                      <w:rFonts w:hint="eastAsia" w:ascii="Times New Roman" w:hAnsi="Times New Roman" w:eastAsia="宋体" w:cs="Times New Roman"/>
                      <w:color w:val="auto"/>
                      <w:sz w:val="18"/>
                      <w:szCs w:val="18"/>
                      <w:highlight w:val="none"/>
                      <w:lang w:val="en-US" w:eastAsia="zh-CN" w:bidi="en-US"/>
                    </w:rPr>
                    <w:t>相符</w:t>
                  </w:r>
                </w:p>
              </w:tc>
            </w:tr>
          </w:tbl>
          <w:p w14:paraId="6DF268C2">
            <w:pPr>
              <w:ind w:firstLine="420"/>
              <w:rPr>
                <w:color w:val="auto"/>
              </w:rPr>
            </w:pPr>
            <w:r>
              <w:rPr>
                <w:rFonts w:hint="eastAsia"/>
                <w:color w:val="auto"/>
                <w:lang w:val="en-US" w:eastAsia="zh-CN"/>
              </w:rPr>
              <w:t>对照</w:t>
            </w:r>
            <w:r>
              <w:rPr>
                <w:rFonts w:hint="eastAsia"/>
                <w:color w:val="auto"/>
                <w:lang w:eastAsia="zh-CN"/>
              </w:rPr>
              <w:t>《</w:t>
            </w:r>
            <w:r>
              <w:rPr>
                <w:rFonts w:hint="eastAsia"/>
                <w:color w:val="auto"/>
              </w:rPr>
              <w:t>关于加强重点行业涉新污染物建设项目环境影响评价工作的意见</w:t>
            </w:r>
            <w:r>
              <w:rPr>
                <w:rFonts w:hint="eastAsia"/>
                <w:color w:val="auto"/>
                <w:lang w:eastAsia="zh-CN"/>
              </w:rPr>
              <w:t>》</w:t>
            </w:r>
            <w:r>
              <w:rPr>
                <w:rFonts w:hint="eastAsia"/>
                <w:color w:val="auto"/>
                <w:lang w:val="en-US" w:eastAsia="zh-CN"/>
              </w:rPr>
              <w:t>附表中不予审批环评的项目类别，本项目不属于其中不予审批项目。</w:t>
            </w:r>
          </w:p>
          <w:p w14:paraId="361086F8">
            <w:pPr>
              <w:ind w:firstLine="420"/>
              <w:rPr>
                <w:rFonts w:hint="default"/>
                <w:color w:val="auto"/>
                <w:lang w:val="en-US" w:eastAsia="zh-CN"/>
              </w:rPr>
            </w:pPr>
            <w:r>
              <w:rPr>
                <w:rFonts w:hint="eastAsia"/>
                <w:color w:val="auto"/>
                <w:lang w:val="en-US" w:eastAsia="zh-CN"/>
              </w:rPr>
              <w:t>（4）与</w:t>
            </w:r>
            <w:r>
              <w:rPr>
                <w:rFonts w:hint="default"/>
                <w:color w:val="auto"/>
                <w:lang w:val="en-US" w:eastAsia="zh-CN"/>
              </w:rPr>
              <w:t>《关于进一步加强重金属污染防控的意见》（环固体〔2022〕17号）</w:t>
            </w:r>
            <w:r>
              <w:rPr>
                <w:rFonts w:hint="eastAsia"/>
                <w:color w:val="auto"/>
                <w:lang w:val="en-US" w:eastAsia="zh-CN"/>
              </w:rPr>
              <w:t>相符性分析</w:t>
            </w:r>
          </w:p>
          <w:p w14:paraId="11019076">
            <w:pPr>
              <w:ind w:firstLine="420"/>
              <w:rPr>
                <w:rFonts w:hint="eastAsia"/>
                <w:color w:val="auto"/>
                <w:lang w:val="en-US" w:eastAsia="zh-CN"/>
              </w:rPr>
            </w:pPr>
            <w:r>
              <w:rPr>
                <w:rFonts w:hint="eastAsia"/>
                <w:color w:val="auto"/>
                <w:lang w:val="en-US" w:eastAsia="zh-CN"/>
              </w:rPr>
              <w:t>重点重金属污染物。重点防控的重金属污染物是铅、汞、镉、铬、砷、铊和锑，并对铅、汞、镉、铬和砷五种重点重金属污染物排放量实施总量控制。</w:t>
            </w:r>
          </w:p>
          <w:p w14:paraId="3117D3E6">
            <w:pPr>
              <w:ind w:firstLine="420"/>
              <w:rPr>
                <w:rFonts w:hint="eastAsia"/>
                <w:color w:val="auto"/>
                <w:lang w:val="en-US" w:eastAsia="zh-CN"/>
              </w:rPr>
            </w:pPr>
            <w:r>
              <w:rPr>
                <w:rFonts w:hint="eastAsia"/>
                <w:color w:val="auto"/>
                <w:lang w:val="en-US" w:eastAsia="zh-CN"/>
              </w:rPr>
              <w:t>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6个行业。</w:t>
            </w:r>
          </w:p>
          <w:p w14:paraId="251389C0">
            <w:pPr>
              <w:ind w:firstLine="420"/>
              <w:rPr>
                <w:rFonts w:hint="eastAsia"/>
                <w:color w:val="auto"/>
                <w:lang w:val="en-US" w:eastAsia="zh-CN"/>
              </w:rPr>
            </w:pPr>
            <w:r>
              <w:rPr>
                <w:rFonts w:hint="eastAsia"/>
                <w:color w:val="auto"/>
                <w:lang w:val="en-US" w:eastAsia="zh-CN"/>
              </w:rPr>
              <w:t>重点区域。依据重金属污染物排放状况、环境质量改善和环境风险防控需求，划定重金属污染防控重点区域。</w:t>
            </w:r>
          </w:p>
          <w:p w14:paraId="5FFABDDB">
            <w:pPr>
              <w:ind w:firstLine="420"/>
              <w:rPr>
                <w:rFonts w:hint="eastAsia"/>
                <w:color w:val="auto"/>
                <w:lang w:val="en-US" w:eastAsia="zh-CN"/>
              </w:rPr>
            </w:pPr>
            <w:r>
              <w:rPr>
                <w:rFonts w:hint="eastAsia"/>
                <w:color w:val="auto"/>
                <w:lang w:val="en-US" w:eastAsia="zh-CN"/>
              </w:rPr>
              <w:t>严格重点行业企业准入管理。新、改、扩建重点行业建设项目应符合“三线一单”、产业政策、区域环评、规划环评和行业环境准入管控要求。重点区域的新、改、扩建重点行业建设项目应遵循重点重金属污染物排放“减量替代”原则，减量替代比例不低于1.2:1；其他区域遵循“等量替代”原则。建设单位在提交环境影响评价文件时应明确重点重金属污染物排放总量及来源。无明确具体总量来源的，各级生态环境部门不得批准相关环境影响评价文件。</w:t>
            </w:r>
          </w:p>
          <w:p w14:paraId="78B2C481">
            <w:pPr>
              <w:ind w:firstLine="420"/>
              <w:rPr>
                <w:rFonts w:hint="default"/>
                <w:color w:val="auto"/>
                <w:lang w:val="en-US" w:eastAsia="zh-CN"/>
              </w:rPr>
            </w:pPr>
            <w:r>
              <w:rPr>
                <w:rFonts w:hint="eastAsia"/>
                <w:color w:val="auto"/>
                <w:lang w:val="en-US" w:eastAsia="zh-CN"/>
              </w:rPr>
              <w:t>本项目属于C2921塑料薄膜制造，不属于重点行业，无需新增重金属污染物排放总量，符合文件要求。</w:t>
            </w:r>
          </w:p>
          <w:p w14:paraId="1B607F66">
            <w:pPr>
              <w:ind w:firstLine="420"/>
              <w:rPr>
                <w:rFonts w:hint="default"/>
                <w:color w:val="auto"/>
                <w:lang w:val="en-US" w:eastAsia="zh-CN"/>
              </w:rPr>
            </w:pPr>
            <w:r>
              <w:rPr>
                <w:rFonts w:hint="eastAsia"/>
                <w:color w:val="auto"/>
                <w:lang w:val="en-US" w:eastAsia="zh-CN"/>
              </w:rPr>
              <w:t>（5）与</w:t>
            </w:r>
            <w:r>
              <w:rPr>
                <w:rFonts w:hint="default"/>
                <w:color w:val="auto"/>
                <w:lang w:val="en-US" w:eastAsia="zh-CN"/>
              </w:rPr>
              <w:t>《省生态环境厅印发关于进一步加强重金属污染防控工作的实施方案的通知》（苏环办〔2022〕155号）</w:t>
            </w:r>
            <w:r>
              <w:rPr>
                <w:rFonts w:hint="eastAsia"/>
                <w:color w:val="auto"/>
                <w:lang w:val="en-US" w:eastAsia="zh-CN"/>
              </w:rPr>
              <w:t>相符性分析</w:t>
            </w:r>
          </w:p>
          <w:p w14:paraId="6D6DA03A">
            <w:pPr>
              <w:ind w:firstLine="420"/>
              <w:rPr>
                <w:rFonts w:hint="eastAsia"/>
                <w:color w:val="auto"/>
                <w:lang w:val="en-US" w:eastAsia="zh-CN"/>
              </w:rPr>
            </w:pPr>
            <w:r>
              <w:rPr>
                <w:rFonts w:hint="eastAsia"/>
                <w:color w:val="auto"/>
                <w:lang w:val="en-US" w:eastAsia="zh-CN"/>
              </w:rPr>
              <w:t>一、目标要求</w:t>
            </w:r>
          </w:p>
          <w:p w14:paraId="146140A8">
            <w:pPr>
              <w:ind w:firstLine="420"/>
              <w:rPr>
                <w:rFonts w:hint="eastAsia"/>
                <w:color w:val="auto"/>
                <w:lang w:val="en-US" w:eastAsia="zh-CN"/>
              </w:rPr>
            </w:pPr>
            <w:r>
              <w:rPr>
                <w:rFonts w:hint="eastAsia"/>
                <w:color w:val="auto"/>
                <w:lang w:val="en-US" w:eastAsia="zh-CN"/>
              </w:rPr>
              <w:t>到2025年，各设区市重点行业重点重金属污染物排放量比2020年下降5%，重点行业绿色发展水平较快提升，重点区域重金属污染风险有效管控，重金属环境管理能力进一步增强。</w:t>
            </w:r>
          </w:p>
          <w:p w14:paraId="42992085">
            <w:pPr>
              <w:ind w:firstLine="420"/>
              <w:rPr>
                <w:rFonts w:hint="eastAsia"/>
                <w:color w:val="auto"/>
                <w:lang w:val="en-US" w:eastAsia="zh-CN"/>
              </w:rPr>
            </w:pPr>
            <w:r>
              <w:rPr>
                <w:rFonts w:hint="eastAsia"/>
                <w:color w:val="auto"/>
                <w:lang w:val="en-US" w:eastAsia="zh-CN"/>
              </w:rPr>
              <w:t>二、工作重点</w:t>
            </w:r>
          </w:p>
          <w:p w14:paraId="29156E7E">
            <w:pPr>
              <w:ind w:firstLine="420"/>
              <w:rPr>
                <w:rFonts w:hint="eastAsia"/>
                <w:color w:val="auto"/>
                <w:lang w:val="en-US" w:eastAsia="zh-CN"/>
              </w:rPr>
            </w:pPr>
            <w:r>
              <w:rPr>
                <w:rFonts w:hint="eastAsia"/>
                <w:color w:val="auto"/>
                <w:lang w:val="en-US" w:eastAsia="zh-CN"/>
              </w:rPr>
              <w:t>（一）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6个行业。（二）重点区域。依据各地重金属污染物排放状况、环境质量改善和环境风险防控需求，划定我省重金属污染防控重点区域32个（附件1）。（三）重点污染物。重点防控的重金属污染物是铅、汞、镉、铬、砷、铊和锑，对铅、汞、镉、铬和砷五种重点重金属污染物排放实施总量控制。</w:t>
            </w:r>
          </w:p>
          <w:p w14:paraId="530CD3F5">
            <w:pPr>
              <w:ind w:firstLine="420"/>
              <w:rPr>
                <w:rFonts w:hint="default" w:eastAsia="宋体"/>
                <w:color w:val="auto"/>
                <w:lang w:val="en-US" w:eastAsia="zh-CN"/>
              </w:rPr>
            </w:pPr>
            <w:r>
              <w:rPr>
                <w:rFonts w:hint="eastAsia"/>
                <w:color w:val="auto"/>
                <w:lang w:val="en-US" w:eastAsia="zh-CN"/>
              </w:rPr>
              <w:t>本项目属于C2921塑料薄膜制造，不属于重点行业，不排放重金属，不新增铅、汞、镉、铬和砷的排放总量，符合文件要求。</w:t>
            </w:r>
          </w:p>
        </w:tc>
      </w:tr>
    </w:tbl>
    <w:p w14:paraId="3D00465C">
      <w:pPr>
        <w:ind w:firstLine="420"/>
        <w:rPr>
          <w:color w:val="auto"/>
        </w:rPr>
        <w:sectPr>
          <w:footerReference r:id="rId11" w:type="default"/>
          <w:pgSz w:w="11906" w:h="16838"/>
          <w:pgMar w:top="1418" w:right="1418" w:bottom="1418" w:left="1418" w:header="851" w:footer="850" w:gutter="284"/>
          <w:pgBorders>
            <w:top w:val="none" w:sz="0" w:space="0"/>
            <w:left w:val="none" w:sz="0" w:space="0"/>
            <w:bottom w:val="none" w:sz="0" w:space="0"/>
            <w:right w:val="none" w:sz="0" w:space="0"/>
          </w:pgBorders>
          <w:pgNumType w:start="1"/>
          <w:cols w:space="720" w:num="1"/>
          <w:docGrid w:linePitch="312" w:charSpace="0"/>
        </w:sectPr>
      </w:pPr>
    </w:p>
    <w:p w14:paraId="5B528413">
      <w:pPr>
        <w:pStyle w:val="3"/>
        <w:ind w:firstLine="602"/>
        <w:rPr>
          <w:color w:val="auto"/>
        </w:rPr>
      </w:pPr>
      <w:r>
        <w:rPr>
          <w:color w:val="auto"/>
        </w:rPr>
        <w:t>二、建设项目工程分析</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3"/>
        <w:gridCol w:w="8589"/>
      </w:tblGrid>
      <w:tr w14:paraId="63058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4" w:hRule="atLeast"/>
          <w:jc w:val="center"/>
        </w:trPr>
        <w:tc>
          <w:tcPr>
            <w:tcW w:w="254" w:type="pct"/>
            <w:vAlign w:val="center"/>
          </w:tcPr>
          <w:p w14:paraId="07A1AF83">
            <w:pPr>
              <w:pStyle w:val="75"/>
              <w:rPr>
                <w:color w:val="auto"/>
              </w:rPr>
            </w:pPr>
            <w:r>
              <w:rPr>
                <w:color w:val="auto"/>
              </w:rPr>
              <w:t>建设内容</w:t>
            </w:r>
          </w:p>
        </w:tc>
        <w:tc>
          <w:tcPr>
            <w:tcW w:w="4745" w:type="pct"/>
          </w:tcPr>
          <w:p w14:paraId="60D6E990">
            <w:pPr>
              <w:ind w:firstLine="422"/>
              <w:rPr>
                <w:b/>
                <w:color w:val="auto"/>
              </w:rPr>
            </w:pPr>
            <w:r>
              <w:rPr>
                <w:b/>
                <w:color w:val="auto"/>
              </w:rPr>
              <w:t>1、项目由来</w:t>
            </w:r>
          </w:p>
          <w:p w14:paraId="01750084">
            <w:pPr>
              <w:keepNext w:val="0"/>
              <w:keepLines w:val="0"/>
              <w:pageBreakBefore w:val="0"/>
              <w:widowControl w:val="0"/>
              <w:kinsoku/>
              <w:wordWrap/>
              <w:overflowPunct/>
              <w:topLinePunct w:val="0"/>
              <w:autoSpaceDE/>
              <w:autoSpaceDN/>
              <w:bidi w:val="0"/>
              <w:adjustRightInd w:val="0"/>
              <w:snapToGrid w:val="0"/>
              <w:spacing w:line="360" w:lineRule="auto"/>
              <w:ind w:firstLine="416"/>
              <w:textAlignment w:val="auto"/>
              <w:rPr>
                <w:color w:val="auto"/>
                <w:spacing w:val="-1"/>
              </w:rPr>
            </w:pPr>
            <w:r>
              <w:rPr>
                <w:rFonts w:hint="eastAsia"/>
                <w:color w:val="auto"/>
                <w:spacing w:val="-1"/>
              </w:rPr>
              <w:t>纳琳科新材料（南通）有限公司（以下简称“纳琳科公司”）成立于2021年6月，主要从事纳米</w:t>
            </w:r>
            <w:r>
              <w:rPr>
                <w:color w:val="auto"/>
                <w:spacing w:val="-1"/>
              </w:rPr>
              <w:t>新型膜材料</w:t>
            </w:r>
            <w:r>
              <w:rPr>
                <w:rFonts w:hint="eastAsia"/>
                <w:color w:val="auto"/>
                <w:spacing w:val="-1"/>
              </w:rPr>
              <w:t>、</w:t>
            </w:r>
            <w:r>
              <w:rPr>
                <w:color w:val="auto"/>
                <w:spacing w:val="-1"/>
              </w:rPr>
              <w:t>塑料制品制造</w:t>
            </w:r>
            <w:r>
              <w:rPr>
                <w:rFonts w:hint="eastAsia"/>
                <w:color w:val="auto"/>
                <w:spacing w:val="-1"/>
              </w:rPr>
              <w:t>等领域的技术开发。纳琳科公司依托纳琳威纳米科技（上海）有限公司技术，引进国际最先进的技术，研发新工艺，引进先进设备，可加工</w:t>
            </w:r>
            <w:r>
              <w:rPr>
                <w:color w:val="auto"/>
                <w:spacing w:val="-1"/>
              </w:rPr>
              <w:t>40</w:t>
            </w:r>
            <w:r>
              <w:rPr>
                <w:rFonts w:hint="eastAsia"/>
                <w:color w:val="auto"/>
                <w:spacing w:val="-1"/>
              </w:rPr>
              <w:t>纳米~</w:t>
            </w:r>
            <w:r>
              <w:rPr>
                <w:color w:val="auto"/>
                <w:spacing w:val="-1"/>
              </w:rPr>
              <w:t>100</w:t>
            </w:r>
            <w:r>
              <w:rPr>
                <w:rFonts w:hint="eastAsia"/>
                <w:color w:val="auto"/>
                <w:spacing w:val="-1"/>
              </w:rPr>
              <w:t>纳米的各种金属氧化物、耐火材料高粘产品等，生产出新型纳米功能性薄膜，在同行业生产加工中处于领先地位。</w:t>
            </w:r>
          </w:p>
          <w:p w14:paraId="0CC414F2">
            <w:pPr>
              <w:keepNext w:val="0"/>
              <w:keepLines w:val="0"/>
              <w:pageBreakBefore w:val="0"/>
              <w:widowControl w:val="0"/>
              <w:kinsoku/>
              <w:wordWrap/>
              <w:overflowPunct/>
              <w:topLinePunct w:val="0"/>
              <w:autoSpaceDE/>
              <w:autoSpaceDN/>
              <w:bidi w:val="0"/>
              <w:adjustRightInd w:val="0"/>
              <w:snapToGrid w:val="0"/>
              <w:spacing w:line="360" w:lineRule="auto"/>
              <w:ind w:firstLine="416"/>
              <w:textAlignment w:val="auto"/>
              <w:rPr>
                <w:rFonts w:hint="default" w:eastAsia="宋体"/>
                <w:color w:val="auto"/>
                <w:spacing w:val="-1"/>
                <w:lang w:val="en-US" w:eastAsia="zh-CN"/>
              </w:rPr>
            </w:pPr>
            <w:r>
              <w:rPr>
                <w:rFonts w:hint="eastAsia"/>
                <w:color w:val="auto"/>
                <w:spacing w:val="-1"/>
                <w:lang w:val="en-US" w:eastAsia="zh-CN"/>
              </w:rPr>
              <w:t>2023</w:t>
            </w:r>
            <w:r>
              <w:rPr>
                <w:rFonts w:hint="eastAsia"/>
                <w:color w:val="auto"/>
                <w:spacing w:val="-1"/>
              </w:rPr>
              <w:t>年，纳琳科公司投资10亿元进行年产25000吨智能高功能纳米新材料产品新建项目建设，该项目已</w:t>
            </w:r>
            <w:r>
              <w:rPr>
                <w:rFonts w:hint="eastAsia"/>
                <w:color w:val="auto"/>
                <w:spacing w:val="-1"/>
                <w:lang w:val="en-US" w:eastAsia="zh-CN"/>
              </w:rPr>
              <w:t>于2023年3月</w:t>
            </w:r>
            <w:r>
              <w:rPr>
                <w:rFonts w:hint="eastAsia"/>
                <w:color w:val="auto"/>
                <w:spacing w:val="-1"/>
              </w:rPr>
              <w:t>取得</w:t>
            </w:r>
            <w:r>
              <w:rPr>
                <w:rFonts w:hint="eastAsia"/>
                <w:color w:val="auto"/>
                <w:spacing w:val="-1"/>
                <w:lang w:val="en-US" w:eastAsia="zh-CN"/>
              </w:rPr>
              <w:t>海门经济技术开发区</w:t>
            </w:r>
            <w:r>
              <w:rPr>
                <w:rFonts w:hint="eastAsia"/>
                <w:color w:val="auto"/>
                <w:spacing w:val="-1"/>
              </w:rPr>
              <w:t>行政审批局批复（</w:t>
            </w:r>
            <w:r>
              <w:rPr>
                <w:rFonts w:hint="eastAsia"/>
                <w:color w:val="auto"/>
                <w:spacing w:val="-1"/>
                <w:lang w:val="en-US" w:eastAsia="zh-CN"/>
              </w:rPr>
              <w:t>海开审</w:t>
            </w:r>
            <w:r>
              <w:rPr>
                <w:rFonts w:hint="eastAsia"/>
                <w:color w:val="auto"/>
                <w:spacing w:val="-1"/>
              </w:rPr>
              <w:t>环</w:t>
            </w:r>
            <w:r>
              <w:rPr>
                <w:rFonts w:hint="default" w:ascii="Times New Roman" w:hAnsi="Times New Roman" w:eastAsia="宋体" w:cs="Times New Roman"/>
                <w:color w:val="auto"/>
                <w:sz w:val="18"/>
                <w:szCs w:val="18"/>
                <w:lang w:eastAsia="zh-CN"/>
              </w:rPr>
              <w:t>〔</w:t>
            </w:r>
            <w:r>
              <w:rPr>
                <w:rFonts w:hint="eastAsia"/>
                <w:color w:val="auto"/>
                <w:spacing w:val="-1"/>
              </w:rPr>
              <w:t>20</w:t>
            </w:r>
            <w:r>
              <w:rPr>
                <w:rFonts w:hint="eastAsia"/>
                <w:color w:val="auto"/>
                <w:spacing w:val="-1"/>
                <w:lang w:val="en-US" w:eastAsia="zh-CN"/>
              </w:rPr>
              <w:t>23</w:t>
            </w:r>
            <w:r>
              <w:rPr>
                <w:rFonts w:hint="default" w:ascii="Times New Roman" w:hAnsi="Times New Roman" w:eastAsia="宋体" w:cs="Times New Roman"/>
                <w:color w:val="auto"/>
                <w:sz w:val="18"/>
                <w:szCs w:val="18"/>
                <w:lang w:eastAsia="zh-CN"/>
              </w:rPr>
              <w:t>〕</w:t>
            </w:r>
            <w:r>
              <w:rPr>
                <w:rFonts w:hint="eastAsia"/>
                <w:color w:val="auto"/>
                <w:spacing w:val="-1"/>
                <w:lang w:val="en-US" w:eastAsia="zh-CN"/>
              </w:rPr>
              <w:t>05</w:t>
            </w:r>
            <w:r>
              <w:rPr>
                <w:rFonts w:hint="eastAsia"/>
                <w:color w:val="auto"/>
                <w:spacing w:val="-1"/>
              </w:rPr>
              <w:t>号），纳琳科公司</w:t>
            </w:r>
            <w:r>
              <w:rPr>
                <w:rFonts w:hint="eastAsia"/>
                <w:color w:val="auto"/>
                <w:spacing w:val="1"/>
                <w:lang w:val="en-US" w:eastAsia="zh-CN"/>
              </w:rPr>
              <w:t>于2025年11月进行了第一阶段自主验收，验收内容主要包括第一阶段</w:t>
            </w:r>
            <w:r>
              <w:rPr>
                <w:rFonts w:hint="default"/>
                <w:color w:val="auto"/>
                <w:spacing w:val="1"/>
                <w:lang w:val="en-US" w:eastAsia="zh-CN"/>
              </w:rPr>
              <w:t>1</w:t>
            </w:r>
            <w:r>
              <w:rPr>
                <w:rFonts w:hint="eastAsia"/>
                <w:color w:val="auto"/>
                <w:spacing w:val="1"/>
                <w:lang w:val="en-US" w:eastAsia="zh-CN"/>
              </w:rPr>
              <w:t>条</w:t>
            </w:r>
            <w:r>
              <w:rPr>
                <w:rFonts w:hint="default"/>
                <w:color w:val="auto"/>
                <w:spacing w:val="1"/>
                <w:lang w:val="en-US" w:eastAsia="zh-CN"/>
              </w:rPr>
              <w:t>PET</w:t>
            </w:r>
            <w:r>
              <w:rPr>
                <w:rFonts w:hint="eastAsia"/>
                <w:color w:val="auto"/>
                <w:spacing w:val="1"/>
                <w:lang w:val="en-US" w:eastAsia="zh-CN"/>
              </w:rPr>
              <w:t>生产线、</w:t>
            </w:r>
            <w:r>
              <w:rPr>
                <w:rFonts w:hint="default"/>
                <w:color w:val="auto"/>
                <w:spacing w:val="1"/>
                <w:lang w:val="en-US" w:eastAsia="zh-CN"/>
              </w:rPr>
              <w:t>4</w:t>
            </w:r>
            <w:r>
              <w:rPr>
                <w:rFonts w:hint="eastAsia"/>
                <w:color w:val="auto"/>
                <w:spacing w:val="1"/>
                <w:lang w:val="en-US" w:eastAsia="zh-CN"/>
              </w:rPr>
              <w:t>条涂布生产线</w:t>
            </w:r>
            <w:r>
              <w:rPr>
                <w:rFonts w:hint="eastAsia"/>
                <w:color w:val="auto"/>
                <w:spacing w:val="-1"/>
              </w:rPr>
              <w:t>。</w:t>
            </w:r>
          </w:p>
          <w:p w14:paraId="007DE365">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color w:val="auto"/>
              </w:rPr>
            </w:pPr>
            <w:r>
              <w:rPr>
                <w:color w:val="auto"/>
              </w:rPr>
              <w:t>为满足市场需求，</w:t>
            </w:r>
            <w:r>
              <w:rPr>
                <w:rFonts w:hint="eastAsia"/>
                <w:color w:val="auto"/>
                <w:lang w:val="en-US" w:eastAsia="zh-CN"/>
              </w:rPr>
              <w:t>增强公司市场竞争力，</w:t>
            </w:r>
            <w:r>
              <w:rPr>
                <w:color w:val="auto"/>
              </w:rPr>
              <w:t>纳琳科公司拟对现有PET膜产品进行多元化升级，利用磁控溅射技术，将现有PET膜</w:t>
            </w:r>
            <w:r>
              <w:rPr>
                <w:rFonts w:hint="eastAsia"/>
                <w:color w:val="auto"/>
                <w:lang w:val="en-US" w:eastAsia="zh-CN"/>
              </w:rPr>
              <w:t>产品的一部分</w:t>
            </w:r>
            <w:r>
              <w:rPr>
                <w:color w:val="auto"/>
              </w:rPr>
              <w:t>（约</w:t>
            </w:r>
            <w:r>
              <w:rPr>
                <w:rFonts w:hint="eastAsia"/>
                <w:color w:val="auto"/>
                <w:lang w:val="en-US" w:eastAsia="zh-CN"/>
              </w:rPr>
              <w:t>190.27</w:t>
            </w:r>
            <w:r>
              <w:rPr>
                <w:color w:val="auto"/>
              </w:rPr>
              <w:t>吨/年）改造为特种纳米新材料薄膜。该薄膜可有效反射红外线与紫外线，在提升隔热性能的同时延长产品使用寿命，显著提高产品附加值，可广泛应用于建筑及汽车等领域。本次</w:t>
            </w:r>
            <w:r>
              <w:rPr>
                <w:rFonts w:hint="eastAsia"/>
                <w:color w:val="auto"/>
                <w:lang w:val="en-US" w:eastAsia="zh-CN"/>
              </w:rPr>
              <w:t>改建</w:t>
            </w:r>
            <w:r>
              <w:rPr>
                <w:color w:val="auto"/>
              </w:rPr>
              <w:t>拟投资4500万元，在现有</w:t>
            </w:r>
            <w:r>
              <w:rPr>
                <w:rFonts w:hint="eastAsia"/>
                <w:color w:val="auto"/>
                <w:lang w:val="en-US" w:eastAsia="zh-CN"/>
              </w:rPr>
              <w:t>2#仓库空置处</w:t>
            </w:r>
            <w:r>
              <w:rPr>
                <w:color w:val="auto"/>
              </w:rPr>
              <w:t>新增1条磁控溅射生产线，项目建成后可形成年产特种纳米新材料薄膜200吨的生产能力。</w:t>
            </w:r>
          </w:p>
          <w:p w14:paraId="73A64FFC">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color w:val="auto"/>
              </w:rPr>
            </w:pPr>
            <w:r>
              <w:rPr>
                <w:color w:val="auto"/>
              </w:rPr>
              <w:t>根据《中华人民共和国环境保护法》、《中华人民共和国环境影响评价法》和《建设项目环境影响评价分类管理名录》（2021年版），该项目属于</w:t>
            </w:r>
            <w:r>
              <w:rPr>
                <w:rFonts w:hint="eastAsia"/>
                <w:color w:val="auto"/>
              </w:rPr>
              <w:t>“</w:t>
            </w:r>
            <w:r>
              <w:rPr>
                <w:rFonts w:hint="eastAsia"/>
                <w:color w:val="auto"/>
                <w:lang w:val="en-US" w:eastAsia="zh-CN"/>
              </w:rPr>
              <w:t>二</w:t>
            </w:r>
            <w:r>
              <w:rPr>
                <w:rFonts w:hint="eastAsia"/>
                <w:color w:val="auto"/>
              </w:rPr>
              <w:t>十六--</w:t>
            </w:r>
            <w:r>
              <w:rPr>
                <w:rFonts w:hint="eastAsia"/>
                <w:color w:val="auto"/>
                <w:lang w:val="en-US" w:eastAsia="zh-CN"/>
              </w:rPr>
              <w:t>橡胶和塑料制品业</w:t>
            </w:r>
            <w:r>
              <w:rPr>
                <w:rFonts w:hint="eastAsia"/>
                <w:color w:val="auto"/>
              </w:rPr>
              <w:t xml:space="preserve"> </w:t>
            </w:r>
            <w:r>
              <w:rPr>
                <w:rFonts w:hint="eastAsia"/>
                <w:color w:val="auto"/>
                <w:lang w:val="en-US" w:eastAsia="zh-CN"/>
              </w:rPr>
              <w:t>29、53</w:t>
            </w:r>
            <w:r>
              <w:rPr>
                <w:rFonts w:hint="eastAsia"/>
                <w:color w:val="auto"/>
              </w:rPr>
              <w:t>--</w:t>
            </w:r>
            <w:r>
              <w:rPr>
                <w:rFonts w:hint="eastAsia"/>
                <w:color w:val="auto"/>
                <w:lang w:val="en-US" w:eastAsia="zh-CN"/>
              </w:rPr>
              <w:t>塑料制品业292</w:t>
            </w:r>
            <w:r>
              <w:rPr>
                <w:rFonts w:hint="eastAsia"/>
                <w:color w:val="auto"/>
              </w:rPr>
              <w:t>--</w:t>
            </w:r>
            <w:r>
              <w:rPr>
                <w:rFonts w:hint="eastAsia"/>
                <w:color w:val="auto"/>
                <w:lang w:val="en-US" w:eastAsia="zh-CN"/>
              </w:rPr>
              <w:t>其他（年用非溶剂型低VOCs含量涂料10吨以下的除外）</w:t>
            </w:r>
            <w:r>
              <w:rPr>
                <w:rFonts w:hint="eastAsia"/>
                <w:color w:val="auto"/>
              </w:rPr>
              <w:t>”</w:t>
            </w:r>
            <w:r>
              <w:rPr>
                <w:color w:val="auto"/>
              </w:rPr>
              <w:t>类别，按规定需要编制环境影响报告表。</w:t>
            </w:r>
          </w:p>
          <w:p w14:paraId="4E576EF5">
            <w:pPr>
              <w:keepNext w:val="0"/>
              <w:keepLines w:val="0"/>
              <w:pageBreakBefore w:val="0"/>
              <w:widowControl w:val="0"/>
              <w:kinsoku/>
              <w:wordWrap/>
              <w:overflowPunct/>
              <w:topLinePunct w:val="0"/>
              <w:autoSpaceDE/>
              <w:autoSpaceDN/>
              <w:bidi w:val="0"/>
              <w:adjustRightInd w:val="0"/>
              <w:snapToGrid w:val="0"/>
              <w:spacing w:line="360" w:lineRule="auto"/>
              <w:ind w:firstLine="422"/>
              <w:textAlignment w:val="auto"/>
              <w:rPr>
                <w:b/>
                <w:color w:val="auto"/>
              </w:rPr>
            </w:pPr>
            <w:r>
              <w:rPr>
                <w:b/>
                <w:color w:val="auto"/>
              </w:rPr>
              <w:t>2、主要产品及产能情况</w:t>
            </w:r>
          </w:p>
          <w:p w14:paraId="0B4882F3">
            <w:pPr>
              <w:keepNext w:val="0"/>
              <w:keepLines w:val="0"/>
              <w:pageBreakBefore w:val="0"/>
              <w:widowControl w:val="0"/>
              <w:kinsoku/>
              <w:wordWrap/>
              <w:overflowPunct/>
              <w:topLinePunct w:val="0"/>
              <w:autoSpaceDE/>
              <w:autoSpaceDN/>
              <w:bidi w:val="0"/>
              <w:adjustRightInd w:val="0"/>
              <w:snapToGrid w:val="0"/>
              <w:spacing w:line="360" w:lineRule="auto"/>
              <w:ind w:firstLine="412"/>
              <w:jc w:val="left"/>
              <w:textAlignment w:val="auto"/>
              <w:rPr>
                <w:color w:val="auto"/>
              </w:rPr>
            </w:pPr>
            <w:bookmarkStart w:id="3" w:name="_Hlk150963074"/>
            <w:r>
              <w:rPr>
                <w:color w:val="auto"/>
                <w:spacing w:val="-2"/>
              </w:rPr>
              <w:t>建设项目产品方案见表</w:t>
            </w:r>
            <w:r>
              <w:rPr>
                <w:color w:val="auto"/>
                <w:spacing w:val="-46"/>
              </w:rPr>
              <w:t xml:space="preserve"> </w:t>
            </w:r>
            <w:r>
              <w:rPr>
                <w:rFonts w:eastAsia="Times New Roman" w:cs="Times New Roman"/>
                <w:color w:val="auto"/>
                <w:spacing w:val="-2"/>
              </w:rPr>
              <w:t>2-1</w:t>
            </w:r>
            <w:r>
              <w:rPr>
                <w:rFonts w:hint="eastAsia"/>
                <w:color w:val="auto"/>
              </w:rPr>
              <w:t>。</w:t>
            </w:r>
          </w:p>
          <w:p w14:paraId="2A2E6228">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表2-1</w:t>
            </w:r>
            <w:r>
              <w:rPr>
                <w:rFonts w:hint="eastAsia"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rPr>
              <w:t>建设项目主要产品及产能情况</w:t>
            </w:r>
          </w:p>
          <w:tbl>
            <w:tblPr>
              <w:tblStyle w:val="3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76"/>
              <w:gridCol w:w="1065"/>
              <w:gridCol w:w="1339"/>
              <w:gridCol w:w="688"/>
              <w:gridCol w:w="691"/>
              <w:gridCol w:w="1329"/>
              <w:gridCol w:w="1205"/>
              <w:gridCol w:w="745"/>
            </w:tblGrid>
            <w:tr w14:paraId="34EED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vMerge w:val="restart"/>
                  <w:shd w:val="clear" w:color="auto" w:fill="D7D7D7" w:themeFill="background1" w:themeFillShade="D8"/>
                  <w:vAlign w:val="center"/>
                </w:tcPr>
                <w:p w14:paraId="3378AE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rFonts w:hint="eastAsia"/>
                      <w:b/>
                      <w:bCs/>
                      <w:color w:val="auto"/>
                      <w:sz w:val="18"/>
                      <w:szCs w:val="18"/>
                    </w:rPr>
                    <w:t>序号</w:t>
                  </w:r>
                </w:p>
              </w:tc>
              <w:tc>
                <w:tcPr>
                  <w:tcW w:w="523" w:type="pct"/>
                  <w:vMerge w:val="restart"/>
                  <w:shd w:val="clear" w:color="auto" w:fill="D7D7D7" w:themeFill="background1" w:themeFillShade="D8"/>
                  <w:vAlign w:val="center"/>
                </w:tcPr>
                <w:p w14:paraId="1C779F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生产线名称</w:t>
                  </w:r>
                </w:p>
              </w:tc>
              <w:tc>
                <w:tcPr>
                  <w:tcW w:w="636" w:type="pct"/>
                  <w:vMerge w:val="restart"/>
                  <w:shd w:val="clear" w:color="auto" w:fill="D7D7D7" w:themeFill="background1" w:themeFillShade="D8"/>
                  <w:vAlign w:val="center"/>
                </w:tcPr>
                <w:p w14:paraId="5E99B7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rFonts w:hint="eastAsia"/>
                      <w:b/>
                      <w:bCs/>
                      <w:color w:val="auto"/>
                      <w:sz w:val="18"/>
                      <w:szCs w:val="18"/>
                    </w:rPr>
                    <w:t>产品名称</w:t>
                  </w:r>
                </w:p>
              </w:tc>
              <w:tc>
                <w:tcPr>
                  <w:tcW w:w="800" w:type="pct"/>
                  <w:vMerge w:val="restart"/>
                  <w:shd w:val="clear" w:color="auto" w:fill="D7D7D7" w:themeFill="background1" w:themeFillShade="D8"/>
                  <w:vAlign w:val="center"/>
                </w:tcPr>
                <w:p w14:paraId="47500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rFonts w:hint="eastAsia"/>
                      <w:b/>
                      <w:bCs/>
                      <w:color w:val="auto"/>
                      <w:sz w:val="18"/>
                      <w:szCs w:val="18"/>
                    </w:rPr>
                    <w:t>产品规格</w:t>
                  </w:r>
                </w:p>
              </w:tc>
              <w:tc>
                <w:tcPr>
                  <w:tcW w:w="2338" w:type="pct"/>
                  <w:gridSpan w:val="4"/>
                  <w:shd w:val="clear" w:color="auto" w:fill="D7D7D7" w:themeFill="background1" w:themeFillShade="D8"/>
                  <w:vAlign w:val="center"/>
                </w:tcPr>
                <w:p w14:paraId="49CB6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18"/>
                      <w:szCs w:val="18"/>
                      <w:lang w:val="en-US" w:eastAsia="zh-CN"/>
                    </w:rPr>
                  </w:pPr>
                  <w:r>
                    <w:rPr>
                      <w:rFonts w:hint="eastAsia"/>
                      <w:b/>
                      <w:bCs/>
                      <w:color w:val="auto"/>
                      <w:sz w:val="18"/>
                      <w:szCs w:val="18"/>
                    </w:rPr>
                    <w:t>设计能力</w:t>
                  </w:r>
                  <w:r>
                    <w:rPr>
                      <w:rFonts w:hint="eastAsia"/>
                      <w:b/>
                      <w:bCs/>
                      <w:color w:val="auto"/>
                      <w:sz w:val="18"/>
                      <w:szCs w:val="18"/>
                      <w:lang w:eastAsia="zh-CN"/>
                    </w:rPr>
                    <w:t>（</w:t>
                  </w:r>
                  <w:r>
                    <w:rPr>
                      <w:rFonts w:hint="eastAsia"/>
                      <w:b/>
                      <w:bCs/>
                      <w:color w:val="auto"/>
                      <w:sz w:val="18"/>
                      <w:szCs w:val="18"/>
                      <w:lang w:val="en-US" w:eastAsia="zh-CN"/>
                    </w:rPr>
                    <w:t>t/a）</w:t>
                  </w:r>
                </w:p>
              </w:tc>
              <w:tc>
                <w:tcPr>
                  <w:tcW w:w="445" w:type="pct"/>
                  <w:vMerge w:val="restart"/>
                  <w:shd w:val="clear" w:color="auto" w:fill="D7D7D7" w:themeFill="background1" w:themeFillShade="D8"/>
                  <w:vAlign w:val="center"/>
                </w:tcPr>
                <w:p w14:paraId="57C4A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生产时间（h）</w:t>
                  </w:r>
                </w:p>
              </w:tc>
            </w:tr>
            <w:tr w14:paraId="22433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vMerge w:val="continue"/>
                  <w:shd w:val="clear" w:color="auto" w:fill="D7D7D7" w:themeFill="background1" w:themeFillShade="D8"/>
                  <w:vAlign w:val="center"/>
                </w:tcPr>
                <w:p w14:paraId="507853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c>
                <w:tcPr>
                  <w:tcW w:w="523" w:type="pct"/>
                  <w:vMerge w:val="continue"/>
                  <w:shd w:val="clear" w:color="auto" w:fill="D7D7D7" w:themeFill="background1" w:themeFillShade="D8"/>
                  <w:vAlign w:val="center"/>
                </w:tcPr>
                <w:p w14:paraId="33226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c>
                <w:tcPr>
                  <w:tcW w:w="636" w:type="pct"/>
                  <w:vMerge w:val="continue"/>
                  <w:shd w:val="clear" w:color="auto" w:fill="D7D7D7" w:themeFill="background1" w:themeFillShade="D8"/>
                  <w:vAlign w:val="center"/>
                </w:tcPr>
                <w:p w14:paraId="3465F1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c>
                <w:tcPr>
                  <w:tcW w:w="800" w:type="pct"/>
                  <w:vMerge w:val="continue"/>
                  <w:shd w:val="clear" w:color="auto" w:fill="D7D7D7" w:themeFill="background1" w:themeFillShade="D8"/>
                  <w:vAlign w:val="center"/>
                </w:tcPr>
                <w:p w14:paraId="12F717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c>
                <w:tcPr>
                  <w:tcW w:w="411" w:type="pct"/>
                  <w:shd w:val="clear" w:color="auto" w:fill="D7D7D7" w:themeFill="background1" w:themeFillShade="D8"/>
                  <w:vAlign w:val="center"/>
                </w:tcPr>
                <w:p w14:paraId="4AD83D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z w:val="18"/>
                      <w:szCs w:val="18"/>
                      <w:lang w:val="en-US"/>
                    </w:rPr>
                  </w:pPr>
                  <w:r>
                    <w:rPr>
                      <w:rFonts w:hint="eastAsia"/>
                      <w:b/>
                      <w:bCs/>
                      <w:color w:val="auto"/>
                      <w:sz w:val="18"/>
                      <w:szCs w:val="18"/>
                      <w:lang w:val="en-US" w:eastAsia="zh-CN"/>
                    </w:rPr>
                    <w:t>已批已验</w:t>
                  </w:r>
                </w:p>
              </w:tc>
              <w:tc>
                <w:tcPr>
                  <w:tcW w:w="413" w:type="pct"/>
                  <w:shd w:val="clear" w:color="auto" w:fill="D7D7D7" w:themeFill="background1" w:themeFillShade="D8"/>
                  <w:vAlign w:val="center"/>
                </w:tcPr>
                <w:p w14:paraId="0BBFB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18"/>
                      <w:szCs w:val="18"/>
                      <w:lang w:val="en-US" w:eastAsia="zh-CN"/>
                    </w:rPr>
                  </w:pPr>
                  <w:r>
                    <w:rPr>
                      <w:rFonts w:hint="eastAsia"/>
                      <w:b/>
                      <w:bCs/>
                      <w:color w:val="auto"/>
                      <w:sz w:val="18"/>
                      <w:szCs w:val="18"/>
                      <w:lang w:val="en-US" w:eastAsia="zh-CN"/>
                    </w:rPr>
                    <w:t>已批未验</w:t>
                  </w:r>
                </w:p>
              </w:tc>
              <w:tc>
                <w:tcPr>
                  <w:tcW w:w="794" w:type="pct"/>
                  <w:shd w:val="clear" w:color="auto" w:fill="D7D7D7" w:themeFill="background1" w:themeFillShade="D8"/>
                  <w:vAlign w:val="center"/>
                </w:tcPr>
                <w:p w14:paraId="64C4FB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rFonts w:hint="eastAsia"/>
                      <w:b/>
                      <w:bCs/>
                      <w:color w:val="auto"/>
                      <w:sz w:val="18"/>
                      <w:szCs w:val="18"/>
                    </w:rPr>
                    <w:t>变化量</w:t>
                  </w:r>
                </w:p>
              </w:tc>
              <w:tc>
                <w:tcPr>
                  <w:tcW w:w="720" w:type="pct"/>
                  <w:shd w:val="clear" w:color="auto" w:fill="D7D7D7" w:themeFill="background1" w:themeFillShade="D8"/>
                  <w:vAlign w:val="center"/>
                </w:tcPr>
                <w:p w14:paraId="170D67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改建</w:t>
                  </w:r>
                  <w:r>
                    <w:rPr>
                      <w:rFonts w:hint="eastAsia"/>
                      <w:b/>
                      <w:bCs/>
                      <w:color w:val="auto"/>
                      <w:sz w:val="18"/>
                      <w:szCs w:val="18"/>
                    </w:rPr>
                    <w:t>后</w:t>
                  </w:r>
                  <w:r>
                    <w:rPr>
                      <w:rFonts w:hint="eastAsia"/>
                      <w:b/>
                      <w:bCs/>
                      <w:color w:val="auto"/>
                      <w:sz w:val="18"/>
                      <w:szCs w:val="18"/>
                      <w:lang w:val="en-US" w:eastAsia="zh-CN"/>
                    </w:rPr>
                    <w:t>全厂</w:t>
                  </w:r>
                </w:p>
              </w:tc>
              <w:tc>
                <w:tcPr>
                  <w:tcW w:w="445" w:type="pct"/>
                  <w:vMerge w:val="continue"/>
                  <w:shd w:val="clear" w:color="auto" w:fill="D7D7D7" w:themeFill="background1" w:themeFillShade="D8"/>
                  <w:vAlign w:val="center"/>
                </w:tcPr>
                <w:p w14:paraId="784FA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p>
              </w:tc>
            </w:tr>
            <w:tr w14:paraId="787E7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shd w:val="clear" w:color="auto" w:fill="auto"/>
                  <w:vAlign w:val="center"/>
                </w:tcPr>
                <w:p w14:paraId="625F82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18"/>
                      <w:szCs w:val="18"/>
                      <w:lang w:val="en-US" w:eastAsia="zh-CN"/>
                    </w:rPr>
                  </w:pPr>
                  <w:r>
                    <w:rPr>
                      <w:rFonts w:hint="eastAsia"/>
                      <w:color w:val="auto"/>
                      <w:sz w:val="18"/>
                      <w:szCs w:val="18"/>
                      <w:lang w:val="en-US" w:eastAsia="zh-CN"/>
                    </w:rPr>
                    <w:t>1</w:t>
                  </w:r>
                </w:p>
              </w:tc>
              <w:tc>
                <w:tcPr>
                  <w:tcW w:w="523" w:type="pct"/>
                  <w:shd w:val="clear" w:color="auto" w:fill="auto"/>
                  <w:vAlign w:val="center"/>
                </w:tcPr>
                <w:p w14:paraId="3780FF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olor w:val="auto"/>
                      <w:sz w:val="18"/>
                      <w:szCs w:val="18"/>
                    </w:rPr>
                  </w:pPr>
                  <w:r>
                    <w:rPr>
                      <w:rFonts w:hint="eastAsia"/>
                      <w:color w:val="auto"/>
                      <w:spacing w:val="-1"/>
                      <w:sz w:val="18"/>
                      <w:szCs w:val="18"/>
                      <w:lang w:val="en-US" w:eastAsia="zh-CN"/>
                    </w:rPr>
                    <w:t>磁控溅射生产线</w:t>
                  </w:r>
                </w:p>
              </w:tc>
              <w:tc>
                <w:tcPr>
                  <w:tcW w:w="636" w:type="pct"/>
                  <w:shd w:val="clear" w:color="auto" w:fill="auto"/>
                  <w:vAlign w:val="center"/>
                </w:tcPr>
                <w:p w14:paraId="450007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olor w:val="auto"/>
                      <w:sz w:val="18"/>
                      <w:szCs w:val="18"/>
                    </w:rPr>
                  </w:pPr>
                  <w:r>
                    <w:rPr>
                      <w:rFonts w:hint="eastAsia" w:ascii="Times New Roman" w:hAnsi="Times New Roman"/>
                      <w:color w:val="auto"/>
                      <w:sz w:val="18"/>
                      <w:szCs w:val="18"/>
                      <w:lang w:val="en-US" w:eastAsia="zh-CN"/>
                    </w:rPr>
                    <w:t>特种纳米新材料薄膜</w:t>
                  </w:r>
                </w:p>
              </w:tc>
              <w:tc>
                <w:tcPr>
                  <w:tcW w:w="800" w:type="pct"/>
                  <w:shd w:val="clear" w:color="auto" w:fill="auto"/>
                  <w:vAlign w:val="center"/>
                </w:tcPr>
                <w:p w14:paraId="26857E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18"/>
                      <w:szCs w:val="18"/>
                    </w:rPr>
                  </w:pPr>
                  <w:r>
                    <w:rPr>
                      <w:rFonts w:hint="eastAsia" w:ascii="Times New Roman" w:hAnsi="Times New Roman"/>
                      <w:color w:val="auto"/>
                      <w:sz w:val="18"/>
                      <w:szCs w:val="18"/>
                      <w:lang w:val="en-US" w:eastAsia="zh-CN"/>
                    </w:rPr>
                    <w:t>宽幅</w:t>
                  </w:r>
                  <w:r>
                    <w:rPr>
                      <w:rFonts w:hint="eastAsia"/>
                      <w:color w:val="auto"/>
                      <w:sz w:val="18"/>
                      <w:szCs w:val="18"/>
                      <w:lang w:val="en-US" w:eastAsia="zh-CN"/>
                    </w:rPr>
                    <w:t>1.55</w:t>
                  </w:r>
                  <w:r>
                    <w:rPr>
                      <w:rFonts w:hint="eastAsia" w:ascii="Times New Roman" w:hAnsi="Times New Roman"/>
                      <w:color w:val="auto"/>
                      <w:sz w:val="18"/>
                      <w:szCs w:val="18"/>
                      <w:lang w:val="en-US" w:eastAsia="zh-CN"/>
                    </w:rPr>
                    <w:t>m</w:t>
                  </w:r>
                </w:p>
              </w:tc>
              <w:tc>
                <w:tcPr>
                  <w:tcW w:w="411" w:type="pct"/>
                  <w:shd w:val="clear" w:color="auto" w:fill="auto"/>
                  <w:vAlign w:val="center"/>
                </w:tcPr>
                <w:p w14:paraId="3BA71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olor w:val="auto"/>
                      <w:sz w:val="18"/>
                      <w:szCs w:val="18"/>
                    </w:rPr>
                  </w:pPr>
                  <w:r>
                    <w:rPr>
                      <w:rFonts w:hint="eastAsia" w:ascii="Times New Roman" w:hAnsi="Times New Roman"/>
                      <w:color w:val="auto"/>
                      <w:sz w:val="18"/>
                      <w:szCs w:val="18"/>
                      <w:lang w:val="en-US" w:eastAsia="zh-CN"/>
                    </w:rPr>
                    <w:t>0</w:t>
                  </w:r>
                </w:p>
              </w:tc>
              <w:tc>
                <w:tcPr>
                  <w:tcW w:w="413" w:type="pct"/>
                  <w:shd w:val="clear" w:color="auto" w:fill="auto"/>
                  <w:vAlign w:val="center"/>
                </w:tcPr>
                <w:p w14:paraId="5DA5EE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18"/>
                      <w:szCs w:val="18"/>
                      <w:lang w:val="en-US" w:eastAsia="zh-CN"/>
                    </w:rPr>
                  </w:pPr>
                  <w:r>
                    <w:rPr>
                      <w:rFonts w:hint="eastAsia"/>
                      <w:color w:val="auto"/>
                      <w:sz w:val="18"/>
                      <w:szCs w:val="18"/>
                      <w:lang w:val="en-US" w:eastAsia="zh-CN"/>
                    </w:rPr>
                    <w:t>0</w:t>
                  </w:r>
                </w:p>
              </w:tc>
              <w:tc>
                <w:tcPr>
                  <w:tcW w:w="794" w:type="pct"/>
                  <w:vAlign w:val="center"/>
                </w:tcPr>
                <w:p w14:paraId="7B6C90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18"/>
                      <w:szCs w:val="18"/>
                      <w:lang w:val="en-US" w:eastAsia="zh-CN"/>
                    </w:rPr>
                  </w:pPr>
                  <w:r>
                    <w:rPr>
                      <w:rFonts w:hint="eastAsia" w:ascii="Times New Roman" w:hAnsi="Times New Roman"/>
                      <w:color w:val="auto"/>
                      <w:sz w:val="18"/>
                      <w:szCs w:val="18"/>
                      <w:lang w:val="en-US" w:eastAsia="zh-CN"/>
                    </w:rPr>
                    <w:t>200</w:t>
                  </w:r>
                </w:p>
              </w:tc>
              <w:tc>
                <w:tcPr>
                  <w:tcW w:w="720" w:type="pct"/>
                  <w:vAlign w:val="center"/>
                </w:tcPr>
                <w:p w14:paraId="53844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olor w:val="auto"/>
                      <w:sz w:val="18"/>
                      <w:szCs w:val="18"/>
                    </w:rPr>
                  </w:pPr>
                  <w:r>
                    <w:rPr>
                      <w:rFonts w:hint="eastAsia" w:ascii="Times New Roman" w:hAnsi="Times New Roman"/>
                      <w:color w:val="auto"/>
                      <w:sz w:val="18"/>
                      <w:szCs w:val="18"/>
                      <w:lang w:val="en-US" w:eastAsia="zh-CN"/>
                    </w:rPr>
                    <w:t>200</w:t>
                  </w:r>
                </w:p>
              </w:tc>
              <w:tc>
                <w:tcPr>
                  <w:tcW w:w="445" w:type="pct"/>
                  <w:shd w:val="clear" w:color="auto" w:fill="auto"/>
                  <w:vAlign w:val="center"/>
                </w:tcPr>
                <w:p w14:paraId="6F93E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7200</w:t>
                  </w:r>
                </w:p>
              </w:tc>
            </w:tr>
            <w:tr w14:paraId="1DB37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shd w:val="clear" w:color="auto" w:fill="auto"/>
                  <w:vAlign w:val="center"/>
                </w:tcPr>
                <w:p w14:paraId="08163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val="en-US" w:eastAsia="zh-CN"/>
                    </w:rPr>
                    <w:t>2</w:t>
                  </w:r>
                </w:p>
              </w:tc>
              <w:tc>
                <w:tcPr>
                  <w:tcW w:w="523" w:type="pct"/>
                  <w:shd w:val="clear" w:color="auto" w:fill="auto"/>
                  <w:vAlign w:val="center"/>
                </w:tcPr>
                <w:p w14:paraId="57BCA7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hint="eastAsia" w:ascii="Times New Roman" w:hAnsi="Times New Roman"/>
                      <w:color w:val="auto"/>
                      <w:sz w:val="18"/>
                      <w:szCs w:val="18"/>
                    </w:rPr>
                    <w:t>PET生产线</w:t>
                  </w:r>
                </w:p>
              </w:tc>
              <w:tc>
                <w:tcPr>
                  <w:tcW w:w="636" w:type="pct"/>
                  <w:shd w:val="clear" w:color="auto" w:fill="auto"/>
                  <w:vAlign w:val="center"/>
                </w:tcPr>
                <w:p w14:paraId="77CADB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hint="eastAsia" w:ascii="Times New Roman" w:hAnsi="Times New Roman"/>
                      <w:color w:val="auto"/>
                      <w:sz w:val="18"/>
                      <w:szCs w:val="18"/>
                    </w:rPr>
                    <w:t>PET</w:t>
                  </w:r>
                  <w:r>
                    <w:rPr>
                      <w:rFonts w:ascii="Times New Roman" w:hAnsi="Times New Roman"/>
                      <w:color w:val="auto"/>
                      <w:sz w:val="18"/>
                      <w:szCs w:val="18"/>
                    </w:rPr>
                    <w:t>膜</w:t>
                  </w:r>
                </w:p>
              </w:tc>
              <w:tc>
                <w:tcPr>
                  <w:tcW w:w="800" w:type="pct"/>
                  <w:shd w:val="clear" w:color="auto" w:fill="auto"/>
                  <w:vAlign w:val="center"/>
                </w:tcPr>
                <w:p w14:paraId="0D0EE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ascii="Times New Roman" w:hAnsi="Times New Roman"/>
                      <w:color w:val="auto"/>
                      <w:sz w:val="18"/>
                      <w:szCs w:val="18"/>
                    </w:rPr>
                    <w:t>宽幅1.5</w:t>
                  </w:r>
                  <w:r>
                    <w:rPr>
                      <w:rFonts w:hint="eastAsia" w:ascii="Times New Roman" w:hAnsi="Times New Roman"/>
                      <w:color w:val="auto"/>
                      <w:sz w:val="18"/>
                      <w:szCs w:val="18"/>
                    </w:rPr>
                    <w:t>5</w:t>
                  </w:r>
                  <w:r>
                    <w:rPr>
                      <w:rFonts w:ascii="Times New Roman" w:hAnsi="Times New Roman"/>
                      <w:color w:val="auto"/>
                      <w:sz w:val="18"/>
                      <w:szCs w:val="18"/>
                    </w:rPr>
                    <w:t>m</w:t>
                  </w:r>
                </w:p>
              </w:tc>
              <w:tc>
                <w:tcPr>
                  <w:tcW w:w="411" w:type="pct"/>
                  <w:shd w:val="clear" w:color="auto" w:fill="auto"/>
                  <w:vAlign w:val="center"/>
                </w:tcPr>
                <w:p w14:paraId="7853D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6500</w:t>
                  </w:r>
                </w:p>
              </w:tc>
              <w:tc>
                <w:tcPr>
                  <w:tcW w:w="413" w:type="pct"/>
                  <w:shd w:val="clear" w:color="auto" w:fill="auto"/>
                  <w:vAlign w:val="center"/>
                </w:tcPr>
                <w:p w14:paraId="4FA18F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6500</w:t>
                  </w:r>
                </w:p>
              </w:tc>
              <w:tc>
                <w:tcPr>
                  <w:tcW w:w="794" w:type="pct"/>
                  <w:vAlign w:val="center"/>
                </w:tcPr>
                <w:p w14:paraId="429017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-190.27</w:t>
                  </w:r>
                </w:p>
              </w:tc>
              <w:tc>
                <w:tcPr>
                  <w:tcW w:w="720" w:type="pct"/>
                  <w:vAlign w:val="center"/>
                </w:tcPr>
                <w:p w14:paraId="0B713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12809.73*</w:t>
                  </w:r>
                </w:p>
              </w:tc>
              <w:tc>
                <w:tcPr>
                  <w:tcW w:w="445" w:type="pct"/>
                  <w:vMerge w:val="restart"/>
                  <w:shd w:val="clear" w:color="auto" w:fill="auto"/>
                  <w:vAlign w:val="center"/>
                </w:tcPr>
                <w:p w14:paraId="6EA3D1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hint="eastAsia"/>
                      <w:color w:val="auto"/>
                      <w:sz w:val="18"/>
                      <w:szCs w:val="18"/>
                      <w:lang w:val="en-US" w:eastAsia="zh-CN"/>
                    </w:rPr>
                    <w:t>72</w:t>
                  </w:r>
                  <w:r>
                    <w:rPr>
                      <w:rFonts w:hint="eastAsia"/>
                      <w:color w:val="auto"/>
                      <w:sz w:val="18"/>
                      <w:szCs w:val="18"/>
                    </w:rPr>
                    <w:t>00</w:t>
                  </w:r>
                </w:p>
              </w:tc>
            </w:tr>
            <w:tr w14:paraId="214F4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shd w:val="clear" w:color="auto" w:fill="auto"/>
                  <w:vAlign w:val="center"/>
                </w:tcPr>
                <w:p w14:paraId="08078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val="en-US" w:eastAsia="zh-CN"/>
                    </w:rPr>
                    <w:t>3</w:t>
                  </w:r>
                </w:p>
              </w:tc>
              <w:tc>
                <w:tcPr>
                  <w:tcW w:w="523" w:type="pct"/>
                  <w:shd w:val="clear" w:color="auto" w:fill="auto"/>
                  <w:vAlign w:val="center"/>
                </w:tcPr>
                <w:p w14:paraId="27AAC5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18"/>
                      <w:szCs w:val="18"/>
                      <w:lang w:val="en-US" w:eastAsia="zh-CN"/>
                    </w:rPr>
                  </w:pPr>
                  <w:r>
                    <w:rPr>
                      <w:rFonts w:hint="eastAsia" w:ascii="Times New Roman" w:hAnsi="Times New Roman"/>
                      <w:color w:val="auto"/>
                      <w:sz w:val="18"/>
                      <w:szCs w:val="18"/>
                      <w:lang w:val="en-US" w:eastAsia="zh-CN"/>
                    </w:rPr>
                    <w:t>纳米功能性膜生产线</w:t>
                  </w:r>
                </w:p>
              </w:tc>
              <w:tc>
                <w:tcPr>
                  <w:tcW w:w="636" w:type="pct"/>
                  <w:shd w:val="clear" w:color="auto" w:fill="auto"/>
                  <w:vAlign w:val="center"/>
                </w:tcPr>
                <w:p w14:paraId="0BCEF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hint="eastAsia" w:ascii="Times New Roman" w:hAnsi="Times New Roman"/>
                      <w:color w:val="auto"/>
                      <w:sz w:val="18"/>
                      <w:szCs w:val="18"/>
                      <w:lang w:val="en-US" w:eastAsia="zh-CN"/>
                    </w:rPr>
                    <w:t>纳米功能性膜</w:t>
                  </w:r>
                </w:p>
              </w:tc>
              <w:tc>
                <w:tcPr>
                  <w:tcW w:w="800" w:type="pct"/>
                  <w:shd w:val="clear" w:color="auto" w:fill="auto"/>
                  <w:vAlign w:val="center"/>
                </w:tcPr>
                <w:p w14:paraId="084149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ascii="Times New Roman" w:hAnsi="Times New Roman"/>
                      <w:color w:val="auto"/>
                      <w:sz w:val="18"/>
                      <w:szCs w:val="18"/>
                    </w:rPr>
                    <w:t>纳米高功能太阳膜：宽幅1.56</w:t>
                  </w:r>
                  <w:r>
                    <w:rPr>
                      <w:rFonts w:hint="eastAsia" w:ascii="Times New Roman" w:hAnsi="Times New Roman"/>
                      <w:color w:val="auto"/>
                      <w:sz w:val="18"/>
                      <w:szCs w:val="18"/>
                    </w:rPr>
                    <w:t>~2.5</w:t>
                  </w:r>
                  <w:r>
                    <w:rPr>
                      <w:rFonts w:ascii="Times New Roman" w:hAnsi="Times New Roman"/>
                      <w:color w:val="auto"/>
                      <w:sz w:val="18"/>
                      <w:szCs w:val="18"/>
                    </w:rPr>
                    <w:t>m</w:t>
                  </w:r>
                </w:p>
              </w:tc>
              <w:tc>
                <w:tcPr>
                  <w:tcW w:w="411" w:type="pct"/>
                  <w:shd w:val="clear" w:color="auto" w:fill="auto"/>
                  <w:vAlign w:val="center"/>
                </w:tcPr>
                <w:p w14:paraId="12542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18"/>
                      <w:szCs w:val="18"/>
                      <w:lang w:val="en-US" w:eastAsia="zh-CN"/>
                    </w:rPr>
                  </w:pPr>
                  <w:r>
                    <w:rPr>
                      <w:rFonts w:hint="eastAsia"/>
                      <w:color w:val="auto"/>
                      <w:sz w:val="18"/>
                      <w:szCs w:val="18"/>
                      <w:lang w:val="en-US" w:eastAsia="zh-CN"/>
                    </w:rPr>
                    <w:t>10000</w:t>
                  </w:r>
                </w:p>
              </w:tc>
              <w:tc>
                <w:tcPr>
                  <w:tcW w:w="412" w:type="pct"/>
                  <w:shd w:val="clear" w:color="auto" w:fill="auto"/>
                  <w:vAlign w:val="center"/>
                </w:tcPr>
                <w:p w14:paraId="26185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2000</w:t>
                  </w:r>
                </w:p>
              </w:tc>
              <w:tc>
                <w:tcPr>
                  <w:tcW w:w="794" w:type="pct"/>
                  <w:vAlign w:val="center"/>
                </w:tcPr>
                <w:p w14:paraId="588EBF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18"/>
                      <w:szCs w:val="18"/>
                      <w:lang w:eastAsia="zh-CN"/>
                    </w:rPr>
                  </w:pPr>
                  <w:r>
                    <w:rPr>
                      <w:rFonts w:hint="eastAsia"/>
                      <w:color w:val="auto"/>
                      <w:sz w:val="18"/>
                      <w:szCs w:val="18"/>
                      <w:lang w:val="en-US" w:eastAsia="zh-CN"/>
                    </w:rPr>
                    <w:t>0</w:t>
                  </w:r>
                </w:p>
              </w:tc>
              <w:tc>
                <w:tcPr>
                  <w:tcW w:w="720" w:type="pct"/>
                  <w:vAlign w:val="center"/>
                </w:tcPr>
                <w:p w14:paraId="7982F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hint="eastAsia"/>
                      <w:color w:val="auto"/>
                      <w:sz w:val="18"/>
                      <w:szCs w:val="18"/>
                      <w:lang w:val="en-US" w:eastAsia="zh-CN"/>
                    </w:rPr>
                    <w:t>12</w:t>
                  </w:r>
                  <w:r>
                    <w:rPr>
                      <w:rFonts w:hint="eastAsia" w:ascii="Times New Roman" w:hAnsi="Times New Roman"/>
                      <w:color w:val="auto"/>
                      <w:sz w:val="18"/>
                      <w:szCs w:val="18"/>
                    </w:rPr>
                    <w:t>000</w:t>
                  </w:r>
                </w:p>
              </w:tc>
              <w:tc>
                <w:tcPr>
                  <w:tcW w:w="445" w:type="pct"/>
                  <w:vMerge w:val="continue"/>
                  <w:shd w:val="clear" w:color="auto" w:fill="auto"/>
                  <w:vAlign w:val="center"/>
                </w:tcPr>
                <w:p w14:paraId="30900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r>
            <w:bookmarkEnd w:id="3"/>
          </w:tbl>
          <w:p w14:paraId="318D2100">
            <w:pPr>
              <w:ind w:left="0" w:leftChars="0" w:firstLine="0" w:firstLineChars="0"/>
              <w:rPr>
                <w:rFonts w:hint="default" w:eastAsia="宋体"/>
                <w:b/>
                <w:bCs w:val="0"/>
                <w:color w:val="auto"/>
                <w:sz w:val="18"/>
                <w:szCs w:val="18"/>
                <w:lang w:val="en-US" w:eastAsia="zh-CN"/>
              </w:rPr>
            </w:pPr>
            <w:r>
              <w:rPr>
                <w:rFonts w:hint="eastAsia"/>
                <w:b/>
                <w:bCs w:val="0"/>
                <w:color w:val="auto"/>
                <w:sz w:val="18"/>
                <w:szCs w:val="18"/>
                <w:lang w:val="en-US" w:eastAsia="zh-CN"/>
              </w:rPr>
              <w:t>注：PET生产线产能不变，产品中</w:t>
            </w:r>
            <w:r>
              <w:rPr>
                <w:rFonts w:hint="eastAsia" w:ascii="Times New Roman" w:hAnsi="Times New Roman"/>
                <w:b/>
                <w:bCs w:val="0"/>
                <w:color w:val="auto"/>
                <w:sz w:val="18"/>
                <w:szCs w:val="18"/>
                <w:lang w:val="en-US" w:eastAsia="zh-CN"/>
              </w:rPr>
              <w:t>约</w:t>
            </w:r>
            <w:r>
              <w:rPr>
                <w:rFonts w:hint="eastAsia"/>
                <w:b/>
                <w:bCs w:val="0"/>
                <w:color w:val="auto"/>
                <w:sz w:val="18"/>
                <w:szCs w:val="18"/>
                <w:lang w:val="en-US" w:eastAsia="zh-CN"/>
              </w:rPr>
              <w:t>190.27</w:t>
            </w:r>
            <w:r>
              <w:rPr>
                <w:rFonts w:hint="eastAsia" w:ascii="Times New Roman" w:hAnsi="Times New Roman"/>
                <w:b/>
                <w:bCs w:val="0"/>
                <w:color w:val="auto"/>
                <w:sz w:val="18"/>
                <w:szCs w:val="18"/>
                <w:lang w:val="en-US" w:eastAsia="zh-CN"/>
              </w:rPr>
              <w:t>t</w:t>
            </w:r>
            <w:r>
              <w:rPr>
                <w:rFonts w:hint="eastAsia"/>
                <w:b/>
                <w:bCs w:val="0"/>
                <w:color w:val="auto"/>
                <w:sz w:val="18"/>
                <w:szCs w:val="18"/>
                <w:lang w:val="en-US" w:eastAsia="zh-CN"/>
              </w:rPr>
              <w:t>不再外售，</w:t>
            </w:r>
            <w:r>
              <w:rPr>
                <w:rFonts w:hint="eastAsia" w:ascii="Times New Roman" w:hAnsi="Times New Roman"/>
                <w:b/>
                <w:bCs w:val="0"/>
                <w:color w:val="auto"/>
                <w:sz w:val="18"/>
                <w:szCs w:val="18"/>
                <w:lang w:val="en-US" w:eastAsia="zh-CN"/>
              </w:rPr>
              <w:t>用作</w:t>
            </w:r>
            <w:r>
              <w:rPr>
                <w:rFonts w:hint="eastAsia"/>
                <w:b/>
                <w:bCs w:val="0"/>
                <w:color w:val="auto"/>
                <w:spacing w:val="-1"/>
                <w:sz w:val="18"/>
                <w:szCs w:val="18"/>
                <w:lang w:val="en-US" w:eastAsia="zh-CN"/>
              </w:rPr>
              <w:t>特种纳米新材料薄膜生产。现有生产线生产能力及产量不变。</w:t>
            </w:r>
          </w:p>
          <w:p w14:paraId="6526E772">
            <w:pPr>
              <w:ind w:firstLine="422"/>
              <w:rPr>
                <w:b/>
                <w:color w:val="auto"/>
              </w:rPr>
            </w:pPr>
            <w:r>
              <w:rPr>
                <w:b/>
                <w:color w:val="auto"/>
              </w:rPr>
              <w:t>3、主要生产单元、主要工艺及生产设施名称一览表</w:t>
            </w:r>
            <w:bookmarkStart w:id="4" w:name="_Hlk150846218"/>
          </w:p>
          <w:p w14:paraId="65195748">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p>
          <w:p w14:paraId="2089F2C2">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w:t>
            </w:r>
            <w:r>
              <w:rPr>
                <w:rFonts w:hint="eastAsia" w:ascii="Times New Roman" w:hAnsi="Times New Roman" w:eastAsia="宋体" w:cs="Times New Roman"/>
                <w:b/>
                <w:color w:val="auto"/>
                <w:sz w:val="21"/>
                <w:szCs w:val="21"/>
                <w:highlight w:val="none"/>
              </w:rPr>
              <w:t>2</w:t>
            </w:r>
            <w:r>
              <w:rPr>
                <w:rFonts w:hint="eastAsia" w:cs="Times New Roman"/>
                <w:b/>
                <w:color w:val="auto"/>
                <w:sz w:val="21"/>
                <w:szCs w:val="21"/>
                <w:highlight w:val="none"/>
                <w:lang w:val="en-US" w:eastAsia="zh-CN"/>
              </w:rPr>
              <w:t xml:space="preserve"> </w:t>
            </w:r>
            <w:r>
              <w:rPr>
                <w:rFonts w:hint="eastAsia"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rPr>
              <w:t>建设项目主要生产单元、主要工艺及生产设施名称一览表</w:t>
            </w:r>
          </w:p>
          <w:bookmarkEnd w:id="4"/>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1222"/>
              <w:gridCol w:w="1944"/>
              <w:gridCol w:w="1517"/>
              <w:gridCol w:w="700"/>
              <w:gridCol w:w="673"/>
              <w:gridCol w:w="685"/>
              <w:gridCol w:w="408"/>
              <w:gridCol w:w="425"/>
              <w:gridCol w:w="397"/>
            </w:tblGrid>
            <w:tr w14:paraId="27C94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vMerge w:val="restart"/>
                  <w:tcBorders>
                    <w:tl2br w:val="nil"/>
                    <w:tr2bl w:val="nil"/>
                  </w:tcBorders>
                  <w:shd w:val="clear" w:color="auto" w:fill="D7D7D7" w:themeFill="background1" w:themeFillShade="D8"/>
                  <w:noWrap w:val="0"/>
                  <w:vAlign w:val="center"/>
                </w:tcPr>
                <w:p w14:paraId="1CE261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序号</w:t>
                  </w:r>
                </w:p>
              </w:tc>
              <w:tc>
                <w:tcPr>
                  <w:tcW w:w="730" w:type="pct"/>
                  <w:vMerge w:val="restart"/>
                  <w:tcBorders>
                    <w:tl2br w:val="nil"/>
                    <w:tr2bl w:val="nil"/>
                  </w:tcBorders>
                  <w:shd w:val="clear" w:color="auto" w:fill="D7D7D7" w:themeFill="background1" w:themeFillShade="D8"/>
                  <w:noWrap w:val="0"/>
                  <w:vAlign w:val="center"/>
                </w:tcPr>
                <w:p w14:paraId="5A530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产品</w:t>
                  </w:r>
                </w:p>
              </w:tc>
              <w:tc>
                <w:tcPr>
                  <w:tcW w:w="1161" w:type="pct"/>
                  <w:vMerge w:val="restart"/>
                  <w:tcBorders>
                    <w:tl2br w:val="nil"/>
                    <w:tr2bl w:val="nil"/>
                  </w:tcBorders>
                  <w:shd w:val="clear" w:color="auto" w:fill="D7D7D7" w:themeFill="background1" w:themeFillShade="D8"/>
                  <w:noWrap w:val="0"/>
                  <w:vAlign w:val="center"/>
                </w:tcPr>
                <w:p w14:paraId="39116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906" w:type="pct"/>
                  <w:vMerge w:val="restart"/>
                  <w:tcBorders>
                    <w:tl2br w:val="nil"/>
                    <w:tr2bl w:val="nil"/>
                  </w:tcBorders>
                  <w:shd w:val="clear" w:color="auto" w:fill="D7D7D7" w:themeFill="background1" w:themeFillShade="D8"/>
                  <w:noWrap w:val="0"/>
                  <w:vAlign w:val="center"/>
                </w:tcPr>
                <w:p w14:paraId="47C67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规模/型号</w:t>
                  </w:r>
                </w:p>
              </w:tc>
              <w:tc>
                <w:tcPr>
                  <w:tcW w:w="1726" w:type="pct"/>
                  <w:gridSpan w:val="5"/>
                  <w:tcBorders>
                    <w:tl2br w:val="nil"/>
                    <w:tr2bl w:val="nil"/>
                  </w:tcBorders>
                  <w:shd w:val="clear" w:color="auto" w:fill="D7D7D7" w:themeFill="background1" w:themeFillShade="D8"/>
                  <w:noWrap w:val="0"/>
                  <w:vAlign w:val="center"/>
                </w:tcPr>
                <w:p w14:paraId="686228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数量（台/套）</w:t>
                  </w:r>
                </w:p>
              </w:tc>
              <w:tc>
                <w:tcPr>
                  <w:tcW w:w="237" w:type="pct"/>
                  <w:vMerge w:val="restart"/>
                  <w:tcBorders>
                    <w:tl2br w:val="nil"/>
                    <w:tr2bl w:val="nil"/>
                  </w:tcBorders>
                  <w:shd w:val="clear" w:color="auto" w:fill="D7D7D7" w:themeFill="background1" w:themeFillShade="D8"/>
                  <w:noWrap w:val="0"/>
                  <w:vAlign w:val="center"/>
                </w:tcPr>
                <w:p w14:paraId="296BDB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备注</w:t>
                  </w:r>
                </w:p>
              </w:tc>
            </w:tr>
            <w:tr w14:paraId="33E3C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37" w:type="pct"/>
                  <w:vMerge w:val="continue"/>
                  <w:tcBorders>
                    <w:tl2br w:val="nil"/>
                    <w:tr2bl w:val="nil"/>
                  </w:tcBorders>
                  <w:shd w:val="clear" w:color="auto" w:fill="D7D7D7" w:themeFill="background1" w:themeFillShade="D8"/>
                  <w:noWrap w:val="0"/>
                  <w:vAlign w:val="center"/>
                </w:tcPr>
                <w:p w14:paraId="1CE409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730" w:type="pct"/>
                  <w:vMerge w:val="continue"/>
                  <w:tcBorders>
                    <w:tl2br w:val="nil"/>
                    <w:tr2bl w:val="nil"/>
                  </w:tcBorders>
                  <w:shd w:val="clear" w:color="auto" w:fill="D7D7D7" w:themeFill="background1" w:themeFillShade="D8"/>
                  <w:noWrap w:val="0"/>
                  <w:vAlign w:val="center"/>
                </w:tcPr>
                <w:p w14:paraId="6F278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161" w:type="pct"/>
                  <w:vMerge w:val="continue"/>
                  <w:tcBorders>
                    <w:tl2br w:val="nil"/>
                    <w:tr2bl w:val="nil"/>
                  </w:tcBorders>
                  <w:shd w:val="clear" w:color="auto" w:fill="D7D7D7" w:themeFill="background1" w:themeFillShade="D8"/>
                  <w:noWrap w:val="0"/>
                  <w:vAlign w:val="center"/>
                </w:tcPr>
                <w:p w14:paraId="21792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906" w:type="pct"/>
                  <w:vMerge w:val="continue"/>
                  <w:tcBorders>
                    <w:tl2br w:val="nil"/>
                    <w:tr2bl w:val="nil"/>
                  </w:tcBorders>
                  <w:shd w:val="clear" w:color="auto" w:fill="D7D7D7" w:themeFill="background1" w:themeFillShade="D8"/>
                  <w:noWrap w:val="0"/>
                  <w:vAlign w:val="center"/>
                </w:tcPr>
                <w:p w14:paraId="75925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229" w:type="pct"/>
                  <w:gridSpan w:val="3"/>
                  <w:tcBorders>
                    <w:tl2br w:val="nil"/>
                    <w:tr2bl w:val="nil"/>
                  </w:tcBorders>
                  <w:shd w:val="clear" w:color="auto" w:fill="D7D7D7" w:themeFill="background1" w:themeFillShade="D8"/>
                  <w:noWrap w:val="0"/>
                  <w:vAlign w:val="center"/>
                </w:tcPr>
                <w:p w14:paraId="078DEC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color w:val="auto"/>
                      <w:sz w:val="18"/>
                      <w:szCs w:val="18"/>
                      <w:lang w:val="en-US" w:eastAsia="zh-CN"/>
                    </w:rPr>
                  </w:pPr>
                  <w:r>
                    <w:rPr>
                      <w:rFonts w:hint="eastAsia" w:cs="Times New Roman"/>
                      <w:b/>
                      <w:bCs/>
                      <w:color w:val="auto"/>
                      <w:sz w:val="18"/>
                      <w:szCs w:val="18"/>
                      <w:lang w:val="en-US" w:eastAsia="zh-CN"/>
                    </w:rPr>
                    <w:t>改建前</w:t>
                  </w:r>
                </w:p>
              </w:tc>
              <w:tc>
                <w:tcPr>
                  <w:tcW w:w="243" w:type="pct"/>
                  <w:vMerge w:val="restart"/>
                  <w:tcBorders>
                    <w:tl2br w:val="nil"/>
                    <w:tr2bl w:val="nil"/>
                  </w:tcBorders>
                  <w:shd w:val="clear" w:color="auto" w:fill="D7D7D7" w:themeFill="background1" w:themeFillShade="D8"/>
                  <w:noWrap w:val="0"/>
                  <w:vAlign w:val="center"/>
                </w:tcPr>
                <w:p w14:paraId="52EE96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变化量</w:t>
                  </w:r>
                </w:p>
              </w:tc>
              <w:tc>
                <w:tcPr>
                  <w:tcW w:w="253" w:type="pct"/>
                  <w:vMerge w:val="restart"/>
                  <w:tcBorders>
                    <w:tl2br w:val="nil"/>
                    <w:tr2bl w:val="nil"/>
                  </w:tcBorders>
                  <w:shd w:val="clear" w:color="auto" w:fill="D7D7D7" w:themeFill="background1" w:themeFillShade="D8"/>
                  <w:noWrap w:val="0"/>
                  <w:vAlign w:val="center"/>
                </w:tcPr>
                <w:p w14:paraId="6C7FF7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改建</w:t>
                  </w:r>
                  <w:r>
                    <w:rPr>
                      <w:rFonts w:hint="default" w:ascii="Times New Roman" w:hAnsi="Times New Roman" w:eastAsia="宋体" w:cs="Times New Roman"/>
                      <w:b/>
                      <w:bCs/>
                      <w:color w:val="auto"/>
                      <w:sz w:val="18"/>
                      <w:szCs w:val="18"/>
                      <w:lang w:val="en-US" w:eastAsia="zh-CN"/>
                    </w:rPr>
                    <w:t>后</w:t>
                  </w:r>
                </w:p>
              </w:tc>
              <w:tc>
                <w:tcPr>
                  <w:tcW w:w="237" w:type="pct"/>
                  <w:vMerge w:val="continue"/>
                  <w:tcBorders>
                    <w:tl2br w:val="nil"/>
                    <w:tr2bl w:val="nil"/>
                  </w:tcBorders>
                  <w:shd w:val="clear" w:color="auto" w:fill="D7D7D7" w:themeFill="background1" w:themeFillShade="D8"/>
                  <w:noWrap w:val="0"/>
                  <w:vAlign w:val="center"/>
                </w:tcPr>
                <w:p w14:paraId="2A750F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r>
            <w:tr w14:paraId="5A098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vMerge w:val="continue"/>
                  <w:tcBorders>
                    <w:tl2br w:val="nil"/>
                    <w:tr2bl w:val="nil"/>
                  </w:tcBorders>
                  <w:shd w:val="clear" w:color="auto" w:fill="D7D7D7" w:themeFill="background1" w:themeFillShade="D8"/>
                  <w:noWrap w:val="0"/>
                  <w:vAlign w:val="center"/>
                </w:tcPr>
                <w:p w14:paraId="4BA99E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730" w:type="pct"/>
                  <w:vMerge w:val="continue"/>
                  <w:tcBorders>
                    <w:tl2br w:val="nil"/>
                    <w:tr2bl w:val="nil"/>
                  </w:tcBorders>
                  <w:shd w:val="clear" w:color="auto" w:fill="D7D7D7" w:themeFill="background1" w:themeFillShade="D8"/>
                  <w:noWrap w:val="0"/>
                  <w:vAlign w:val="center"/>
                </w:tcPr>
                <w:p w14:paraId="71E5E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1161" w:type="pct"/>
                  <w:vMerge w:val="continue"/>
                  <w:tcBorders>
                    <w:tl2br w:val="nil"/>
                    <w:tr2bl w:val="nil"/>
                  </w:tcBorders>
                  <w:shd w:val="clear" w:color="auto" w:fill="D7D7D7" w:themeFill="background1" w:themeFillShade="D8"/>
                  <w:noWrap w:val="0"/>
                  <w:vAlign w:val="center"/>
                </w:tcPr>
                <w:p w14:paraId="31BEE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906" w:type="pct"/>
                  <w:vMerge w:val="continue"/>
                  <w:tcBorders>
                    <w:tl2br w:val="nil"/>
                    <w:tr2bl w:val="nil"/>
                  </w:tcBorders>
                  <w:shd w:val="clear" w:color="auto" w:fill="D7D7D7" w:themeFill="background1" w:themeFillShade="D8"/>
                  <w:noWrap w:val="0"/>
                  <w:vAlign w:val="center"/>
                </w:tcPr>
                <w:p w14:paraId="155BB0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c>
                <w:tcPr>
                  <w:tcW w:w="418" w:type="pct"/>
                  <w:tcBorders>
                    <w:tl2br w:val="nil"/>
                    <w:tr2bl w:val="nil"/>
                  </w:tcBorders>
                  <w:shd w:val="clear" w:color="auto" w:fill="D7D7D7" w:themeFill="background1" w:themeFillShade="D8"/>
                  <w:noWrap w:val="0"/>
                  <w:vAlign w:val="center"/>
                </w:tcPr>
                <w:p w14:paraId="7BD936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改建前</w:t>
                  </w:r>
                </w:p>
              </w:tc>
              <w:tc>
                <w:tcPr>
                  <w:tcW w:w="402" w:type="pct"/>
                  <w:tcBorders>
                    <w:tl2br w:val="nil"/>
                    <w:tr2bl w:val="nil"/>
                  </w:tcBorders>
                  <w:shd w:val="clear" w:color="auto" w:fill="D7D7D7" w:themeFill="background1" w:themeFillShade="D8"/>
                  <w:noWrap w:val="0"/>
                  <w:vAlign w:val="center"/>
                </w:tcPr>
                <w:p w14:paraId="1919F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其中已批已验</w:t>
                  </w:r>
                </w:p>
              </w:tc>
              <w:tc>
                <w:tcPr>
                  <w:tcW w:w="409" w:type="pct"/>
                  <w:tcBorders>
                    <w:tl2br w:val="nil"/>
                    <w:tr2bl w:val="nil"/>
                  </w:tcBorders>
                  <w:shd w:val="clear" w:color="auto" w:fill="D7D7D7" w:themeFill="background1" w:themeFillShade="D8"/>
                  <w:noWrap w:val="0"/>
                  <w:vAlign w:val="center"/>
                </w:tcPr>
                <w:p w14:paraId="5D8D4F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其中已批未验</w:t>
                  </w:r>
                </w:p>
              </w:tc>
              <w:tc>
                <w:tcPr>
                  <w:tcW w:w="243" w:type="pct"/>
                  <w:vMerge w:val="continue"/>
                  <w:tcBorders>
                    <w:tl2br w:val="nil"/>
                    <w:tr2bl w:val="nil"/>
                  </w:tcBorders>
                  <w:shd w:val="clear" w:color="auto" w:fill="D7D7D7" w:themeFill="background1" w:themeFillShade="D8"/>
                  <w:noWrap w:val="0"/>
                  <w:vAlign w:val="center"/>
                </w:tcPr>
                <w:p w14:paraId="2C679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253" w:type="pct"/>
                  <w:vMerge w:val="continue"/>
                  <w:tcBorders>
                    <w:tl2br w:val="nil"/>
                    <w:tr2bl w:val="nil"/>
                  </w:tcBorders>
                  <w:shd w:val="clear" w:color="auto" w:fill="D7D7D7" w:themeFill="background1" w:themeFillShade="D8"/>
                  <w:noWrap w:val="0"/>
                  <w:vAlign w:val="center"/>
                </w:tcPr>
                <w:p w14:paraId="14534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p>
              </w:tc>
              <w:tc>
                <w:tcPr>
                  <w:tcW w:w="237" w:type="pct"/>
                  <w:vMerge w:val="continue"/>
                  <w:tcBorders>
                    <w:tl2br w:val="nil"/>
                    <w:tr2bl w:val="nil"/>
                  </w:tcBorders>
                  <w:shd w:val="clear" w:color="auto" w:fill="D7D7D7" w:themeFill="background1" w:themeFillShade="D8"/>
                  <w:noWrap w:val="0"/>
                  <w:vAlign w:val="center"/>
                </w:tcPr>
                <w:p w14:paraId="410C7C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p>
              </w:tc>
            </w:tr>
            <w:tr w14:paraId="7037A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734DC0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730" w:type="pct"/>
                  <w:tcBorders>
                    <w:tl2br w:val="nil"/>
                    <w:tr2bl w:val="nil"/>
                  </w:tcBorders>
                  <w:noWrap w:val="0"/>
                  <w:vAlign w:val="center"/>
                </w:tcPr>
                <w:p w14:paraId="25B40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lang w:val="en-US" w:eastAsia="zh-CN"/>
                    </w:rPr>
                    <w:t>特种纳米新材料薄膜</w:t>
                  </w:r>
                </w:p>
              </w:tc>
              <w:tc>
                <w:tcPr>
                  <w:tcW w:w="1161" w:type="pct"/>
                  <w:tcBorders>
                    <w:tl2br w:val="nil"/>
                    <w:tr2bl w:val="nil"/>
                  </w:tcBorders>
                  <w:noWrap w:val="0"/>
                  <w:vAlign w:val="center"/>
                </w:tcPr>
                <w:p w14:paraId="13FFE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磁控溅射生产线</w:t>
                  </w:r>
                </w:p>
              </w:tc>
              <w:tc>
                <w:tcPr>
                  <w:tcW w:w="906" w:type="pct"/>
                  <w:tcBorders>
                    <w:tl2br w:val="nil"/>
                    <w:tr2bl w:val="nil"/>
                  </w:tcBorders>
                  <w:noWrap w:val="0"/>
                  <w:vAlign w:val="center"/>
                </w:tcPr>
                <w:p w14:paraId="1017F2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QZWL-19</w:t>
                  </w:r>
                </w:p>
                <w:p w14:paraId="097F97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00</w:t>
                  </w:r>
                </w:p>
              </w:tc>
              <w:tc>
                <w:tcPr>
                  <w:tcW w:w="418" w:type="pct"/>
                  <w:tcBorders>
                    <w:tl2br w:val="nil"/>
                    <w:tr2bl w:val="nil"/>
                  </w:tcBorders>
                  <w:noWrap w:val="0"/>
                  <w:vAlign w:val="center"/>
                </w:tcPr>
                <w:p w14:paraId="06B3C7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w:t>
                  </w:r>
                </w:p>
              </w:tc>
              <w:tc>
                <w:tcPr>
                  <w:tcW w:w="402" w:type="pct"/>
                  <w:tcBorders>
                    <w:tl2br w:val="nil"/>
                    <w:tr2bl w:val="nil"/>
                  </w:tcBorders>
                  <w:noWrap w:val="0"/>
                  <w:vAlign w:val="center"/>
                </w:tcPr>
                <w:p w14:paraId="5DDA1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w:t>
                  </w:r>
                </w:p>
              </w:tc>
              <w:tc>
                <w:tcPr>
                  <w:tcW w:w="409" w:type="pct"/>
                  <w:tcBorders>
                    <w:tl2br w:val="nil"/>
                    <w:tr2bl w:val="nil"/>
                  </w:tcBorders>
                  <w:noWrap w:val="0"/>
                  <w:vAlign w:val="center"/>
                </w:tcPr>
                <w:p w14:paraId="3009E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243" w:type="pct"/>
                  <w:tcBorders>
                    <w:tl2br w:val="nil"/>
                    <w:tr2bl w:val="nil"/>
                  </w:tcBorders>
                  <w:noWrap w:val="0"/>
                  <w:vAlign w:val="center"/>
                </w:tcPr>
                <w:p w14:paraId="2D073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1</w:t>
                  </w:r>
                </w:p>
              </w:tc>
              <w:tc>
                <w:tcPr>
                  <w:tcW w:w="253" w:type="pct"/>
                  <w:tcBorders>
                    <w:tl2br w:val="nil"/>
                    <w:tr2bl w:val="nil"/>
                  </w:tcBorders>
                  <w:noWrap w:val="0"/>
                  <w:vAlign w:val="center"/>
                </w:tcPr>
                <w:p w14:paraId="701ACF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237" w:type="pct"/>
                  <w:tcBorders>
                    <w:tl2br w:val="nil"/>
                    <w:tr2bl w:val="nil"/>
                  </w:tcBorders>
                  <w:noWrap w:val="0"/>
                  <w:vAlign w:val="center"/>
                </w:tcPr>
                <w:p w14:paraId="2FDCA0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4B38E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1E51F4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w:t>
                  </w:r>
                </w:p>
              </w:tc>
              <w:tc>
                <w:tcPr>
                  <w:tcW w:w="730" w:type="pct"/>
                  <w:vMerge w:val="restart"/>
                  <w:tcBorders>
                    <w:tl2br w:val="nil"/>
                    <w:tr2bl w:val="nil"/>
                  </w:tcBorders>
                  <w:noWrap w:val="0"/>
                  <w:vAlign w:val="center"/>
                </w:tcPr>
                <w:p w14:paraId="2C021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PET膜</w:t>
                  </w:r>
                </w:p>
              </w:tc>
              <w:tc>
                <w:tcPr>
                  <w:tcW w:w="1161" w:type="pct"/>
                  <w:tcBorders>
                    <w:tl2br w:val="nil"/>
                    <w:tr2bl w:val="nil"/>
                  </w:tcBorders>
                  <w:noWrap w:val="0"/>
                  <w:vAlign w:val="center"/>
                </w:tcPr>
                <w:p w14:paraId="3F45E7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BOPET薄膜双向拉伸生产线</w:t>
                  </w:r>
                </w:p>
              </w:tc>
              <w:tc>
                <w:tcPr>
                  <w:tcW w:w="906" w:type="pct"/>
                  <w:tcBorders>
                    <w:tl2br w:val="nil"/>
                    <w:tr2bl w:val="nil"/>
                  </w:tcBorders>
                  <w:noWrap w:val="0"/>
                  <w:vAlign w:val="center"/>
                </w:tcPr>
                <w:p w14:paraId="7A83C0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3.8米异步拉伸</w:t>
                  </w:r>
                </w:p>
              </w:tc>
              <w:tc>
                <w:tcPr>
                  <w:tcW w:w="418" w:type="pct"/>
                  <w:tcBorders>
                    <w:tl2br w:val="nil"/>
                    <w:tr2bl w:val="nil"/>
                  </w:tcBorders>
                  <w:noWrap w:val="0"/>
                  <w:vAlign w:val="center"/>
                </w:tcPr>
                <w:p w14:paraId="75A2EE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02" w:type="pct"/>
                  <w:tcBorders>
                    <w:tl2br w:val="nil"/>
                    <w:tr2bl w:val="nil"/>
                  </w:tcBorders>
                  <w:noWrap w:val="0"/>
                  <w:vAlign w:val="center"/>
                </w:tcPr>
                <w:p w14:paraId="37B29C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09" w:type="pct"/>
                  <w:tcBorders>
                    <w:tl2br w:val="nil"/>
                    <w:tr2bl w:val="nil"/>
                  </w:tcBorders>
                  <w:noWrap w:val="0"/>
                  <w:vAlign w:val="center"/>
                </w:tcPr>
                <w:p w14:paraId="0D486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1</w:t>
                  </w:r>
                </w:p>
              </w:tc>
              <w:tc>
                <w:tcPr>
                  <w:tcW w:w="243" w:type="pct"/>
                  <w:tcBorders>
                    <w:tl2br w:val="nil"/>
                    <w:tr2bl w:val="nil"/>
                  </w:tcBorders>
                  <w:noWrap w:val="0"/>
                  <w:vAlign w:val="center"/>
                </w:tcPr>
                <w:p w14:paraId="15B639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44B3D9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37" w:type="pct"/>
                  <w:tcBorders>
                    <w:tl2br w:val="nil"/>
                    <w:tr2bl w:val="nil"/>
                  </w:tcBorders>
                  <w:noWrap w:val="0"/>
                  <w:vAlign w:val="center"/>
                </w:tcPr>
                <w:p w14:paraId="40C2C0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16F4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2BF8EF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w:t>
                  </w:r>
                </w:p>
              </w:tc>
              <w:tc>
                <w:tcPr>
                  <w:tcW w:w="730" w:type="pct"/>
                  <w:vMerge w:val="continue"/>
                  <w:tcBorders>
                    <w:tl2br w:val="nil"/>
                    <w:tr2bl w:val="nil"/>
                  </w:tcBorders>
                  <w:noWrap w:val="0"/>
                  <w:vAlign w:val="center"/>
                </w:tcPr>
                <w:p w14:paraId="729FB8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3AB973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分切机</w:t>
                  </w:r>
                </w:p>
              </w:tc>
              <w:tc>
                <w:tcPr>
                  <w:tcW w:w="906" w:type="pct"/>
                  <w:tcBorders>
                    <w:tl2br w:val="nil"/>
                    <w:tr2bl w:val="nil"/>
                  </w:tcBorders>
                  <w:noWrap w:val="0"/>
                  <w:vAlign w:val="center"/>
                </w:tcPr>
                <w:p w14:paraId="2C8674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3.4米双工位分切机</w:t>
                  </w:r>
                </w:p>
              </w:tc>
              <w:tc>
                <w:tcPr>
                  <w:tcW w:w="418" w:type="pct"/>
                  <w:tcBorders>
                    <w:tl2br w:val="nil"/>
                    <w:tr2bl w:val="nil"/>
                  </w:tcBorders>
                  <w:noWrap w:val="0"/>
                  <w:vAlign w:val="center"/>
                </w:tcPr>
                <w:p w14:paraId="54C414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02" w:type="pct"/>
                  <w:tcBorders>
                    <w:tl2br w:val="nil"/>
                    <w:tr2bl w:val="nil"/>
                  </w:tcBorders>
                  <w:noWrap w:val="0"/>
                  <w:vAlign w:val="center"/>
                </w:tcPr>
                <w:p w14:paraId="08D7F4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09" w:type="pct"/>
                  <w:tcBorders>
                    <w:tl2br w:val="nil"/>
                    <w:tr2bl w:val="nil"/>
                  </w:tcBorders>
                  <w:noWrap w:val="0"/>
                  <w:vAlign w:val="center"/>
                </w:tcPr>
                <w:p w14:paraId="290D4D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1</w:t>
                  </w:r>
                </w:p>
              </w:tc>
              <w:tc>
                <w:tcPr>
                  <w:tcW w:w="243" w:type="pct"/>
                  <w:tcBorders>
                    <w:tl2br w:val="nil"/>
                    <w:tr2bl w:val="nil"/>
                  </w:tcBorders>
                  <w:noWrap w:val="0"/>
                  <w:vAlign w:val="center"/>
                </w:tcPr>
                <w:p w14:paraId="790969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198E8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37" w:type="pct"/>
                  <w:tcBorders>
                    <w:tl2br w:val="nil"/>
                    <w:tr2bl w:val="nil"/>
                  </w:tcBorders>
                  <w:noWrap w:val="0"/>
                  <w:vAlign w:val="center"/>
                </w:tcPr>
                <w:p w14:paraId="4B7CC1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14D55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47645B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w:t>
                  </w:r>
                </w:p>
              </w:tc>
              <w:tc>
                <w:tcPr>
                  <w:tcW w:w="730" w:type="pct"/>
                  <w:vMerge w:val="continue"/>
                  <w:tcBorders>
                    <w:tl2br w:val="nil"/>
                    <w:tr2bl w:val="nil"/>
                  </w:tcBorders>
                  <w:noWrap w:val="0"/>
                  <w:vAlign w:val="center"/>
                </w:tcPr>
                <w:p w14:paraId="00D3A8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733B9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车间净化系统</w:t>
                  </w:r>
                </w:p>
              </w:tc>
              <w:tc>
                <w:tcPr>
                  <w:tcW w:w="906" w:type="pct"/>
                  <w:tcBorders>
                    <w:tl2br w:val="nil"/>
                    <w:tr2bl w:val="nil"/>
                  </w:tcBorders>
                  <w:noWrap w:val="0"/>
                  <w:vAlign w:val="center"/>
                </w:tcPr>
                <w:p w14:paraId="0A10F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10万级，整套</w:t>
                  </w:r>
                </w:p>
              </w:tc>
              <w:tc>
                <w:tcPr>
                  <w:tcW w:w="418" w:type="pct"/>
                  <w:tcBorders>
                    <w:tl2br w:val="nil"/>
                    <w:tr2bl w:val="nil"/>
                  </w:tcBorders>
                  <w:noWrap w:val="0"/>
                  <w:vAlign w:val="center"/>
                </w:tcPr>
                <w:p w14:paraId="28B9C8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02" w:type="pct"/>
                  <w:tcBorders>
                    <w:tl2br w:val="nil"/>
                    <w:tr2bl w:val="nil"/>
                  </w:tcBorders>
                  <w:noWrap w:val="0"/>
                  <w:vAlign w:val="center"/>
                </w:tcPr>
                <w:p w14:paraId="47EBB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09" w:type="pct"/>
                  <w:tcBorders>
                    <w:tl2br w:val="nil"/>
                    <w:tr2bl w:val="nil"/>
                  </w:tcBorders>
                  <w:noWrap w:val="0"/>
                  <w:vAlign w:val="center"/>
                </w:tcPr>
                <w:p w14:paraId="07E849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1</w:t>
                  </w:r>
                </w:p>
              </w:tc>
              <w:tc>
                <w:tcPr>
                  <w:tcW w:w="243" w:type="pct"/>
                  <w:tcBorders>
                    <w:tl2br w:val="nil"/>
                    <w:tr2bl w:val="nil"/>
                  </w:tcBorders>
                  <w:noWrap w:val="0"/>
                  <w:vAlign w:val="center"/>
                </w:tcPr>
                <w:p w14:paraId="78FFA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032213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37" w:type="pct"/>
                  <w:tcBorders>
                    <w:tl2br w:val="nil"/>
                    <w:tr2bl w:val="nil"/>
                  </w:tcBorders>
                  <w:noWrap w:val="0"/>
                  <w:vAlign w:val="center"/>
                </w:tcPr>
                <w:p w14:paraId="55C93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5FB05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25697A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w:t>
                  </w:r>
                </w:p>
              </w:tc>
              <w:tc>
                <w:tcPr>
                  <w:tcW w:w="730" w:type="pct"/>
                  <w:vMerge w:val="continue"/>
                  <w:tcBorders>
                    <w:tl2br w:val="nil"/>
                    <w:tr2bl w:val="nil"/>
                  </w:tcBorders>
                  <w:noWrap w:val="0"/>
                  <w:vAlign w:val="center"/>
                </w:tcPr>
                <w:p w14:paraId="604B6A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318CE6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测厚仪</w:t>
                  </w:r>
                </w:p>
              </w:tc>
              <w:tc>
                <w:tcPr>
                  <w:tcW w:w="906" w:type="pct"/>
                  <w:tcBorders>
                    <w:tl2br w:val="nil"/>
                    <w:tr2bl w:val="nil"/>
                  </w:tcBorders>
                  <w:noWrap w:val="0"/>
                  <w:vAlign w:val="center"/>
                </w:tcPr>
                <w:p w14:paraId="6E9C76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18" w:type="pct"/>
                  <w:tcBorders>
                    <w:tl2br w:val="nil"/>
                    <w:tr2bl w:val="nil"/>
                  </w:tcBorders>
                  <w:noWrap w:val="0"/>
                  <w:vAlign w:val="center"/>
                </w:tcPr>
                <w:p w14:paraId="2856E1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402" w:type="pct"/>
                  <w:tcBorders>
                    <w:tl2br w:val="nil"/>
                    <w:tr2bl w:val="nil"/>
                  </w:tcBorders>
                  <w:noWrap w:val="0"/>
                  <w:vAlign w:val="center"/>
                </w:tcPr>
                <w:p w14:paraId="5C778B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c>
                <w:tcPr>
                  <w:tcW w:w="409" w:type="pct"/>
                  <w:tcBorders>
                    <w:tl2br w:val="nil"/>
                    <w:tr2bl w:val="nil"/>
                  </w:tcBorders>
                  <w:noWrap w:val="0"/>
                  <w:vAlign w:val="center"/>
                </w:tcPr>
                <w:p w14:paraId="7905B5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2</w:t>
                  </w:r>
                </w:p>
              </w:tc>
              <w:tc>
                <w:tcPr>
                  <w:tcW w:w="243" w:type="pct"/>
                  <w:tcBorders>
                    <w:tl2br w:val="nil"/>
                    <w:tr2bl w:val="nil"/>
                  </w:tcBorders>
                  <w:noWrap w:val="0"/>
                  <w:vAlign w:val="center"/>
                </w:tcPr>
                <w:p w14:paraId="5B77E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74400F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237" w:type="pct"/>
                  <w:tcBorders>
                    <w:tl2br w:val="nil"/>
                    <w:tr2bl w:val="nil"/>
                  </w:tcBorders>
                  <w:noWrap w:val="0"/>
                  <w:vAlign w:val="center"/>
                </w:tcPr>
                <w:p w14:paraId="6EBB0B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ABC5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319185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w:t>
                  </w:r>
                </w:p>
              </w:tc>
              <w:tc>
                <w:tcPr>
                  <w:tcW w:w="730" w:type="pct"/>
                  <w:vMerge w:val="continue"/>
                  <w:tcBorders>
                    <w:tl2br w:val="nil"/>
                    <w:tr2bl w:val="nil"/>
                  </w:tcBorders>
                  <w:noWrap w:val="0"/>
                  <w:vAlign w:val="center"/>
                </w:tcPr>
                <w:p w14:paraId="1EB623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404DD8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三甘醇清洗炉</w:t>
                  </w:r>
                </w:p>
              </w:tc>
              <w:tc>
                <w:tcPr>
                  <w:tcW w:w="906" w:type="pct"/>
                  <w:tcBorders>
                    <w:tl2br w:val="nil"/>
                    <w:tr2bl w:val="nil"/>
                  </w:tcBorders>
                  <w:noWrap w:val="0"/>
                  <w:vAlign w:val="center"/>
                </w:tcPr>
                <w:p w14:paraId="69E9CC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RT-C</w:t>
                  </w:r>
                </w:p>
              </w:tc>
              <w:tc>
                <w:tcPr>
                  <w:tcW w:w="418" w:type="pct"/>
                  <w:tcBorders>
                    <w:tl2br w:val="nil"/>
                    <w:tr2bl w:val="nil"/>
                  </w:tcBorders>
                  <w:noWrap w:val="0"/>
                  <w:vAlign w:val="center"/>
                </w:tcPr>
                <w:p w14:paraId="651868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02" w:type="pct"/>
                  <w:tcBorders>
                    <w:tl2br w:val="nil"/>
                    <w:tr2bl w:val="nil"/>
                  </w:tcBorders>
                  <w:noWrap w:val="0"/>
                  <w:vAlign w:val="center"/>
                </w:tcPr>
                <w:p w14:paraId="582588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09" w:type="pct"/>
                  <w:tcBorders>
                    <w:tl2br w:val="nil"/>
                    <w:tr2bl w:val="nil"/>
                  </w:tcBorders>
                  <w:noWrap w:val="0"/>
                  <w:vAlign w:val="center"/>
                </w:tcPr>
                <w:p w14:paraId="15BC6C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1</w:t>
                  </w:r>
                </w:p>
              </w:tc>
              <w:tc>
                <w:tcPr>
                  <w:tcW w:w="243" w:type="pct"/>
                  <w:tcBorders>
                    <w:tl2br w:val="nil"/>
                    <w:tr2bl w:val="nil"/>
                  </w:tcBorders>
                  <w:noWrap w:val="0"/>
                  <w:vAlign w:val="center"/>
                </w:tcPr>
                <w:p w14:paraId="16177C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546106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37" w:type="pct"/>
                  <w:tcBorders>
                    <w:tl2br w:val="nil"/>
                    <w:tr2bl w:val="nil"/>
                  </w:tcBorders>
                  <w:noWrap w:val="0"/>
                  <w:vAlign w:val="center"/>
                </w:tcPr>
                <w:p w14:paraId="62ACDF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6FE04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6A6E26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w:t>
                  </w:r>
                </w:p>
              </w:tc>
              <w:tc>
                <w:tcPr>
                  <w:tcW w:w="730" w:type="pct"/>
                  <w:vMerge w:val="continue"/>
                  <w:tcBorders>
                    <w:tl2br w:val="nil"/>
                    <w:tr2bl w:val="nil"/>
                  </w:tcBorders>
                  <w:noWrap w:val="0"/>
                  <w:vAlign w:val="center"/>
                </w:tcPr>
                <w:p w14:paraId="09F9CF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73440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冷却塔</w:t>
                  </w:r>
                </w:p>
              </w:tc>
              <w:tc>
                <w:tcPr>
                  <w:tcW w:w="906" w:type="pct"/>
                  <w:tcBorders>
                    <w:tl2br w:val="nil"/>
                    <w:tr2bl w:val="nil"/>
                  </w:tcBorders>
                  <w:noWrap w:val="0"/>
                  <w:vAlign w:val="center"/>
                </w:tcPr>
                <w:p w14:paraId="0027F2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18" w:type="pct"/>
                  <w:tcBorders>
                    <w:tl2br w:val="nil"/>
                    <w:tr2bl w:val="nil"/>
                  </w:tcBorders>
                  <w:noWrap w:val="0"/>
                  <w:vAlign w:val="center"/>
                </w:tcPr>
                <w:p w14:paraId="73B881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02" w:type="pct"/>
                  <w:tcBorders>
                    <w:tl2br w:val="nil"/>
                    <w:tr2bl w:val="nil"/>
                  </w:tcBorders>
                  <w:noWrap w:val="0"/>
                  <w:vAlign w:val="center"/>
                </w:tcPr>
                <w:p w14:paraId="4729A4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409" w:type="pct"/>
                  <w:tcBorders>
                    <w:tl2br w:val="nil"/>
                    <w:tr2bl w:val="nil"/>
                  </w:tcBorders>
                  <w:noWrap w:val="0"/>
                  <w:vAlign w:val="center"/>
                </w:tcPr>
                <w:p w14:paraId="630BB6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0</w:t>
                  </w:r>
                </w:p>
              </w:tc>
              <w:tc>
                <w:tcPr>
                  <w:tcW w:w="243" w:type="pct"/>
                  <w:tcBorders>
                    <w:tl2br w:val="nil"/>
                    <w:tr2bl w:val="nil"/>
                  </w:tcBorders>
                  <w:noWrap w:val="0"/>
                  <w:vAlign w:val="center"/>
                </w:tcPr>
                <w:p w14:paraId="2BBA38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355C24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237" w:type="pct"/>
                  <w:tcBorders>
                    <w:tl2br w:val="nil"/>
                    <w:tr2bl w:val="nil"/>
                  </w:tcBorders>
                  <w:noWrap w:val="0"/>
                  <w:vAlign w:val="center"/>
                </w:tcPr>
                <w:p w14:paraId="2D2BB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A916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12193B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w:t>
                  </w:r>
                </w:p>
              </w:tc>
              <w:tc>
                <w:tcPr>
                  <w:tcW w:w="730" w:type="pct"/>
                  <w:vMerge w:val="continue"/>
                  <w:tcBorders>
                    <w:tl2br w:val="nil"/>
                    <w:tr2bl w:val="nil"/>
                  </w:tcBorders>
                  <w:noWrap w:val="0"/>
                  <w:vAlign w:val="center"/>
                </w:tcPr>
                <w:p w14:paraId="1684C5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4A80D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空压机</w:t>
                  </w:r>
                </w:p>
              </w:tc>
              <w:tc>
                <w:tcPr>
                  <w:tcW w:w="906" w:type="pct"/>
                  <w:tcBorders>
                    <w:tl2br w:val="nil"/>
                    <w:tr2bl w:val="nil"/>
                  </w:tcBorders>
                  <w:noWrap w:val="0"/>
                  <w:vAlign w:val="center"/>
                </w:tcPr>
                <w:p w14:paraId="778ED2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阿特拉兹</w:t>
                  </w:r>
                </w:p>
              </w:tc>
              <w:tc>
                <w:tcPr>
                  <w:tcW w:w="418" w:type="pct"/>
                  <w:tcBorders>
                    <w:tl2br w:val="nil"/>
                    <w:tr2bl w:val="nil"/>
                  </w:tcBorders>
                  <w:noWrap w:val="0"/>
                  <w:vAlign w:val="center"/>
                </w:tcPr>
                <w:p w14:paraId="3109A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402" w:type="pct"/>
                  <w:tcBorders>
                    <w:tl2br w:val="nil"/>
                    <w:tr2bl w:val="nil"/>
                  </w:tcBorders>
                  <w:noWrap w:val="0"/>
                  <w:vAlign w:val="center"/>
                </w:tcPr>
                <w:p w14:paraId="0B655A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c>
                <w:tcPr>
                  <w:tcW w:w="409" w:type="pct"/>
                  <w:tcBorders>
                    <w:tl2br w:val="nil"/>
                    <w:tr2bl w:val="nil"/>
                  </w:tcBorders>
                  <w:noWrap w:val="0"/>
                  <w:vAlign w:val="center"/>
                </w:tcPr>
                <w:p w14:paraId="1B3F1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2</w:t>
                  </w:r>
                </w:p>
              </w:tc>
              <w:tc>
                <w:tcPr>
                  <w:tcW w:w="243" w:type="pct"/>
                  <w:tcBorders>
                    <w:tl2br w:val="nil"/>
                    <w:tr2bl w:val="nil"/>
                  </w:tcBorders>
                  <w:noWrap w:val="0"/>
                  <w:vAlign w:val="center"/>
                </w:tcPr>
                <w:p w14:paraId="78548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7DD15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237" w:type="pct"/>
                  <w:tcBorders>
                    <w:tl2br w:val="nil"/>
                    <w:tr2bl w:val="nil"/>
                  </w:tcBorders>
                  <w:noWrap w:val="0"/>
                  <w:vAlign w:val="center"/>
                </w:tcPr>
                <w:p w14:paraId="0657A6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54E33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51AE00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w:t>
                  </w:r>
                </w:p>
              </w:tc>
              <w:tc>
                <w:tcPr>
                  <w:tcW w:w="730" w:type="pct"/>
                  <w:vMerge w:val="continue"/>
                  <w:tcBorders>
                    <w:tl2br w:val="nil"/>
                    <w:tr2bl w:val="nil"/>
                  </w:tcBorders>
                  <w:noWrap w:val="0"/>
                  <w:vAlign w:val="center"/>
                </w:tcPr>
                <w:p w14:paraId="6871C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6B1671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冷冻机组</w:t>
                  </w:r>
                </w:p>
              </w:tc>
              <w:tc>
                <w:tcPr>
                  <w:tcW w:w="906" w:type="pct"/>
                  <w:tcBorders>
                    <w:tl2br w:val="nil"/>
                    <w:tr2bl w:val="nil"/>
                  </w:tcBorders>
                  <w:noWrap w:val="0"/>
                  <w:vAlign w:val="center"/>
                </w:tcPr>
                <w:p w14:paraId="1D43CC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R系列水冷</w:t>
                  </w:r>
                </w:p>
              </w:tc>
              <w:tc>
                <w:tcPr>
                  <w:tcW w:w="418" w:type="pct"/>
                  <w:tcBorders>
                    <w:tl2br w:val="nil"/>
                    <w:tr2bl w:val="nil"/>
                  </w:tcBorders>
                  <w:noWrap w:val="0"/>
                  <w:vAlign w:val="center"/>
                </w:tcPr>
                <w:p w14:paraId="134B69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402" w:type="pct"/>
                  <w:tcBorders>
                    <w:tl2br w:val="nil"/>
                    <w:tr2bl w:val="nil"/>
                  </w:tcBorders>
                  <w:noWrap w:val="0"/>
                  <w:vAlign w:val="center"/>
                </w:tcPr>
                <w:p w14:paraId="587D1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c>
                <w:tcPr>
                  <w:tcW w:w="409" w:type="pct"/>
                  <w:tcBorders>
                    <w:tl2br w:val="nil"/>
                    <w:tr2bl w:val="nil"/>
                  </w:tcBorders>
                  <w:noWrap w:val="0"/>
                  <w:vAlign w:val="center"/>
                </w:tcPr>
                <w:p w14:paraId="07A5AD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2</w:t>
                  </w:r>
                </w:p>
              </w:tc>
              <w:tc>
                <w:tcPr>
                  <w:tcW w:w="243" w:type="pct"/>
                  <w:tcBorders>
                    <w:tl2br w:val="nil"/>
                    <w:tr2bl w:val="nil"/>
                  </w:tcBorders>
                  <w:noWrap w:val="0"/>
                  <w:vAlign w:val="center"/>
                </w:tcPr>
                <w:p w14:paraId="53840E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227F3B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237" w:type="pct"/>
                  <w:tcBorders>
                    <w:tl2br w:val="nil"/>
                    <w:tr2bl w:val="nil"/>
                  </w:tcBorders>
                  <w:noWrap w:val="0"/>
                  <w:vAlign w:val="center"/>
                </w:tcPr>
                <w:p w14:paraId="48AD0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7B9F7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084CDC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10</w:t>
                  </w:r>
                </w:p>
              </w:tc>
              <w:tc>
                <w:tcPr>
                  <w:tcW w:w="730" w:type="pct"/>
                  <w:vMerge w:val="continue"/>
                  <w:tcBorders>
                    <w:tl2br w:val="nil"/>
                    <w:tr2bl w:val="nil"/>
                  </w:tcBorders>
                  <w:noWrap w:val="0"/>
                  <w:vAlign w:val="center"/>
                </w:tcPr>
                <w:p w14:paraId="4231C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61A751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纯水机组</w:t>
                  </w:r>
                </w:p>
              </w:tc>
              <w:tc>
                <w:tcPr>
                  <w:tcW w:w="906" w:type="pct"/>
                  <w:tcBorders>
                    <w:tl2br w:val="nil"/>
                    <w:tr2bl w:val="nil"/>
                  </w:tcBorders>
                  <w:noWrap w:val="0"/>
                  <w:vAlign w:val="center"/>
                </w:tcPr>
                <w:p w14:paraId="2612F9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18" w:type="pct"/>
                  <w:tcBorders>
                    <w:tl2br w:val="nil"/>
                    <w:tr2bl w:val="nil"/>
                  </w:tcBorders>
                  <w:noWrap w:val="0"/>
                  <w:vAlign w:val="center"/>
                </w:tcPr>
                <w:p w14:paraId="6BFBE2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02" w:type="pct"/>
                  <w:tcBorders>
                    <w:tl2br w:val="nil"/>
                    <w:tr2bl w:val="nil"/>
                  </w:tcBorders>
                  <w:noWrap w:val="0"/>
                  <w:vAlign w:val="center"/>
                </w:tcPr>
                <w:p w14:paraId="3A7736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09" w:type="pct"/>
                  <w:tcBorders>
                    <w:tl2br w:val="nil"/>
                    <w:tr2bl w:val="nil"/>
                  </w:tcBorders>
                  <w:noWrap w:val="0"/>
                  <w:vAlign w:val="center"/>
                </w:tcPr>
                <w:p w14:paraId="6C5401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1</w:t>
                  </w:r>
                </w:p>
              </w:tc>
              <w:tc>
                <w:tcPr>
                  <w:tcW w:w="243" w:type="pct"/>
                  <w:tcBorders>
                    <w:tl2br w:val="nil"/>
                    <w:tr2bl w:val="nil"/>
                  </w:tcBorders>
                  <w:noWrap w:val="0"/>
                  <w:vAlign w:val="center"/>
                </w:tcPr>
                <w:p w14:paraId="3CD8B6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37FA1E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37" w:type="pct"/>
                  <w:tcBorders>
                    <w:tl2br w:val="nil"/>
                    <w:tr2bl w:val="nil"/>
                  </w:tcBorders>
                  <w:noWrap w:val="0"/>
                  <w:vAlign w:val="center"/>
                </w:tcPr>
                <w:p w14:paraId="1D7D47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15357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66116F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11</w:t>
                  </w:r>
                </w:p>
              </w:tc>
              <w:tc>
                <w:tcPr>
                  <w:tcW w:w="730" w:type="pct"/>
                  <w:vMerge w:val="continue"/>
                  <w:tcBorders>
                    <w:tl2br w:val="nil"/>
                    <w:tr2bl w:val="nil"/>
                  </w:tcBorders>
                  <w:noWrap w:val="0"/>
                  <w:vAlign w:val="center"/>
                </w:tcPr>
                <w:p w14:paraId="163D77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2E52D3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烘箱</w:t>
                  </w:r>
                </w:p>
              </w:tc>
              <w:tc>
                <w:tcPr>
                  <w:tcW w:w="906" w:type="pct"/>
                  <w:tcBorders>
                    <w:tl2br w:val="nil"/>
                    <w:tr2bl w:val="nil"/>
                  </w:tcBorders>
                  <w:noWrap w:val="0"/>
                  <w:vAlign w:val="center"/>
                </w:tcPr>
                <w:p w14:paraId="6EE9C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18" w:type="pct"/>
                  <w:tcBorders>
                    <w:tl2br w:val="nil"/>
                    <w:tr2bl w:val="nil"/>
                  </w:tcBorders>
                  <w:noWrap w:val="0"/>
                  <w:vAlign w:val="center"/>
                </w:tcPr>
                <w:p w14:paraId="0B5E1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02" w:type="pct"/>
                  <w:tcBorders>
                    <w:tl2br w:val="nil"/>
                    <w:tr2bl w:val="nil"/>
                  </w:tcBorders>
                  <w:noWrap w:val="0"/>
                  <w:vAlign w:val="center"/>
                </w:tcPr>
                <w:p w14:paraId="592C1E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09" w:type="pct"/>
                  <w:tcBorders>
                    <w:tl2br w:val="nil"/>
                    <w:tr2bl w:val="nil"/>
                  </w:tcBorders>
                  <w:noWrap w:val="0"/>
                  <w:vAlign w:val="center"/>
                </w:tcPr>
                <w:p w14:paraId="2C10D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1</w:t>
                  </w:r>
                </w:p>
              </w:tc>
              <w:tc>
                <w:tcPr>
                  <w:tcW w:w="243" w:type="pct"/>
                  <w:tcBorders>
                    <w:tl2br w:val="nil"/>
                    <w:tr2bl w:val="nil"/>
                  </w:tcBorders>
                  <w:noWrap w:val="0"/>
                  <w:vAlign w:val="center"/>
                </w:tcPr>
                <w:p w14:paraId="3EEFD2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68BD93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37" w:type="pct"/>
                  <w:tcBorders>
                    <w:tl2br w:val="nil"/>
                    <w:tr2bl w:val="nil"/>
                  </w:tcBorders>
                  <w:noWrap w:val="0"/>
                  <w:vAlign w:val="center"/>
                </w:tcPr>
                <w:p w14:paraId="75F37E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36E88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4B7703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12</w:t>
                  </w:r>
                </w:p>
              </w:tc>
              <w:tc>
                <w:tcPr>
                  <w:tcW w:w="730" w:type="pct"/>
                  <w:vMerge w:val="continue"/>
                  <w:tcBorders>
                    <w:tl2br w:val="nil"/>
                    <w:tr2bl w:val="nil"/>
                  </w:tcBorders>
                  <w:noWrap w:val="0"/>
                  <w:vAlign w:val="center"/>
                </w:tcPr>
                <w:p w14:paraId="4C6E3A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4B8063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挤出机</w:t>
                  </w:r>
                </w:p>
              </w:tc>
              <w:tc>
                <w:tcPr>
                  <w:tcW w:w="906" w:type="pct"/>
                  <w:tcBorders>
                    <w:tl2br w:val="nil"/>
                    <w:tr2bl w:val="nil"/>
                  </w:tcBorders>
                  <w:noWrap w:val="0"/>
                  <w:vAlign w:val="center"/>
                </w:tcPr>
                <w:p w14:paraId="7F6C6F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18" w:type="pct"/>
                  <w:tcBorders>
                    <w:tl2br w:val="nil"/>
                    <w:tr2bl w:val="nil"/>
                  </w:tcBorders>
                  <w:noWrap w:val="0"/>
                  <w:vAlign w:val="center"/>
                </w:tcPr>
                <w:p w14:paraId="15BD56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02" w:type="pct"/>
                  <w:tcBorders>
                    <w:tl2br w:val="nil"/>
                    <w:tr2bl w:val="nil"/>
                  </w:tcBorders>
                  <w:noWrap w:val="0"/>
                  <w:vAlign w:val="center"/>
                </w:tcPr>
                <w:p w14:paraId="2248B7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09" w:type="pct"/>
                  <w:tcBorders>
                    <w:tl2br w:val="nil"/>
                    <w:tr2bl w:val="nil"/>
                  </w:tcBorders>
                  <w:noWrap w:val="0"/>
                  <w:vAlign w:val="center"/>
                </w:tcPr>
                <w:p w14:paraId="1CDF30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0</w:t>
                  </w:r>
                </w:p>
              </w:tc>
              <w:tc>
                <w:tcPr>
                  <w:tcW w:w="243" w:type="pct"/>
                  <w:tcBorders>
                    <w:tl2br w:val="nil"/>
                    <w:tr2bl w:val="nil"/>
                  </w:tcBorders>
                  <w:noWrap w:val="0"/>
                  <w:vAlign w:val="center"/>
                </w:tcPr>
                <w:p w14:paraId="09EC33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154085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37" w:type="pct"/>
                  <w:tcBorders>
                    <w:tl2br w:val="nil"/>
                    <w:tr2bl w:val="nil"/>
                  </w:tcBorders>
                  <w:noWrap w:val="0"/>
                  <w:vAlign w:val="center"/>
                </w:tcPr>
                <w:p w14:paraId="070995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2108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49A6D5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13</w:t>
                  </w:r>
                </w:p>
              </w:tc>
              <w:tc>
                <w:tcPr>
                  <w:tcW w:w="730" w:type="pct"/>
                  <w:vMerge w:val="continue"/>
                  <w:tcBorders>
                    <w:tl2br w:val="nil"/>
                    <w:tr2bl w:val="nil"/>
                  </w:tcBorders>
                  <w:noWrap w:val="0"/>
                  <w:vAlign w:val="center"/>
                </w:tcPr>
                <w:p w14:paraId="0CA31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15B654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铸片机</w:t>
                  </w:r>
                </w:p>
              </w:tc>
              <w:tc>
                <w:tcPr>
                  <w:tcW w:w="906" w:type="pct"/>
                  <w:tcBorders>
                    <w:tl2br w:val="nil"/>
                    <w:tr2bl w:val="nil"/>
                  </w:tcBorders>
                  <w:noWrap w:val="0"/>
                  <w:vAlign w:val="center"/>
                </w:tcPr>
                <w:p w14:paraId="3D73D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18" w:type="pct"/>
                  <w:tcBorders>
                    <w:tl2br w:val="nil"/>
                    <w:tr2bl w:val="nil"/>
                  </w:tcBorders>
                  <w:noWrap w:val="0"/>
                  <w:vAlign w:val="center"/>
                </w:tcPr>
                <w:p w14:paraId="523C6B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02" w:type="pct"/>
                  <w:tcBorders>
                    <w:tl2br w:val="nil"/>
                    <w:tr2bl w:val="nil"/>
                  </w:tcBorders>
                  <w:noWrap w:val="0"/>
                  <w:vAlign w:val="center"/>
                </w:tcPr>
                <w:p w14:paraId="24090D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09" w:type="pct"/>
                  <w:tcBorders>
                    <w:tl2br w:val="nil"/>
                    <w:tr2bl w:val="nil"/>
                  </w:tcBorders>
                  <w:noWrap w:val="0"/>
                  <w:vAlign w:val="center"/>
                </w:tcPr>
                <w:p w14:paraId="750A1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0</w:t>
                  </w:r>
                </w:p>
              </w:tc>
              <w:tc>
                <w:tcPr>
                  <w:tcW w:w="243" w:type="pct"/>
                  <w:tcBorders>
                    <w:tl2br w:val="nil"/>
                    <w:tr2bl w:val="nil"/>
                  </w:tcBorders>
                  <w:noWrap w:val="0"/>
                  <w:vAlign w:val="center"/>
                </w:tcPr>
                <w:p w14:paraId="24D98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7AF29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37" w:type="pct"/>
                  <w:tcBorders>
                    <w:tl2br w:val="nil"/>
                    <w:tr2bl w:val="nil"/>
                  </w:tcBorders>
                  <w:noWrap w:val="0"/>
                  <w:vAlign w:val="center"/>
                </w:tcPr>
                <w:p w14:paraId="4E3E2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258F4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6008F2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14</w:t>
                  </w:r>
                </w:p>
              </w:tc>
              <w:tc>
                <w:tcPr>
                  <w:tcW w:w="730" w:type="pct"/>
                  <w:vMerge w:val="continue"/>
                  <w:tcBorders>
                    <w:tl2br w:val="nil"/>
                    <w:tr2bl w:val="nil"/>
                  </w:tcBorders>
                  <w:noWrap w:val="0"/>
                  <w:vAlign w:val="center"/>
                </w:tcPr>
                <w:p w14:paraId="521BE0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44215B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电晕装置</w:t>
                  </w:r>
                </w:p>
              </w:tc>
              <w:tc>
                <w:tcPr>
                  <w:tcW w:w="906" w:type="pct"/>
                  <w:tcBorders>
                    <w:tl2br w:val="nil"/>
                    <w:tr2bl w:val="nil"/>
                  </w:tcBorders>
                  <w:noWrap w:val="0"/>
                  <w:vAlign w:val="center"/>
                </w:tcPr>
                <w:p w14:paraId="5EA791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18" w:type="pct"/>
                  <w:tcBorders>
                    <w:tl2br w:val="nil"/>
                    <w:tr2bl w:val="nil"/>
                  </w:tcBorders>
                  <w:noWrap w:val="0"/>
                  <w:vAlign w:val="center"/>
                </w:tcPr>
                <w:p w14:paraId="023FFA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02" w:type="pct"/>
                  <w:tcBorders>
                    <w:tl2br w:val="nil"/>
                    <w:tr2bl w:val="nil"/>
                  </w:tcBorders>
                  <w:noWrap w:val="0"/>
                  <w:vAlign w:val="center"/>
                </w:tcPr>
                <w:p w14:paraId="19406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09" w:type="pct"/>
                  <w:tcBorders>
                    <w:tl2br w:val="nil"/>
                    <w:tr2bl w:val="nil"/>
                  </w:tcBorders>
                  <w:noWrap w:val="0"/>
                  <w:vAlign w:val="center"/>
                </w:tcPr>
                <w:p w14:paraId="17C818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0</w:t>
                  </w:r>
                </w:p>
              </w:tc>
              <w:tc>
                <w:tcPr>
                  <w:tcW w:w="243" w:type="pct"/>
                  <w:tcBorders>
                    <w:tl2br w:val="nil"/>
                    <w:tr2bl w:val="nil"/>
                  </w:tcBorders>
                  <w:noWrap w:val="0"/>
                  <w:vAlign w:val="center"/>
                </w:tcPr>
                <w:p w14:paraId="013580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5FB08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37" w:type="pct"/>
                  <w:tcBorders>
                    <w:tl2br w:val="nil"/>
                    <w:tr2bl w:val="nil"/>
                  </w:tcBorders>
                  <w:noWrap w:val="0"/>
                  <w:vAlign w:val="center"/>
                </w:tcPr>
                <w:p w14:paraId="0826D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310D0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278E29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15</w:t>
                  </w:r>
                </w:p>
              </w:tc>
              <w:tc>
                <w:tcPr>
                  <w:tcW w:w="730" w:type="pct"/>
                  <w:vMerge w:val="restart"/>
                  <w:tcBorders>
                    <w:tl2br w:val="nil"/>
                    <w:tr2bl w:val="nil"/>
                  </w:tcBorders>
                  <w:noWrap w:val="0"/>
                  <w:vAlign w:val="center"/>
                </w:tcPr>
                <w:p w14:paraId="5EDF26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color w:val="auto"/>
                      <w:sz w:val="18"/>
                      <w:szCs w:val="18"/>
                      <w:lang w:val="en-US" w:eastAsia="zh-CN"/>
                    </w:rPr>
                    <w:t>纳米功能性膜</w:t>
                  </w:r>
                </w:p>
              </w:tc>
              <w:tc>
                <w:tcPr>
                  <w:tcW w:w="1161" w:type="pct"/>
                  <w:tcBorders>
                    <w:tl2br w:val="nil"/>
                    <w:tr2bl w:val="nil"/>
                  </w:tcBorders>
                  <w:noWrap w:val="0"/>
                  <w:vAlign w:val="center"/>
                </w:tcPr>
                <w:p w14:paraId="66D6E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精密涂布复合机</w:t>
                  </w:r>
                </w:p>
              </w:tc>
              <w:tc>
                <w:tcPr>
                  <w:tcW w:w="906" w:type="pct"/>
                  <w:tcBorders>
                    <w:tl2br w:val="nil"/>
                    <w:tr2bl w:val="nil"/>
                  </w:tcBorders>
                  <w:noWrap w:val="0"/>
                  <w:vAlign w:val="center"/>
                </w:tcPr>
                <w:p w14:paraId="00032F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CL型</w:t>
                  </w:r>
                </w:p>
              </w:tc>
              <w:tc>
                <w:tcPr>
                  <w:tcW w:w="418" w:type="pct"/>
                  <w:tcBorders>
                    <w:tl2br w:val="nil"/>
                    <w:tr2bl w:val="nil"/>
                  </w:tcBorders>
                  <w:noWrap w:val="0"/>
                  <w:vAlign w:val="center"/>
                </w:tcPr>
                <w:p w14:paraId="0BC8DC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6</w:t>
                  </w:r>
                </w:p>
              </w:tc>
              <w:tc>
                <w:tcPr>
                  <w:tcW w:w="402" w:type="pct"/>
                  <w:tcBorders>
                    <w:tl2br w:val="nil"/>
                    <w:tr2bl w:val="nil"/>
                  </w:tcBorders>
                  <w:noWrap w:val="0"/>
                  <w:vAlign w:val="center"/>
                </w:tcPr>
                <w:p w14:paraId="6C2DB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w:t>
                  </w:r>
                </w:p>
              </w:tc>
              <w:tc>
                <w:tcPr>
                  <w:tcW w:w="409" w:type="pct"/>
                  <w:tcBorders>
                    <w:tl2br w:val="nil"/>
                    <w:tr2bl w:val="nil"/>
                  </w:tcBorders>
                  <w:noWrap w:val="0"/>
                  <w:vAlign w:val="center"/>
                </w:tcPr>
                <w:p w14:paraId="396F32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2</w:t>
                  </w:r>
                </w:p>
              </w:tc>
              <w:tc>
                <w:tcPr>
                  <w:tcW w:w="243" w:type="pct"/>
                  <w:tcBorders>
                    <w:tl2br w:val="nil"/>
                    <w:tr2bl w:val="nil"/>
                  </w:tcBorders>
                  <w:noWrap w:val="0"/>
                  <w:vAlign w:val="center"/>
                </w:tcPr>
                <w:p w14:paraId="355A0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7B6DC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6</w:t>
                  </w:r>
                </w:p>
              </w:tc>
              <w:tc>
                <w:tcPr>
                  <w:tcW w:w="237" w:type="pct"/>
                  <w:tcBorders>
                    <w:tl2br w:val="nil"/>
                    <w:tr2bl w:val="nil"/>
                  </w:tcBorders>
                  <w:noWrap w:val="0"/>
                  <w:vAlign w:val="center"/>
                </w:tcPr>
                <w:p w14:paraId="65EC4B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15C2D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00E015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16</w:t>
                  </w:r>
                </w:p>
              </w:tc>
              <w:tc>
                <w:tcPr>
                  <w:tcW w:w="730" w:type="pct"/>
                  <w:vMerge w:val="continue"/>
                  <w:tcBorders>
                    <w:tl2br w:val="nil"/>
                    <w:tr2bl w:val="nil"/>
                  </w:tcBorders>
                  <w:noWrap w:val="0"/>
                  <w:vAlign w:val="center"/>
                </w:tcPr>
                <w:p w14:paraId="2F587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0C1F5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高速分散搅拌机</w:t>
                  </w:r>
                </w:p>
              </w:tc>
              <w:tc>
                <w:tcPr>
                  <w:tcW w:w="906" w:type="pct"/>
                  <w:tcBorders>
                    <w:tl2br w:val="nil"/>
                    <w:tr2bl w:val="nil"/>
                  </w:tcBorders>
                  <w:noWrap w:val="0"/>
                  <w:vAlign w:val="center"/>
                </w:tcPr>
                <w:p w14:paraId="25C9A1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TFS型</w:t>
                  </w:r>
                </w:p>
              </w:tc>
              <w:tc>
                <w:tcPr>
                  <w:tcW w:w="418" w:type="pct"/>
                  <w:tcBorders>
                    <w:tl2br w:val="nil"/>
                    <w:tr2bl w:val="nil"/>
                  </w:tcBorders>
                  <w:noWrap w:val="0"/>
                  <w:vAlign w:val="center"/>
                </w:tcPr>
                <w:p w14:paraId="59FA94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6</w:t>
                  </w:r>
                </w:p>
              </w:tc>
              <w:tc>
                <w:tcPr>
                  <w:tcW w:w="402" w:type="pct"/>
                  <w:tcBorders>
                    <w:tl2br w:val="nil"/>
                    <w:tr2bl w:val="nil"/>
                  </w:tcBorders>
                  <w:noWrap w:val="0"/>
                  <w:vAlign w:val="center"/>
                </w:tcPr>
                <w:p w14:paraId="64EE0E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w:t>
                  </w:r>
                </w:p>
              </w:tc>
              <w:tc>
                <w:tcPr>
                  <w:tcW w:w="409" w:type="pct"/>
                  <w:tcBorders>
                    <w:tl2br w:val="nil"/>
                    <w:tr2bl w:val="nil"/>
                  </w:tcBorders>
                  <w:noWrap w:val="0"/>
                  <w:vAlign w:val="center"/>
                </w:tcPr>
                <w:p w14:paraId="40F0F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2</w:t>
                  </w:r>
                </w:p>
              </w:tc>
              <w:tc>
                <w:tcPr>
                  <w:tcW w:w="243" w:type="pct"/>
                  <w:tcBorders>
                    <w:tl2br w:val="nil"/>
                    <w:tr2bl w:val="nil"/>
                  </w:tcBorders>
                  <w:noWrap w:val="0"/>
                  <w:vAlign w:val="center"/>
                </w:tcPr>
                <w:p w14:paraId="261860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097C2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6</w:t>
                  </w:r>
                </w:p>
              </w:tc>
              <w:tc>
                <w:tcPr>
                  <w:tcW w:w="237" w:type="pct"/>
                  <w:tcBorders>
                    <w:tl2br w:val="nil"/>
                    <w:tr2bl w:val="nil"/>
                  </w:tcBorders>
                  <w:noWrap w:val="0"/>
                  <w:vAlign w:val="center"/>
                </w:tcPr>
                <w:p w14:paraId="0206F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EDDC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60A4D2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w:t>
                  </w:r>
                </w:p>
              </w:tc>
              <w:tc>
                <w:tcPr>
                  <w:tcW w:w="730" w:type="pct"/>
                  <w:vMerge w:val="continue"/>
                  <w:tcBorders>
                    <w:tl2br w:val="nil"/>
                    <w:tr2bl w:val="nil"/>
                  </w:tcBorders>
                  <w:noWrap w:val="0"/>
                  <w:vAlign w:val="center"/>
                </w:tcPr>
                <w:p w14:paraId="01BC46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6C30DF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车间净化系统</w:t>
                  </w:r>
                </w:p>
              </w:tc>
              <w:tc>
                <w:tcPr>
                  <w:tcW w:w="906" w:type="pct"/>
                  <w:tcBorders>
                    <w:tl2br w:val="nil"/>
                    <w:tr2bl w:val="nil"/>
                  </w:tcBorders>
                  <w:noWrap w:val="0"/>
                  <w:vAlign w:val="center"/>
                </w:tcPr>
                <w:p w14:paraId="4EE6CA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万级，整套</w:t>
                  </w:r>
                </w:p>
              </w:tc>
              <w:tc>
                <w:tcPr>
                  <w:tcW w:w="418" w:type="pct"/>
                  <w:tcBorders>
                    <w:tl2br w:val="nil"/>
                    <w:tr2bl w:val="nil"/>
                  </w:tcBorders>
                  <w:noWrap w:val="0"/>
                  <w:vAlign w:val="center"/>
                </w:tcPr>
                <w:p w14:paraId="3457A1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2</w:t>
                  </w:r>
                </w:p>
              </w:tc>
              <w:tc>
                <w:tcPr>
                  <w:tcW w:w="402" w:type="pct"/>
                  <w:tcBorders>
                    <w:tl2br w:val="nil"/>
                    <w:tr2bl w:val="nil"/>
                  </w:tcBorders>
                  <w:noWrap w:val="0"/>
                  <w:vAlign w:val="center"/>
                </w:tcPr>
                <w:p w14:paraId="54BC9E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c>
                <w:tcPr>
                  <w:tcW w:w="409" w:type="pct"/>
                  <w:tcBorders>
                    <w:tl2br w:val="nil"/>
                    <w:tr2bl w:val="nil"/>
                  </w:tcBorders>
                  <w:noWrap w:val="0"/>
                  <w:vAlign w:val="center"/>
                </w:tcPr>
                <w:p w14:paraId="76E8DA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0</w:t>
                  </w:r>
                </w:p>
              </w:tc>
              <w:tc>
                <w:tcPr>
                  <w:tcW w:w="243" w:type="pct"/>
                  <w:tcBorders>
                    <w:tl2br w:val="nil"/>
                    <w:tr2bl w:val="nil"/>
                  </w:tcBorders>
                  <w:noWrap w:val="0"/>
                  <w:vAlign w:val="center"/>
                </w:tcPr>
                <w:p w14:paraId="5DAA3A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5A34C9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2</w:t>
                  </w:r>
                </w:p>
              </w:tc>
              <w:tc>
                <w:tcPr>
                  <w:tcW w:w="237" w:type="pct"/>
                  <w:tcBorders>
                    <w:tl2br w:val="nil"/>
                    <w:tr2bl w:val="nil"/>
                  </w:tcBorders>
                  <w:noWrap w:val="0"/>
                  <w:vAlign w:val="center"/>
                </w:tcPr>
                <w:p w14:paraId="40C53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235EE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 w:type="pct"/>
                  <w:tcBorders>
                    <w:tl2br w:val="nil"/>
                    <w:tr2bl w:val="nil"/>
                  </w:tcBorders>
                  <w:noWrap w:val="0"/>
                  <w:vAlign w:val="center"/>
                </w:tcPr>
                <w:p w14:paraId="753C58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18</w:t>
                  </w:r>
                </w:p>
              </w:tc>
              <w:tc>
                <w:tcPr>
                  <w:tcW w:w="730" w:type="pct"/>
                  <w:vMerge w:val="continue"/>
                  <w:tcBorders>
                    <w:tl2br w:val="nil"/>
                    <w:tr2bl w:val="nil"/>
                  </w:tcBorders>
                  <w:noWrap w:val="0"/>
                  <w:vAlign w:val="center"/>
                </w:tcPr>
                <w:p w14:paraId="0E65A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161" w:type="pct"/>
                  <w:tcBorders>
                    <w:tl2br w:val="nil"/>
                    <w:tr2bl w:val="nil"/>
                  </w:tcBorders>
                  <w:noWrap w:val="0"/>
                  <w:vAlign w:val="center"/>
                </w:tcPr>
                <w:p w14:paraId="21F22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双轴中心卷取分切机</w:t>
                  </w:r>
                </w:p>
              </w:tc>
              <w:tc>
                <w:tcPr>
                  <w:tcW w:w="906" w:type="pct"/>
                  <w:tcBorders>
                    <w:tl2br w:val="nil"/>
                    <w:tr2bl w:val="nil"/>
                  </w:tcBorders>
                  <w:noWrap w:val="0"/>
                  <w:vAlign w:val="center"/>
                </w:tcPr>
                <w:p w14:paraId="68F654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SLA-FA型</w:t>
                  </w:r>
                </w:p>
              </w:tc>
              <w:tc>
                <w:tcPr>
                  <w:tcW w:w="418" w:type="pct"/>
                  <w:tcBorders>
                    <w:tl2br w:val="nil"/>
                    <w:tr2bl w:val="nil"/>
                  </w:tcBorders>
                  <w:noWrap w:val="0"/>
                  <w:vAlign w:val="center"/>
                </w:tcPr>
                <w:p w14:paraId="6AE907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6</w:t>
                  </w:r>
                </w:p>
              </w:tc>
              <w:tc>
                <w:tcPr>
                  <w:tcW w:w="402" w:type="pct"/>
                  <w:tcBorders>
                    <w:tl2br w:val="nil"/>
                    <w:tr2bl w:val="nil"/>
                  </w:tcBorders>
                  <w:noWrap w:val="0"/>
                  <w:vAlign w:val="center"/>
                </w:tcPr>
                <w:p w14:paraId="09C684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w:t>
                  </w:r>
                </w:p>
              </w:tc>
              <w:tc>
                <w:tcPr>
                  <w:tcW w:w="409" w:type="pct"/>
                  <w:tcBorders>
                    <w:tl2br w:val="nil"/>
                    <w:tr2bl w:val="nil"/>
                  </w:tcBorders>
                  <w:noWrap w:val="0"/>
                  <w:vAlign w:val="center"/>
                </w:tcPr>
                <w:p w14:paraId="1A80F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2</w:t>
                  </w:r>
                </w:p>
              </w:tc>
              <w:tc>
                <w:tcPr>
                  <w:tcW w:w="243" w:type="pct"/>
                  <w:tcBorders>
                    <w:tl2br w:val="nil"/>
                    <w:tr2bl w:val="nil"/>
                  </w:tcBorders>
                  <w:noWrap w:val="0"/>
                  <w:vAlign w:val="center"/>
                </w:tcPr>
                <w:p w14:paraId="35715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w:t>
                  </w:r>
                </w:p>
              </w:tc>
              <w:tc>
                <w:tcPr>
                  <w:tcW w:w="253" w:type="pct"/>
                  <w:tcBorders>
                    <w:tl2br w:val="nil"/>
                    <w:tr2bl w:val="nil"/>
                  </w:tcBorders>
                  <w:noWrap w:val="0"/>
                  <w:vAlign w:val="center"/>
                </w:tcPr>
                <w:p w14:paraId="07526B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6</w:t>
                  </w:r>
                </w:p>
              </w:tc>
              <w:tc>
                <w:tcPr>
                  <w:tcW w:w="237" w:type="pct"/>
                  <w:tcBorders>
                    <w:tl2br w:val="nil"/>
                    <w:tr2bl w:val="nil"/>
                  </w:tcBorders>
                  <w:noWrap w:val="0"/>
                  <w:vAlign w:val="center"/>
                </w:tcPr>
                <w:p w14:paraId="6C0457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bl>
          <w:p w14:paraId="5B4B520F">
            <w:pPr>
              <w:ind w:firstLine="422"/>
              <w:rPr>
                <w:b/>
                <w:color w:val="auto"/>
              </w:rPr>
            </w:pPr>
            <w:r>
              <w:rPr>
                <w:b/>
                <w:color w:val="auto"/>
              </w:rPr>
              <w:t>4、项目原辅材料消耗</w:t>
            </w:r>
          </w:p>
          <w:p w14:paraId="45BC7280">
            <w:pPr>
              <w:pStyle w:val="106"/>
              <w:keepNext w:val="0"/>
              <w:keepLines w:val="0"/>
              <w:pageBreakBefore w:val="0"/>
              <w:widowControl/>
              <w:kinsoku/>
              <w:wordWrap/>
              <w:overflowPunct/>
              <w:topLinePunct w:val="0"/>
              <w:autoSpaceDE/>
              <w:autoSpaceDN/>
              <w:bidi w:val="0"/>
              <w:adjustRightInd w:val="0"/>
              <w:snapToGrid w:val="0"/>
              <w:spacing w:before="0" w:after="0"/>
              <w:ind w:left="0" w:right="0" w:firstLine="420" w:firstLineChars="200"/>
              <w:jc w:val="both"/>
              <w:textAlignment w:val="auto"/>
              <w:rPr>
                <w:rFonts w:hint="eastAsia"/>
                <w:b w:val="0"/>
                <w:bCs/>
                <w:color w:val="auto"/>
                <w:sz w:val="21"/>
                <w:szCs w:val="21"/>
              </w:rPr>
            </w:pPr>
            <w:bookmarkStart w:id="5" w:name="_Hlk150846267"/>
            <w:r>
              <w:rPr>
                <w:rFonts w:hint="eastAsia"/>
                <w:b w:val="0"/>
                <w:bCs/>
                <w:color w:val="auto"/>
                <w:sz w:val="21"/>
                <w:szCs w:val="21"/>
              </w:rPr>
              <w:t>主要原辅材料使用情况见表2-</w:t>
            </w:r>
            <w:r>
              <w:rPr>
                <w:rFonts w:hint="eastAsia"/>
                <w:b w:val="0"/>
                <w:bCs/>
                <w:color w:val="auto"/>
                <w:sz w:val="21"/>
                <w:szCs w:val="21"/>
                <w:lang w:val="en-US" w:eastAsia="zh-CN"/>
              </w:rPr>
              <w:t>3</w:t>
            </w:r>
            <w:r>
              <w:rPr>
                <w:rFonts w:hint="eastAsia"/>
                <w:b w:val="0"/>
                <w:bCs/>
                <w:color w:val="auto"/>
                <w:sz w:val="21"/>
                <w:szCs w:val="21"/>
              </w:rPr>
              <w:t>。</w:t>
            </w:r>
          </w:p>
          <w:p w14:paraId="7397FF62">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w:t>
            </w:r>
            <w:r>
              <w:rPr>
                <w:rFonts w:hint="eastAsia"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rPr>
              <w:t>主要原辅材料用量一览表</w:t>
            </w:r>
          </w:p>
          <w:bookmarkEnd w:id="5"/>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792"/>
              <w:gridCol w:w="726"/>
              <w:gridCol w:w="1153"/>
              <w:gridCol w:w="666"/>
              <w:gridCol w:w="804"/>
              <w:gridCol w:w="894"/>
              <w:gridCol w:w="717"/>
              <w:gridCol w:w="589"/>
              <w:gridCol w:w="750"/>
              <w:gridCol w:w="740"/>
            </w:tblGrid>
            <w:tr w14:paraId="52CAB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restart"/>
                  <w:tcBorders>
                    <w:tl2br w:val="nil"/>
                    <w:tr2bl w:val="nil"/>
                  </w:tcBorders>
                  <w:shd w:val="clear" w:color="auto" w:fill="D7D7D7" w:themeFill="background1" w:themeFillShade="D8"/>
                  <w:noWrap w:val="0"/>
                  <w:vAlign w:val="center"/>
                </w:tcPr>
                <w:p w14:paraId="7097CED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lang w:eastAsia="zh-CN"/>
                    </w:rPr>
                  </w:pPr>
                  <w:bookmarkStart w:id="6" w:name="OLE_LINK11"/>
                  <w:r>
                    <w:rPr>
                      <w:rFonts w:hint="default" w:ascii="Times New Roman" w:hAnsi="Times New Roman" w:eastAsia="宋体" w:cs="Times New Roman"/>
                      <w:b/>
                      <w:bCs/>
                      <w:color w:val="auto"/>
                      <w:sz w:val="18"/>
                      <w:szCs w:val="18"/>
                      <w:lang w:val="en-US" w:eastAsia="zh-CN"/>
                    </w:rPr>
                    <w:t>产品</w:t>
                  </w:r>
                </w:p>
              </w:tc>
              <w:tc>
                <w:tcPr>
                  <w:tcW w:w="792" w:type="dxa"/>
                  <w:vMerge w:val="restart"/>
                  <w:tcBorders>
                    <w:tl2br w:val="nil"/>
                    <w:tr2bl w:val="nil"/>
                  </w:tcBorders>
                  <w:shd w:val="clear" w:color="auto" w:fill="D7D7D7" w:themeFill="background1" w:themeFillShade="D8"/>
                  <w:noWrap w:val="0"/>
                  <w:vAlign w:val="center"/>
                </w:tcPr>
                <w:p w14:paraId="7ED1D3D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原辅料</w:t>
                  </w:r>
                  <w:r>
                    <w:rPr>
                      <w:rFonts w:hint="default" w:ascii="Times New Roman" w:hAnsi="Times New Roman" w:eastAsia="宋体" w:cs="Times New Roman"/>
                      <w:b/>
                      <w:bCs/>
                      <w:color w:val="auto"/>
                      <w:sz w:val="18"/>
                      <w:szCs w:val="18"/>
                    </w:rPr>
                    <w:t>名称</w:t>
                  </w:r>
                </w:p>
              </w:tc>
              <w:tc>
                <w:tcPr>
                  <w:tcW w:w="726" w:type="dxa"/>
                  <w:vMerge w:val="restart"/>
                  <w:tcBorders>
                    <w:tl2br w:val="nil"/>
                    <w:tr2bl w:val="nil"/>
                  </w:tcBorders>
                  <w:shd w:val="clear" w:color="auto" w:fill="D7D7D7" w:themeFill="background1" w:themeFillShade="D8"/>
                  <w:noWrap w:val="0"/>
                  <w:vAlign w:val="center"/>
                </w:tcPr>
                <w:p w14:paraId="015E341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形态</w:t>
                  </w:r>
                </w:p>
              </w:tc>
              <w:tc>
                <w:tcPr>
                  <w:tcW w:w="1153" w:type="dxa"/>
                  <w:vMerge w:val="restart"/>
                  <w:tcBorders>
                    <w:tl2br w:val="nil"/>
                    <w:tr2bl w:val="nil"/>
                  </w:tcBorders>
                  <w:shd w:val="clear" w:color="auto" w:fill="D7D7D7" w:themeFill="background1" w:themeFillShade="D8"/>
                  <w:noWrap w:val="0"/>
                  <w:vAlign w:val="center"/>
                </w:tcPr>
                <w:p w14:paraId="26BD37B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规格</w:t>
                  </w:r>
                </w:p>
              </w:tc>
              <w:tc>
                <w:tcPr>
                  <w:tcW w:w="2364" w:type="dxa"/>
                  <w:gridSpan w:val="3"/>
                  <w:tcBorders>
                    <w:tl2br w:val="nil"/>
                    <w:tr2bl w:val="nil"/>
                  </w:tcBorders>
                  <w:shd w:val="clear" w:color="auto" w:fill="D7D7D7" w:themeFill="background1" w:themeFillShade="D8"/>
                  <w:noWrap w:val="0"/>
                  <w:vAlign w:val="center"/>
                </w:tcPr>
                <w:p w14:paraId="16B0FE5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highlight w:val="yellow"/>
                    </w:rPr>
                  </w:pPr>
                  <w:r>
                    <w:rPr>
                      <w:rFonts w:hint="default" w:ascii="Times New Roman" w:hAnsi="Times New Roman" w:eastAsia="宋体" w:cs="Times New Roman"/>
                      <w:b/>
                      <w:bCs/>
                      <w:color w:val="auto"/>
                      <w:sz w:val="18"/>
                      <w:szCs w:val="18"/>
                    </w:rPr>
                    <w:t>年用量t/a</w:t>
                  </w:r>
                </w:p>
              </w:tc>
              <w:tc>
                <w:tcPr>
                  <w:tcW w:w="717" w:type="dxa"/>
                  <w:vMerge w:val="restart"/>
                  <w:tcBorders>
                    <w:tl2br w:val="nil"/>
                    <w:tr2bl w:val="nil"/>
                  </w:tcBorders>
                  <w:shd w:val="clear" w:color="auto" w:fill="D7D7D7" w:themeFill="background1" w:themeFillShade="D8"/>
                  <w:noWrap w:val="0"/>
                  <w:vAlign w:val="center"/>
                </w:tcPr>
                <w:p w14:paraId="0938886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包装储存方式</w:t>
                  </w:r>
                </w:p>
              </w:tc>
              <w:tc>
                <w:tcPr>
                  <w:tcW w:w="589" w:type="dxa"/>
                  <w:vMerge w:val="restart"/>
                  <w:tcBorders>
                    <w:tl2br w:val="nil"/>
                    <w:tr2bl w:val="nil"/>
                  </w:tcBorders>
                  <w:shd w:val="clear" w:color="auto" w:fill="D7D7D7" w:themeFill="background1" w:themeFillShade="D8"/>
                  <w:noWrap w:val="0"/>
                  <w:vAlign w:val="center"/>
                </w:tcPr>
                <w:p w14:paraId="107094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最大储存量t</w:t>
                  </w:r>
                </w:p>
              </w:tc>
              <w:tc>
                <w:tcPr>
                  <w:tcW w:w="750" w:type="dxa"/>
                  <w:vMerge w:val="restart"/>
                  <w:tcBorders>
                    <w:tl2br w:val="nil"/>
                    <w:tr2bl w:val="nil"/>
                  </w:tcBorders>
                  <w:shd w:val="clear" w:color="auto" w:fill="D7D7D7" w:themeFill="background1" w:themeFillShade="D8"/>
                  <w:noWrap w:val="0"/>
                  <w:vAlign w:val="center"/>
                </w:tcPr>
                <w:p w14:paraId="734BFD7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存储位置</w:t>
                  </w:r>
                </w:p>
              </w:tc>
              <w:tc>
                <w:tcPr>
                  <w:tcW w:w="740" w:type="dxa"/>
                  <w:vMerge w:val="restart"/>
                  <w:tcBorders>
                    <w:tl2br w:val="nil"/>
                    <w:tr2bl w:val="nil"/>
                  </w:tcBorders>
                  <w:shd w:val="clear" w:color="auto" w:fill="D7D7D7" w:themeFill="background1" w:themeFillShade="D8"/>
                  <w:noWrap w:val="0"/>
                  <w:vAlign w:val="center"/>
                </w:tcPr>
                <w:p w14:paraId="176F22A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备注</w:t>
                  </w:r>
                </w:p>
              </w:tc>
            </w:tr>
            <w:tr w14:paraId="0C9EB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shd w:val="clear" w:color="auto" w:fill="D7D7D7" w:themeFill="background1" w:themeFillShade="D8"/>
                  <w:noWrap w:val="0"/>
                  <w:vAlign w:val="center"/>
                </w:tcPr>
                <w:p w14:paraId="0644EFF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p>
              </w:tc>
              <w:tc>
                <w:tcPr>
                  <w:tcW w:w="792" w:type="dxa"/>
                  <w:vMerge w:val="continue"/>
                  <w:tcBorders>
                    <w:tl2br w:val="nil"/>
                    <w:tr2bl w:val="nil"/>
                  </w:tcBorders>
                  <w:shd w:val="clear" w:color="auto" w:fill="D7D7D7" w:themeFill="background1" w:themeFillShade="D8"/>
                  <w:noWrap w:val="0"/>
                  <w:vAlign w:val="center"/>
                </w:tcPr>
                <w:p w14:paraId="1AC9CDD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p>
              </w:tc>
              <w:tc>
                <w:tcPr>
                  <w:tcW w:w="726" w:type="dxa"/>
                  <w:vMerge w:val="continue"/>
                  <w:tcBorders>
                    <w:tl2br w:val="nil"/>
                    <w:tr2bl w:val="nil"/>
                  </w:tcBorders>
                  <w:shd w:val="clear" w:color="auto" w:fill="D7D7D7" w:themeFill="background1" w:themeFillShade="D8"/>
                  <w:noWrap w:val="0"/>
                  <w:vAlign w:val="center"/>
                </w:tcPr>
                <w:p w14:paraId="2C2EF0C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p>
              </w:tc>
              <w:tc>
                <w:tcPr>
                  <w:tcW w:w="1153" w:type="dxa"/>
                  <w:vMerge w:val="continue"/>
                  <w:tcBorders>
                    <w:tl2br w:val="nil"/>
                    <w:tr2bl w:val="nil"/>
                  </w:tcBorders>
                  <w:shd w:val="clear" w:color="auto" w:fill="D7D7D7" w:themeFill="background1" w:themeFillShade="D8"/>
                  <w:noWrap w:val="0"/>
                  <w:vAlign w:val="center"/>
                </w:tcPr>
                <w:p w14:paraId="44647F8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rPr>
                  </w:pPr>
                </w:p>
              </w:tc>
              <w:tc>
                <w:tcPr>
                  <w:tcW w:w="666" w:type="dxa"/>
                  <w:tcBorders>
                    <w:tl2br w:val="nil"/>
                    <w:tr2bl w:val="nil"/>
                  </w:tcBorders>
                  <w:shd w:val="clear" w:color="auto" w:fill="D7D7D7" w:themeFill="background1" w:themeFillShade="D8"/>
                  <w:noWrap w:val="0"/>
                  <w:vAlign w:val="center"/>
                </w:tcPr>
                <w:p w14:paraId="70683B0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改建</w:t>
                  </w:r>
                  <w:r>
                    <w:rPr>
                      <w:rFonts w:hint="default" w:ascii="Times New Roman" w:hAnsi="Times New Roman" w:eastAsia="宋体" w:cs="Times New Roman"/>
                      <w:b/>
                      <w:bCs/>
                      <w:color w:val="auto"/>
                      <w:sz w:val="18"/>
                      <w:szCs w:val="18"/>
                      <w:lang w:val="en-US" w:eastAsia="zh-CN"/>
                    </w:rPr>
                    <w:t>前</w:t>
                  </w:r>
                </w:p>
              </w:tc>
              <w:tc>
                <w:tcPr>
                  <w:tcW w:w="804" w:type="dxa"/>
                  <w:tcBorders>
                    <w:tl2br w:val="nil"/>
                    <w:tr2bl w:val="nil"/>
                  </w:tcBorders>
                  <w:shd w:val="clear" w:color="auto" w:fill="D7D7D7" w:themeFill="background1" w:themeFillShade="D8"/>
                  <w:noWrap w:val="0"/>
                  <w:vAlign w:val="center"/>
                </w:tcPr>
                <w:p w14:paraId="6A9845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变化量</w:t>
                  </w:r>
                </w:p>
              </w:tc>
              <w:tc>
                <w:tcPr>
                  <w:tcW w:w="894" w:type="dxa"/>
                  <w:tcBorders>
                    <w:tl2br w:val="nil"/>
                    <w:tr2bl w:val="nil"/>
                  </w:tcBorders>
                  <w:shd w:val="clear" w:color="auto" w:fill="D7D7D7" w:themeFill="background1" w:themeFillShade="D8"/>
                  <w:noWrap w:val="0"/>
                  <w:vAlign w:val="center"/>
                </w:tcPr>
                <w:p w14:paraId="4700BB9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改建</w:t>
                  </w:r>
                  <w:r>
                    <w:rPr>
                      <w:rFonts w:hint="default" w:ascii="Times New Roman" w:hAnsi="Times New Roman" w:eastAsia="宋体" w:cs="Times New Roman"/>
                      <w:b/>
                      <w:bCs/>
                      <w:color w:val="auto"/>
                      <w:sz w:val="18"/>
                      <w:szCs w:val="18"/>
                      <w:lang w:val="en-US" w:eastAsia="zh-CN"/>
                    </w:rPr>
                    <w:t>后</w:t>
                  </w:r>
                </w:p>
              </w:tc>
              <w:tc>
                <w:tcPr>
                  <w:tcW w:w="717" w:type="dxa"/>
                  <w:vMerge w:val="continue"/>
                  <w:tcBorders>
                    <w:tl2br w:val="nil"/>
                    <w:tr2bl w:val="nil"/>
                  </w:tcBorders>
                  <w:shd w:val="clear" w:color="auto" w:fill="D7D7D7" w:themeFill="background1" w:themeFillShade="D8"/>
                  <w:noWrap w:val="0"/>
                  <w:vAlign w:val="center"/>
                </w:tcPr>
                <w:p w14:paraId="16A9000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589" w:type="dxa"/>
                  <w:vMerge w:val="continue"/>
                  <w:tcBorders>
                    <w:tl2br w:val="nil"/>
                    <w:tr2bl w:val="nil"/>
                  </w:tcBorders>
                  <w:shd w:val="clear" w:color="auto" w:fill="D7D7D7" w:themeFill="background1" w:themeFillShade="D8"/>
                  <w:noWrap w:val="0"/>
                  <w:vAlign w:val="center"/>
                </w:tcPr>
                <w:p w14:paraId="658D9A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50" w:type="dxa"/>
                  <w:vMerge w:val="continue"/>
                  <w:tcBorders>
                    <w:tl2br w:val="nil"/>
                    <w:tr2bl w:val="nil"/>
                  </w:tcBorders>
                  <w:shd w:val="clear" w:color="auto" w:fill="D7D7D7" w:themeFill="background1" w:themeFillShade="D8"/>
                  <w:noWrap w:val="0"/>
                  <w:vAlign w:val="center"/>
                </w:tcPr>
                <w:p w14:paraId="4192A1D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40" w:type="dxa"/>
                  <w:vMerge w:val="continue"/>
                  <w:tcBorders>
                    <w:tl2br w:val="nil"/>
                    <w:tr2bl w:val="nil"/>
                  </w:tcBorders>
                  <w:shd w:val="clear" w:color="auto" w:fill="D7D7D7" w:themeFill="background1" w:themeFillShade="D8"/>
                  <w:noWrap w:val="0"/>
                  <w:vAlign w:val="center"/>
                </w:tcPr>
                <w:p w14:paraId="034E86C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r>
            <w:tr w14:paraId="718D3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restart"/>
                  <w:tcBorders>
                    <w:tl2br w:val="nil"/>
                    <w:tr2bl w:val="nil"/>
                  </w:tcBorders>
                  <w:noWrap w:val="0"/>
                  <w:vAlign w:val="center"/>
                </w:tcPr>
                <w:p w14:paraId="29174FA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bookmarkStart w:id="7" w:name="OLE_LINK22" w:colFirst="1" w:colLast="1"/>
                  <w:r>
                    <w:rPr>
                      <w:rFonts w:hint="default" w:ascii="Times New Roman" w:hAnsi="Times New Roman" w:eastAsia="宋体" w:cs="Times New Roman"/>
                      <w:b/>
                      <w:bCs/>
                      <w:color w:val="auto"/>
                      <w:spacing w:val="-1"/>
                      <w:sz w:val="18"/>
                      <w:szCs w:val="18"/>
                      <w:lang w:val="en-US" w:eastAsia="zh-CN"/>
                    </w:rPr>
                    <w:t>特种纳米新材料薄膜</w:t>
                  </w:r>
                </w:p>
              </w:tc>
              <w:tc>
                <w:tcPr>
                  <w:tcW w:w="792" w:type="dxa"/>
                  <w:tcBorders>
                    <w:tl2br w:val="nil"/>
                    <w:tr2bl w:val="nil"/>
                  </w:tcBorders>
                  <w:noWrap w:val="0"/>
                  <w:vAlign w:val="center"/>
                </w:tcPr>
                <w:p w14:paraId="352DB6F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i w:val="0"/>
                      <w:iCs w:val="0"/>
                      <w:color w:val="auto"/>
                      <w:kern w:val="0"/>
                      <w:sz w:val="18"/>
                      <w:szCs w:val="18"/>
                      <w:u w:val="none"/>
                      <w:lang w:val="en-US" w:eastAsia="zh-CN" w:bidi="ar"/>
                    </w:rPr>
                    <w:t>Nb靶材</w:t>
                  </w:r>
                </w:p>
              </w:tc>
              <w:tc>
                <w:tcPr>
                  <w:tcW w:w="726" w:type="dxa"/>
                  <w:tcBorders>
                    <w:tl2br w:val="nil"/>
                    <w:tr2bl w:val="nil"/>
                  </w:tcBorders>
                  <w:noWrap w:val="0"/>
                  <w:vAlign w:val="center"/>
                </w:tcPr>
                <w:p w14:paraId="4439AA9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163804B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铌≥99.9%</w:t>
                  </w:r>
                </w:p>
              </w:tc>
              <w:tc>
                <w:tcPr>
                  <w:tcW w:w="666" w:type="dxa"/>
                  <w:tcBorders>
                    <w:tl2br w:val="nil"/>
                    <w:tr2bl w:val="nil"/>
                  </w:tcBorders>
                  <w:noWrap w:val="0"/>
                  <w:vAlign w:val="center"/>
                </w:tcPr>
                <w:p w14:paraId="185E02F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804" w:type="dxa"/>
                  <w:tcBorders>
                    <w:tl2br w:val="nil"/>
                    <w:tr2bl w:val="nil"/>
                  </w:tcBorders>
                  <w:noWrap w:val="0"/>
                  <w:vAlign w:val="center"/>
                </w:tcPr>
                <w:p w14:paraId="3330D8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i w:val="0"/>
                      <w:iCs w:val="0"/>
                      <w:color w:val="auto"/>
                      <w:kern w:val="0"/>
                      <w:sz w:val="18"/>
                      <w:szCs w:val="18"/>
                      <w:highlight w:val="none"/>
                      <w:u w:val="none"/>
                      <w:lang w:val="en-US" w:eastAsia="zh-CN" w:bidi="ar"/>
                    </w:rPr>
                    <w:t>12</w:t>
                  </w:r>
                </w:p>
              </w:tc>
              <w:tc>
                <w:tcPr>
                  <w:tcW w:w="894" w:type="dxa"/>
                  <w:tcBorders>
                    <w:tl2br w:val="nil"/>
                    <w:tr2bl w:val="nil"/>
                  </w:tcBorders>
                  <w:noWrap w:val="0"/>
                  <w:vAlign w:val="center"/>
                </w:tcPr>
                <w:p w14:paraId="63F497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lang w:val="en-US"/>
                    </w:rPr>
                  </w:pPr>
                  <w:r>
                    <w:rPr>
                      <w:rFonts w:hint="eastAsia" w:cs="Times New Roman"/>
                      <w:i w:val="0"/>
                      <w:iCs w:val="0"/>
                      <w:color w:val="auto"/>
                      <w:kern w:val="0"/>
                      <w:sz w:val="18"/>
                      <w:szCs w:val="18"/>
                      <w:highlight w:val="none"/>
                      <w:u w:val="none"/>
                      <w:lang w:val="en-US" w:eastAsia="zh-CN" w:bidi="ar"/>
                    </w:rPr>
                    <w:t>12</w:t>
                  </w:r>
                </w:p>
              </w:tc>
              <w:tc>
                <w:tcPr>
                  <w:tcW w:w="717" w:type="dxa"/>
                  <w:tcBorders>
                    <w:tl2br w:val="nil"/>
                    <w:tr2bl w:val="nil"/>
                  </w:tcBorders>
                  <w:noWrap w:val="0"/>
                  <w:vAlign w:val="center"/>
                </w:tcPr>
                <w:p w14:paraId="421D7B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机器内部</w:t>
                  </w:r>
                </w:p>
              </w:tc>
              <w:tc>
                <w:tcPr>
                  <w:tcW w:w="589" w:type="dxa"/>
                  <w:tcBorders>
                    <w:tl2br w:val="nil"/>
                    <w:tr2bl w:val="nil"/>
                  </w:tcBorders>
                  <w:noWrap w:val="0"/>
                  <w:vAlign w:val="center"/>
                </w:tcPr>
                <w:p w14:paraId="41A4AA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i w:val="0"/>
                      <w:iCs w:val="0"/>
                      <w:color w:val="auto"/>
                      <w:kern w:val="0"/>
                      <w:sz w:val="18"/>
                      <w:szCs w:val="18"/>
                      <w:highlight w:val="none"/>
                      <w:u w:val="none"/>
                      <w:lang w:val="en-US" w:eastAsia="zh-CN" w:bidi="ar"/>
                    </w:rPr>
                    <w:t>0.6</w:t>
                  </w:r>
                </w:p>
              </w:tc>
              <w:tc>
                <w:tcPr>
                  <w:tcW w:w="750" w:type="dxa"/>
                  <w:tcBorders>
                    <w:tl2br w:val="nil"/>
                    <w:tr2bl w:val="nil"/>
                  </w:tcBorders>
                  <w:noWrap w:val="0"/>
                  <w:vAlign w:val="center"/>
                </w:tcPr>
                <w:p w14:paraId="36EB76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磁控</w:t>
                  </w:r>
                  <w:r>
                    <w:rPr>
                      <w:rFonts w:hint="eastAsia" w:cs="Times New Roman"/>
                      <w:b w:val="0"/>
                      <w:bCs w:val="0"/>
                      <w:color w:val="auto"/>
                      <w:sz w:val="18"/>
                      <w:szCs w:val="18"/>
                      <w:highlight w:val="none"/>
                      <w:lang w:val="en-US" w:eastAsia="zh-CN"/>
                    </w:rPr>
                    <w:t>设备内部</w:t>
                  </w:r>
                </w:p>
              </w:tc>
              <w:tc>
                <w:tcPr>
                  <w:tcW w:w="740" w:type="dxa"/>
                  <w:tcBorders>
                    <w:tl2br w:val="nil"/>
                    <w:tr2bl w:val="nil"/>
                  </w:tcBorders>
                  <w:noWrap w:val="0"/>
                  <w:vAlign w:val="center"/>
                </w:tcPr>
                <w:p w14:paraId="398796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29F7F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7F2225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p>
              </w:tc>
              <w:tc>
                <w:tcPr>
                  <w:tcW w:w="792" w:type="dxa"/>
                  <w:tcBorders>
                    <w:tl2br w:val="nil"/>
                    <w:tr2bl w:val="nil"/>
                  </w:tcBorders>
                  <w:noWrap w:val="0"/>
                  <w:vAlign w:val="center"/>
                </w:tcPr>
                <w:p w14:paraId="2EE9979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i w:val="0"/>
                      <w:iCs w:val="0"/>
                      <w:color w:val="auto"/>
                      <w:kern w:val="0"/>
                      <w:sz w:val="18"/>
                      <w:szCs w:val="18"/>
                      <w:u w:val="none"/>
                      <w:lang w:val="en-US" w:eastAsia="zh-CN" w:bidi="ar"/>
                    </w:rPr>
                    <w:t>NiCr靶材</w:t>
                  </w:r>
                </w:p>
              </w:tc>
              <w:tc>
                <w:tcPr>
                  <w:tcW w:w="726" w:type="dxa"/>
                  <w:tcBorders>
                    <w:tl2br w:val="nil"/>
                    <w:tr2bl w:val="nil"/>
                  </w:tcBorders>
                  <w:noWrap w:val="0"/>
                  <w:vAlign w:val="center"/>
                </w:tcPr>
                <w:p w14:paraId="643757E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25B2D3B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镍50%、铬50%</w:t>
                  </w:r>
                </w:p>
              </w:tc>
              <w:tc>
                <w:tcPr>
                  <w:tcW w:w="666" w:type="dxa"/>
                  <w:tcBorders>
                    <w:tl2br w:val="nil"/>
                    <w:tr2bl w:val="nil"/>
                  </w:tcBorders>
                  <w:noWrap w:val="0"/>
                  <w:vAlign w:val="center"/>
                </w:tcPr>
                <w:p w14:paraId="469D479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804" w:type="dxa"/>
                  <w:tcBorders>
                    <w:tl2br w:val="nil"/>
                    <w:tr2bl w:val="nil"/>
                  </w:tcBorders>
                  <w:noWrap w:val="0"/>
                  <w:vAlign w:val="center"/>
                </w:tcPr>
                <w:p w14:paraId="087692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rPr>
                  </w:pPr>
                  <w:r>
                    <w:rPr>
                      <w:rFonts w:hint="eastAsia" w:cs="Times New Roman"/>
                      <w:i w:val="0"/>
                      <w:iCs w:val="0"/>
                      <w:color w:val="auto"/>
                      <w:kern w:val="0"/>
                      <w:sz w:val="18"/>
                      <w:szCs w:val="18"/>
                      <w:highlight w:val="none"/>
                      <w:u w:val="none"/>
                      <w:lang w:val="en-US" w:eastAsia="zh-CN" w:bidi="ar"/>
                    </w:rPr>
                    <w:t>2</w:t>
                  </w:r>
                </w:p>
              </w:tc>
              <w:tc>
                <w:tcPr>
                  <w:tcW w:w="894" w:type="dxa"/>
                  <w:tcBorders>
                    <w:tl2br w:val="nil"/>
                    <w:tr2bl w:val="nil"/>
                  </w:tcBorders>
                  <w:noWrap w:val="0"/>
                  <w:vAlign w:val="center"/>
                </w:tcPr>
                <w:p w14:paraId="489ECA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rPr>
                  </w:pPr>
                  <w:r>
                    <w:rPr>
                      <w:rFonts w:hint="eastAsia" w:cs="Times New Roman"/>
                      <w:i w:val="0"/>
                      <w:iCs w:val="0"/>
                      <w:color w:val="auto"/>
                      <w:kern w:val="0"/>
                      <w:sz w:val="18"/>
                      <w:szCs w:val="18"/>
                      <w:highlight w:val="none"/>
                      <w:u w:val="none"/>
                      <w:lang w:val="en-US" w:eastAsia="zh-CN" w:bidi="ar"/>
                    </w:rPr>
                    <w:t>2</w:t>
                  </w:r>
                </w:p>
              </w:tc>
              <w:tc>
                <w:tcPr>
                  <w:tcW w:w="717" w:type="dxa"/>
                  <w:tcBorders>
                    <w:tl2br w:val="nil"/>
                    <w:tr2bl w:val="nil"/>
                  </w:tcBorders>
                  <w:noWrap w:val="0"/>
                  <w:vAlign w:val="center"/>
                </w:tcPr>
                <w:p w14:paraId="31240D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机器内部</w:t>
                  </w:r>
                </w:p>
              </w:tc>
              <w:tc>
                <w:tcPr>
                  <w:tcW w:w="589" w:type="dxa"/>
                  <w:tcBorders>
                    <w:tl2br w:val="nil"/>
                    <w:tr2bl w:val="nil"/>
                  </w:tcBorders>
                  <w:noWrap w:val="0"/>
                  <w:vAlign w:val="center"/>
                </w:tcPr>
                <w:p w14:paraId="6BBD9C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cs="Times New Roman"/>
                      <w:i w:val="0"/>
                      <w:iCs w:val="0"/>
                      <w:color w:val="auto"/>
                      <w:kern w:val="0"/>
                      <w:sz w:val="18"/>
                      <w:szCs w:val="18"/>
                      <w:highlight w:val="none"/>
                      <w:u w:val="none"/>
                      <w:lang w:val="en-US" w:eastAsia="zh-CN" w:bidi="ar"/>
                    </w:rPr>
                    <w:t>1</w:t>
                  </w:r>
                </w:p>
              </w:tc>
              <w:tc>
                <w:tcPr>
                  <w:tcW w:w="750" w:type="dxa"/>
                  <w:tcBorders>
                    <w:tl2br w:val="nil"/>
                    <w:tr2bl w:val="nil"/>
                  </w:tcBorders>
                  <w:noWrap w:val="0"/>
                  <w:vAlign w:val="center"/>
                </w:tcPr>
                <w:p w14:paraId="765F5C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磁控</w:t>
                  </w:r>
                  <w:r>
                    <w:rPr>
                      <w:rFonts w:hint="eastAsia" w:cs="Times New Roman"/>
                      <w:b w:val="0"/>
                      <w:bCs w:val="0"/>
                      <w:color w:val="auto"/>
                      <w:sz w:val="18"/>
                      <w:szCs w:val="18"/>
                      <w:highlight w:val="none"/>
                      <w:lang w:val="en-US" w:eastAsia="zh-CN"/>
                    </w:rPr>
                    <w:t>设备内部</w:t>
                  </w:r>
                </w:p>
              </w:tc>
              <w:tc>
                <w:tcPr>
                  <w:tcW w:w="740" w:type="dxa"/>
                  <w:tcBorders>
                    <w:tl2br w:val="nil"/>
                    <w:tr2bl w:val="nil"/>
                  </w:tcBorders>
                  <w:noWrap w:val="0"/>
                  <w:vAlign w:val="center"/>
                </w:tcPr>
                <w:p w14:paraId="5CDDA2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157DC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1A94222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p>
              </w:tc>
              <w:tc>
                <w:tcPr>
                  <w:tcW w:w="792" w:type="dxa"/>
                  <w:tcBorders>
                    <w:tl2br w:val="nil"/>
                    <w:tr2bl w:val="nil"/>
                  </w:tcBorders>
                  <w:noWrap w:val="0"/>
                  <w:vAlign w:val="center"/>
                </w:tcPr>
                <w:p w14:paraId="0099DFD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i w:val="0"/>
                      <w:iCs w:val="0"/>
                      <w:color w:val="auto"/>
                      <w:kern w:val="0"/>
                      <w:sz w:val="18"/>
                      <w:szCs w:val="18"/>
                      <w:u w:val="none"/>
                      <w:lang w:val="en-US" w:eastAsia="zh-CN" w:bidi="ar"/>
                    </w:rPr>
                    <w:t>AZO靶材</w:t>
                  </w:r>
                </w:p>
              </w:tc>
              <w:tc>
                <w:tcPr>
                  <w:tcW w:w="726" w:type="dxa"/>
                  <w:tcBorders>
                    <w:tl2br w:val="nil"/>
                    <w:tr2bl w:val="nil"/>
                  </w:tcBorders>
                  <w:noWrap w:val="0"/>
                  <w:vAlign w:val="center"/>
                </w:tcPr>
                <w:p w14:paraId="23A6E8F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7A25E8B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氧化锌</w:t>
                  </w:r>
                  <w:r>
                    <w:rPr>
                      <w:rFonts w:hint="eastAsia" w:cs="Times New Roman"/>
                      <w:b w:val="0"/>
                      <w:bCs w:val="0"/>
                      <w:color w:val="auto"/>
                      <w:sz w:val="18"/>
                      <w:szCs w:val="18"/>
                      <w:highlight w:val="none"/>
                      <w:lang w:val="en-US" w:eastAsia="zh-CN"/>
                    </w:rPr>
                    <w:t>98</w:t>
                  </w:r>
                  <w:r>
                    <w:rPr>
                      <w:rFonts w:hint="default" w:ascii="Times New Roman" w:hAnsi="Times New Roman" w:eastAsia="宋体" w:cs="Times New Roman"/>
                      <w:b w:val="0"/>
                      <w:bCs w:val="0"/>
                      <w:color w:val="auto"/>
                      <w:sz w:val="18"/>
                      <w:szCs w:val="18"/>
                      <w:highlight w:val="none"/>
                      <w:lang w:val="en-US" w:eastAsia="zh-CN"/>
                    </w:rPr>
                    <w:t>%、铝</w:t>
                  </w:r>
                  <w:r>
                    <w:rPr>
                      <w:rFonts w:hint="eastAsia" w:cs="Times New Roman"/>
                      <w:b w:val="0"/>
                      <w:bCs w:val="0"/>
                      <w:color w:val="auto"/>
                      <w:sz w:val="18"/>
                      <w:szCs w:val="18"/>
                      <w:highlight w:val="none"/>
                      <w:lang w:val="en-US" w:eastAsia="zh-CN"/>
                    </w:rPr>
                    <w:t>2</w:t>
                  </w:r>
                  <w:r>
                    <w:rPr>
                      <w:rFonts w:hint="default" w:ascii="Times New Roman" w:hAnsi="Times New Roman" w:eastAsia="宋体" w:cs="Times New Roman"/>
                      <w:b w:val="0"/>
                      <w:bCs w:val="0"/>
                      <w:color w:val="auto"/>
                      <w:sz w:val="18"/>
                      <w:szCs w:val="18"/>
                      <w:highlight w:val="none"/>
                      <w:lang w:val="en-US" w:eastAsia="zh-CN"/>
                    </w:rPr>
                    <w:t>%</w:t>
                  </w:r>
                </w:p>
              </w:tc>
              <w:tc>
                <w:tcPr>
                  <w:tcW w:w="666" w:type="dxa"/>
                  <w:tcBorders>
                    <w:tl2br w:val="nil"/>
                    <w:tr2bl w:val="nil"/>
                  </w:tcBorders>
                  <w:noWrap w:val="0"/>
                  <w:vAlign w:val="center"/>
                </w:tcPr>
                <w:p w14:paraId="06E11D9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804" w:type="dxa"/>
                  <w:tcBorders>
                    <w:tl2br w:val="nil"/>
                    <w:tr2bl w:val="nil"/>
                  </w:tcBorders>
                  <w:noWrap w:val="0"/>
                  <w:vAlign w:val="center"/>
                </w:tcPr>
                <w:p w14:paraId="01B6A7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rPr>
                  </w:pPr>
                  <w:r>
                    <w:rPr>
                      <w:rFonts w:hint="eastAsia" w:cs="Times New Roman"/>
                      <w:i w:val="0"/>
                      <w:iCs w:val="0"/>
                      <w:color w:val="auto"/>
                      <w:kern w:val="0"/>
                      <w:sz w:val="18"/>
                      <w:szCs w:val="18"/>
                      <w:highlight w:val="none"/>
                      <w:u w:val="none"/>
                      <w:lang w:val="en-US" w:eastAsia="zh-CN" w:bidi="ar"/>
                    </w:rPr>
                    <w:t>2</w:t>
                  </w:r>
                </w:p>
              </w:tc>
              <w:tc>
                <w:tcPr>
                  <w:tcW w:w="894" w:type="dxa"/>
                  <w:tcBorders>
                    <w:tl2br w:val="nil"/>
                    <w:tr2bl w:val="nil"/>
                  </w:tcBorders>
                  <w:noWrap w:val="0"/>
                  <w:vAlign w:val="center"/>
                </w:tcPr>
                <w:p w14:paraId="4CAAF9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rPr>
                  </w:pPr>
                  <w:r>
                    <w:rPr>
                      <w:rFonts w:hint="eastAsia" w:cs="Times New Roman"/>
                      <w:i w:val="0"/>
                      <w:iCs w:val="0"/>
                      <w:color w:val="auto"/>
                      <w:kern w:val="0"/>
                      <w:sz w:val="18"/>
                      <w:szCs w:val="18"/>
                      <w:highlight w:val="none"/>
                      <w:u w:val="none"/>
                      <w:lang w:val="en-US" w:eastAsia="zh-CN" w:bidi="ar"/>
                    </w:rPr>
                    <w:t>2</w:t>
                  </w:r>
                </w:p>
              </w:tc>
              <w:tc>
                <w:tcPr>
                  <w:tcW w:w="717" w:type="dxa"/>
                  <w:tcBorders>
                    <w:tl2br w:val="nil"/>
                    <w:tr2bl w:val="nil"/>
                  </w:tcBorders>
                  <w:noWrap w:val="0"/>
                  <w:vAlign w:val="center"/>
                </w:tcPr>
                <w:p w14:paraId="49A4A4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机器内部</w:t>
                  </w:r>
                </w:p>
              </w:tc>
              <w:tc>
                <w:tcPr>
                  <w:tcW w:w="589" w:type="dxa"/>
                  <w:tcBorders>
                    <w:tl2br w:val="nil"/>
                    <w:tr2bl w:val="nil"/>
                  </w:tcBorders>
                  <w:noWrap w:val="0"/>
                  <w:vAlign w:val="center"/>
                </w:tcPr>
                <w:p w14:paraId="7844D9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i w:val="0"/>
                      <w:iCs w:val="0"/>
                      <w:color w:val="auto"/>
                      <w:kern w:val="0"/>
                      <w:sz w:val="18"/>
                      <w:szCs w:val="18"/>
                      <w:highlight w:val="none"/>
                      <w:u w:val="none"/>
                      <w:lang w:val="en-US" w:eastAsia="zh-CN" w:bidi="ar"/>
                    </w:rPr>
                    <w:t>0.1</w:t>
                  </w:r>
                </w:p>
              </w:tc>
              <w:tc>
                <w:tcPr>
                  <w:tcW w:w="750" w:type="dxa"/>
                  <w:tcBorders>
                    <w:tl2br w:val="nil"/>
                    <w:tr2bl w:val="nil"/>
                  </w:tcBorders>
                  <w:noWrap w:val="0"/>
                  <w:vAlign w:val="center"/>
                </w:tcPr>
                <w:p w14:paraId="5421FD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磁控</w:t>
                  </w:r>
                  <w:r>
                    <w:rPr>
                      <w:rFonts w:hint="eastAsia" w:cs="Times New Roman"/>
                      <w:b w:val="0"/>
                      <w:bCs w:val="0"/>
                      <w:color w:val="auto"/>
                      <w:sz w:val="18"/>
                      <w:szCs w:val="18"/>
                      <w:highlight w:val="none"/>
                      <w:lang w:val="en-US" w:eastAsia="zh-CN"/>
                    </w:rPr>
                    <w:t>设备内部</w:t>
                  </w:r>
                </w:p>
              </w:tc>
              <w:tc>
                <w:tcPr>
                  <w:tcW w:w="740" w:type="dxa"/>
                  <w:tcBorders>
                    <w:tl2br w:val="nil"/>
                    <w:tr2bl w:val="nil"/>
                  </w:tcBorders>
                  <w:noWrap w:val="0"/>
                  <w:vAlign w:val="center"/>
                </w:tcPr>
                <w:p w14:paraId="2FDAE6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3C098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2208CDB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p>
              </w:tc>
              <w:tc>
                <w:tcPr>
                  <w:tcW w:w="792" w:type="dxa"/>
                  <w:tcBorders>
                    <w:tl2br w:val="nil"/>
                    <w:tr2bl w:val="nil"/>
                  </w:tcBorders>
                  <w:noWrap w:val="0"/>
                  <w:vAlign w:val="center"/>
                </w:tcPr>
                <w:p w14:paraId="2E5F784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i w:val="0"/>
                      <w:iCs w:val="0"/>
                      <w:color w:val="auto"/>
                      <w:kern w:val="0"/>
                      <w:sz w:val="18"/>
                      <w:szCs w:val="18"/>
                      <w:u w:val="none"/>
                      <w:lang w:val="en-US" w:eastAsia="zh-CN" w:bidi="ar"/>
                    </w:rPr>
                    <w:t>合金靶材</w:t>
                  </w:r>
                </w:p>
              </w:tc>
              <w:tc>
                <w:tcPr>
                  <w:tcW w:w="726" w:type="dxa"/>
                  <w:tcBorders>
                    <w:tl2br w:val="nil"/>
                    <w:tr2bl w:val="nil"/>
                  </w:tcBorders>
                  <w:noWrap w:val="0"/>
                  <w:vAlign w:val="center"/>
                </w:tcPr>
                <w:p w14:paraId="2F3E65F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56332DA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铝</w:t>
                  </w:r>
                  <w:r>
                    <w:rPr>
                      <w:rFonts w:hint="eastAsia" w:cs="Times New Roman"/>
                      <w:b w:val="0"/>
                      <w:bCs w:val="0"/>
                      <w:i w:val="0"/>
                      <w:iCs w:val="0"/>
                      <w:color w:val="auto"/>
                      <w:kern w:val="0"/>
                      <w:sz w:val="18"/>
                      <w:szCs w:val="18"/>
                      <w:highlight w:val="none"/>
                      <w:u w:val="none"/>
                      <w:lang w:val="en-US" w:eastAsia="zh-CN" w:bidi="ar"/>
                    </w:rPr>
                    <w:t>1</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0%、</w:t>
                  </w:r>
                  <w:r>
                    <w:rPr>
                      <w:rFonts w:hint="eastAsia" w:cs="Times New Roman"/>
                      <w:b w:val="0"/>
                      <w:bCs w:val="0"/>
                      <w:i w:val="0"/>
                      <w:iCs w:val="0"/>
                      <w:color w:val="auto"/>
                      <w:kern w:val="0"/>
                      <w:sz w:val="18"/>
                      <w:szCs w:val="18"/>
                      <w:highlight w:val="none"/>
                      <w:u w:val="none"/>
                      <w:lang w:val="en-US" w:eastAsia="zh-CN" w:bidi="ar"/>
                    </w:rPr>
                    <w:t>银90%</w:t>
                  </w:r>
                </w:p>
              </w:tc>
              <w:tc>
                <w:tcPr>
                  <w:tcW w:w="666" w:type="dxa"/>
                  <w:tcBorders>
                    <w:tl2br w:val="nil"/>
                    <w:tr2bl w:val="nil"/>
                  </w:tcBorders>
                  <w:noWrap w:val="0"/>
                  <w:vAlign w:val="center"/>
                </w:tcPr>
                <w:p w14:paraId="0258682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804" w:type="dxa"/>
                  <w:tcBorders>
                    <w:tl2br w:val="nil"/>
                    <w:tr2bl w:val="nil"/>
                  </w:tcBorders>
                  <w:noWrap w:val="0"/>
                  <w:vAlign w:val="center"/>
                </w:tcPr>
                <w:p w14:paraId="61F8C0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lang w:val="en-US"/>
                    </w:rPr>
                  </w:pPr>
                  <w:r>
                    <w:rPr>
                      <w:rFonts w:hint="eastAsia" w:cs="Times New Roman"/>
                      <w:i w:val="0"/>
                      <w:iCs w:val="0"/>
                      <w:color w:val="auto"/>
                      <w:kern w:val="0"/>
                      <w:sz w:val="18"/>
                      <w:szCs w:val="18"/>
                      <w:highlight w:val="none"/>
                      <w:u w:val="none"/>
                      <w:lang w:val="en-US" w:eastAsia="zh-CN" w:bidi="ar"/>
                    </w:rPr>
                    <w:t>0.8</w:t>
                  </w:r>
                </w:p>
              </w:tc>
              <w:tc>
                <w:tcPr>
                  <w:tcW w:w="894" w:type="dxa"/>
                  <w:tcBorders>
                    <w:tl2br w:val="nil"/>
                    <w:tr2bl w:val="nil"/>
                  </w:tcBorders>
                  <w:noWrap w:val="0"/>
                  <w:vAlign w:val="center"/>
                </w:tcPr>
                <w:p w14:paraId="6DD4D0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lang w:val="en-US"/>
                    </w:rPr>
                  </w:pPr>
                  <w:r>
                    <w:rPr>
                      <w:rFonts w:hint="eastAsia" w:cs="Times New Roman"/>
                      <w:i w:val="0"/>
                      <w:iCs w:val="0"/>
                      <w:color w:val="auto"/>
                      <w:kern w:val="0"/>
                      <w:sz w:val="18"/>
                      <w:szCs w:val="18"/>
                      <w:highlight w:val="none"/>
                      <w:u w:val="none"/>
                      <w:lang w:val="en-US" w:eastAsia="zh-CN" w:bidi="ar"/>
                    </w:rPr>
                    <w:t>0.8</w:t>
                  </w:r>
                </w:p>
              </w:tc>
              <w:tc>
                <w:tcPr>
                  <w:tcW w:w="717" w:type="dxa"/>
                  <w:tcBorders>
                    <w:tl2br w:val="nil"/>
                    <w:tr2bl w:val="nil"/>
                  </w:tcBorders>
                  <w:noWrap w:val="0"/>
                  <w:vAlign w:val="center"/>
                </w:tcPr>
                <w:p w14:paraId="5A9629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机器内部</w:t>
                  </w:r>
                </w:p>
              </w:tc>
              <w:tc>
                <w:tcPr>
                  <w:tcW w:w="589" w:type="dxa"/>
                  <w:tcBorders>
                    <w:tl2br w:val="nil"/>
                    <w:tr2bl w:val="nil"/>
                  </w:tcBorders>
                  <w:noWrap w:val="0"/>
                  <w:vAlign w:val="center"/>
                </w:tcPr>
                <w:p w14:paraId="1A27CE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i w:val="0"/>
                      <w:iCs w:val="0"/>
                      <w:color w:val="auto"/>
                      <w:kern w:val="0"/>
                      <w:sz w:val="18"/>
                      <w:szCs w:val="18"/>
                      <w:highlight w:val="none"/>
                      <w:u w:val="none"/>
                      <w:lang w:val="en-US" w:eastAsia="zh-CN" w:bidi="ar"/>
                    </w:rPr>
                    <w:t>0.04</w:t>
                  </w:r>
                </w:p>
              </w:tc>
              <w:tc>
                <w:tcPr>
                  <w:tcW w:w="750" w:type="dxa"/>
                  <w:tcBorders>
                    <w:tl2br w:val="nil"/>
                    <w:tr2bl w:val="nil"/>
                  </w:tcBorders>
                  <w:noWrap w:val="0"/>
                  <w:vAlign w:val="center"/>
                </w:tcPr>
                <w:p w14:paraId="3B5891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磁控</w:t>
                  </w:r>
                  <w:r>
                    <w:rPr>
                      <w:rFonts w:hint="eastAsia" w:cs="Times New Roman"/>
                      <w:b w:val="0"/>
                      <w:bCs w:val="0"/>
                      <w:color w:val="auto"/>
                      <w:sz w:val="18"/>
                      <w:szCs w:val="18"/>
                      <w:highlight w:val="none"/>
                      <w:lang w:val="en-US" w:eastAsia="zh-CN"/>
                    </w:rPr>
                    <w:t>设备内部</w:t>
                  </w:r>
                </w:p>
              </w:tc>
              <w:tc>
                <w:tcPr>
                  <w:tcW w:w="740" w:type="dxa"/>
                  <w:tcBorders>
                    <w:tl2br w:val="nil"/>
                    <w:tr2bl w:val="nil"/>
                  </w:tcBorders>
                  <w:noWrap w:val="0"/>
                  <w:vAlign w:val="center"/>
                </w:tcPr>
                <w:p w14:paraId="235951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1F8F4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4035059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p>
              </w:tc>
              <w:tc>
                <w:tcPr>
                  <w:tcW w:w="792" w:type="dxa"/>
                  <w:tcBorders>
                    <w:tl2br w:val="nil"/>
                    <w:tr2bl w:val="nil"/>
                  </w:tcBorders>
                  <w:noWrap w:val="0"/>
                  <w:vAlign w:val="center"/>
                </w:tcPr>
                <w:p w14:paraId="7D4E166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i w:val="0"/>
                      <w:iCs w:val="0"/>
                      <w:color w:val="auto"/>
                      <w:kern w:val="0"/>
                      <w:sz w:val="18"/>
                      <w:szCs w:val="18"/>
                      <w:u w:val="none"/>
                      <w:lang w:val="en-US" w:eastAsia="zh-CN" w:bidi="ar"/>
                    </w:rPr>
                    <w:t>SiO靶材</w:t>
                  </w:r>
                </w:p>
              </w:tc>
              <w:tc>
                <w:tcPr>
                  <w:tcW w:w="726" w:type="dxa"/>
                  <w:tcBorders>
                    <w:tl2br w:val="nil"/>
                    <w:tr2bl w:val="nil"/>
                  </w:tcBorders>
                  <w:noWrap w:val="0"/>
                  <w:vAlign w:val="center"/>
                </w:tcPr>
                <w:p w14:paraId="311D011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4A2EEA2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一氧化硅</w:t>
                  </w:r>
                  <w:r>
                    <w:rPr>
                      <w:rFonts w:hint="default" w:ascii="Times New Roman" w:hAnsi="Times New Roman" w:eastAsia="宋体" w:cs="Times New Roman"/>
                      <w:b w:val="0"/>
                      <w:bCs w:val="0"/>
                      <w:color w:val="auto"/>
                      <w:sz w:val="18"/>
                      <w:szCs w:val="18"/>
                      <w:highlight w:val="none"/>
                      <w:lang w:val="en-US" w:eastAsia="zh-CN"/>
                    </w:rPr>
                    <w:t>≥99.9%</w:t>
                  </w:r>
                </w:p>
              </w:tc>
              <w:tc>
                <w:tcPr>
                  <w:tcW w:w="666" w:type="dxa"/>
                  <w:tcBorders>
                    <w:tl2br w:val="nil"/>
                    <w:tr2bl w:val="nil"/>
                  </w:tcBorders>
                  <w:noWrap w:val="0"/>
                  <w:vAlign w:val="center"/>
                </w:tcPr>
                <w:p w14:paraId="2C49A38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804" w:type="dxa"/>
                  <w:tcBorders>
                    <w:tl2br w:val="nil"/>
                    <w:tr2bl w:val="nil"/>
                  </w:tcBorders>
                  <w:noWrap w:val="0"/>
                  <w:vAlign w:val="center"/>
                </w:tcPr>
                <w:p w14:paraId="64E713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rPr>
                  </w:pPr>
                  <w:r>
                    <w:rPr>
                      <w:rFonts w:hint="eastAsia" w:cs="Times New Roman"/>
                      <w:i w:val="0"/>
                      <w:iCs w:val="0"/>
                      <w:color w:val="auto"/>
                      <w:kern w:val="0"/>
                      <w:sz w:val="18"/>
                      <w:szCs w:val="18"/>
                      <w:highlight w:val="none"/>
                      <w:u w:val="none"/>
                      <w:lang w:val="en-US" w:eastAsia="zh-CN" w:bidi="ar"/>
                    </w:rPr>
                    <w:t>1</w:t>
                  </w:r>
                </w:p>
              </w:tc>
              <w:tc>
                <w:tcPr>
                  <w:tcW w:w="894" w:type="dxa"/>
                  <w:tcBorders>
                    <w:tl2br w:val="nil"/>
                    <w:tr2bl w:val="nil"/>
                  </w:tcBorders>
                  <w:noWrap w:val="0"/>
                  <w:vAlign w:val="center"/>
                </w:tcPr>
                <w:p w14:paraId="03B1C7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rPr>
                  </w:pPr>
                  <w:r>
                    <w:rPr>
                      <w:rFonts w:hint="eastAsia" w:cs="Times New Roman"/>
                      <w:i w:val="0"/>
                      <w:iCs w:val="0"/>
                      <w:color w:val="auto"/>
                      <w:kern w:val="0"/>
                      <w:sz w:val="18"/>
                      <w:szCs w:val="18"/>
                      <w:highlight w:val="none"/>
                      <w:u w:val="none"/>
                      <w:lang w:val="en-US" w:eastAsia="zh-CN" w:bidi="ar"/>
                    </w:rPr>
                    <w:t>1</w:t>
                  </w:r>
                </w:p>
              </w:tc>
              <w:tc>
                <w:tcPr>
                  <w:tcW w:w="717" w:type="dxa"/>
                  <w:tcBorders>
                    <w:tl2br w:val="nil"/>
                    <w:tr2bl w:val="nil"/>
                  </w:tcBorders>
                  <w:noWrap w:val="0"/>
                  <w:vAlign w:val="center"/>
                </w:tcPr>
                <w:p w14:paraId="14075A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机器内部</w:t>
                  </w:r>
                </w:p>
              </w:tc>
              <w:tc>
                <w:tcPr>
                  <w:tcW w:w="589" w:type="dxa"/>
                  <w:tcBorders>
                    <w:tl2br w:val="nil"/>
                    <w:tr2bl w:val="nil"/>
                  </w:tcBorders>
                  <w:noWrap w:val="0"/>
                  <w:vAlign w:val="center"/>
                </w:tcPr>
                <w:p w14:paraId="4CC39E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i w:val="0"/>
                      <w:iCs w:val="0"/>
                      <w:color w:val="auto"/>
                      <w:kern w:val="0"/>
                      <w:sz w:val="18"/>
                      <w:szCs w:val="18"/>
                      <w:highlight w:val="none"/>
                      <w:u w:val="none"/>
                      <w:lang w:val="en-US" w:eastAsia="zh-CN" w:bidi="ar"/>
                    </w:rPr>
                    <w:t>0.05</w:t>
                  </w:r>
                </w:p>
              </w:tc>
              <w:tc>
                <w:tcPr>
                  <w:tcW w:w="750" w:type="dxa"/>
                  <w:tcBorders>
                    <w:tl2br w:val="nil"/>
                    <w:tr2bl w:val="nil"/>
                  </w:tcBorders>
                  <w:noWrap w:val="0"/>
                  <w:vAlign w:val="center"/>
                </w:tcPr>
                <w:p w14:paraId="47A7D9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磁控</w:t>
                  </w:r>
                  <w:r>
                    <w:rPr>
                      <w:rFonts w:hint="eastAsia" w:cs="Times New Roman"/>
                      <w:b w:val="0"/>
                      <w:bCs w:val="0"/>
                      <w:color w:val="auto"/>
                      <w:sz w:val="18"/>
                      <w:szCs w:val="18"/>
                      <w:highlight w:val="none"/>
                      <w:lang w:val="en-US" w:eastAsia="zh-CN"/>
                    </w:rPr>
                    <w:t>设备内部</w:t>
                  </w:r>
                </w:p>
              </w:tc>
              <w:tc>
                <w:tcPr>
                  <w:tcW w:w="740" w:type="dxa"/>
                  <w:tcBorders>
                    <w:tl2br w:val="nil"/>
                    <w:tr2bl w:val="nil"/>
                  </w:tcBorders>
                  <w:noWrap w:val="0"/>
                  <w:vAlign w:val="center"/>
                </w:tcPr>
                <w:p w14:paraId="061233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7463B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12775DD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p>
              </w:tc>
              <w:tc>
                <w:tcPr>
                  <w:tcW w:w="792" w:type="dxa"/>
                  <w:tcBorders>
                    <w:tl2br w:val="nil"/>
                    <w:tr2bl w:val="nil"/>
                  </w:tcBorders>
                  <w:noWrap w:val="0"/>
                  <w:vAlign w:val="center"/>
                </w:tcPr>
                <w:p w14:paraId="336E97B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lang w:val="en-US"/>
                    </w:rPr>
                  </w:pPr>
                  <w:r>
                    <w:rPr>
                      <w:rFonts w:hint="default" w:ascii="Times New Roman" w:hAnsi="Times New Roman" w:eastAsia="宋体" w:cs="Times New Roman"/>
                      <w:b w:val="0"/>
                      <w:bCs w:val="0"/>
                      <w:i w:val="0"/>
                      <w:iCs w:val="0"/>
                      <w:color w:val="auto"/>
                      <w:kern w:val="0"/>
                      <w:sz w:val="18"/>
                      <w:szCs w:val="18"/>
                      <w:u w:val="none"/>
                      <w:lang w:val="en-US" w:eastAsia="zh-CN" w:bidi="ar"/>
                    </w:rPr>
                    <w:t>PET薄膜</w:t>
                  </w:r>
                </w:p>
              </w:tc>
              <w:tc>
                <w:tcPr>
                  <w:tcW w:w="726" w:type="dxa"/>
                  <w:tcBorders>
                    <w:tl2br w:val="nil"/>
                    <w:tr2bl w:val="nil"/>
                  </w:tcBorders>
                  <w:noWrap w:val="0"/>
                  <w:vAlign w:val="center"/>
                </w:tcPr>
                <w:p w14:paraId="6B90498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1D10B6A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w:t>
                  </w:r>
                </w:p>
              </w:tc>
              <w:tc>
                <w:tcPr>
                  <w:tcW w:w="666" w:type="dxa"/>
                  <w:tcBorders>
                    <w:tl2br w:val="nil"/>
                    <w:tr2bl w:val="nil"/>
                  </w:tcBorders>
                  <w:noWrap w:val="0"/>
                  <w:vAlign w:val="center"/>
                </w:tcPr>
                <w:p w14:paraId="503F85D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804" w:type="dxa"/>
                  <w:tcBorders>
                    <w:tl2br w:val="nil"/>
                    <w:tr2bl w:val="nil"/>
                  </w:tcBorders>
                  <w:noWrap w:val="0"/>
                  <w:vAlign w:val="center"/>
                </w:tcPr>
                <w:p w14:paraId="2E9C48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rPr>
                  </w:pPr>
                  <w:r>
                    <w:rPr>
                      <w:rFonts w:hint="eastAsia" w:cs="Times New Roman"/>
                      <w:b w:val="0"/>
                      <w:bCs w:val="0"/>
                      <w:color w:val="auto"/>
                      <w:sz w:val="18"/>
                      <w:szCs w:val="18"/>
                      <w:highlight w:val="none"/>
                      <w:lang w:val="en-US" w:eastAsia="zh-CN"/>
                    </w:rPr>
                    <w:t>190.27</w:t>
                  </w:r>
                </w:p>
              </w:tc>
              <w:tc>
                <w:tcPr>
                  <w:tcW w:w="894" w:type="dxa"/>
                  <w:tcBorders>
                    <w:tl2br w:val="nil"/>
                    <w:tr2bl w:val="nil"/>
                  </w:tcBorders>
                  <w:noWrap w:val="0"/>
                  <w:vAlign w:val="center"/>
                </w:tcPr>
                <w:p w14:paraId="4EA6B5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190.27</w:t>
                  </w:r>
                </w:p>
              </w:tc>
              <w:tc>
                <w:tcPr>
                  <w:tcW w:w="717" w:type="dxa"/>
                  <w:tcBorders>
                    <w:tl2br w:val="nil"/>
                    <w:tr2bl w:val="nil"/>
                  </w:tcBorders>
                  <w:noWrap w:val="0"/>
                  <w:vAlign w:val="center"/>
                </w:tcPr>
                <w:p w14:paraId="13BB8D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卷装</w:t>
                  </w:r>
                </w:p>
              </w:tc>
              <w:tc>
                <w:tcPr>
                  <w:tcW w:w="589" w:type="dxa"/>
                  <w:tcBorders>
                    <w:tl2br w:val="nil"/>
                    <w:tr2bl w:val="nil"/>
                  </w:tcBorders>
                  <w:noWrap w:val="0"/>
                  <w:vAlign w:val="center"/>
                </w:tcPr>
                <w:p w14:paraId="5EDDF4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w:t>
                  </w:r>
                </w:p>
              </w:tc>
              <w:tc>
                <w:tcPr>
                  <w:tcW w:w="750" w:type="dxa"/>
                  <w:tcBorders>
                    <w:tl2br w:val="nil"/>
                    <w:tr2bl w:val="nil"/>
                  </w:tcBorders>
                  <w:noWrap w:val="0"/>
                  <w:vAlign w:val="center"/>
                </w:tcPr>
                <w:p w14:paraId="148B9D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磁控溅射车间</w:t>
                  </w:r>
                </w:p>
              </w:tc>
              <w:tc>
                <w:tcPr>
                  <w:tcW w:w="740" w:type="dxa"/>
                  <w:tcBorders>
                    <w:tl2br w:val="nil"/>
                    <w:tr2bl w:val="nil"/>
                  </w:tcBorders>
                  <w:noWrap w:val="0"/>
                  <w:vAlign w:val="center"/>
                </w:tcPr>
                <w:p w14:paraId="7B1876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自产</w:t>
                  </w:r>
                </w:p>
              </w:tc>
            </w:tr>
            <w:tr w14:paraId="627C2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3AF13F2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p>
              </w:tc>
              <w:tc>
                <w:tcPr>
                  <w:tcW w:w="792" w:type="dxa"/>
                  <w:tcBorders>
                    <w:tl2br w:val="nil"/>
                    <w:tr2bl w:val="nil"/>
                  </w:tcBorders>
                  <w:noWrap w:val="0"/>
                  <w:vAlign w:val="center"/>
                </w:tcPr>
                <w:p w14:paraId="2557B54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氩气</w:t>
                  </w:r>
                </w:p>
              </w:tc>
              <w:tc>
                <w:tcPr>
                  <w:tcW w:w="726" w:type="dxa"/>
                  <w:tcBorders>
                    <w:tl2br w:val="nil"/>
                    <w:tr2bl w:val="nil"/>
                  </w:tcBorders>
                  <w:noWrap w:val="0"/>
                  <w:vAlign w:val="center"/>
                </w:tcPr>
                <w:p w14:paraId="658D00F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气</w:t>
                  </w:r>
                </w:p>
              </w:tc>
              <w:tc>
                <w:tcPr>
                  <w:tcW w:w="1153" w:type="dxa"/>
                  <w:tcBorders>
                    <w:tl2br w:val="nil"/>
                    <w:tr2bl w:val="nil"/>
                  </w:tcBorders>
                  <w:noWrap w:val="0"/>
                  <w:vAlign w:val="center"/>
                </w:tcPr>
                <w:p w14:paraId="0A2BDDF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氩</w:t>
                  </w:r>
                  <w:r>
                    <w:rPr>
                      <w:rFonts w:hint="default" w:ascii="Times New Roman" w:hAnsi="Times New Roman" w:eastAsia="宋体" w:cs="Times New Roman"/>
                      <w:b w:val="0"/>
                      <w:bCs w:val="0"/>
                      <w:color w:val="auto"/>
                      <w:sz w:val="18"/>
                      <w:szCs w:val="18"/>
                      <w:highlight w:val="none"/>
                      <w:lang w:val="en-US" w:eastAsia="zh-CN"/>
                    </w:rPr>
                    <w:t>≥99.9%</w:t>
                  </w:r>
                  <w:r>
                    <w:rPr>
                      <w:rFonts w:hint="eastAsia" w:cs="Times New Roman"/>
                      <w:b w:val="0"/>
                      <w:bCs w:val="0"/>
                      <w:color w:val="auto"/>
                      <w:sz w:val="18"/>
                      <w:szCs w:val="18"/>
                      <w:highlight w:val="none"/>
                      <w:lang w:val="en-US" w:eastAsia="zh-CN"/>
                    </w:rPr>
                    <w:t xml:space="preserve"> </w:t>
                  </w:r>
                </w:p>
              </w:tc>
              <w:tc>
                <w:tcPr>
                  <w:tcW w:w="666" w:type="dxa"/>
                  <w:tcBorders>
                    <w:tl2br w:val="nil"/>
                    <w:tr2bl w:val="nil"/>
                  </w:tcBorders>
                  <w:noWrap w:val="0"/>
                  <w:vAlign w:val="center"/>
                </w:tcPr>
                <w:p w14:paraId="25132DC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0</w:t>
                  </w:r>
                </w:p>
              </w:tc>
              <w:tc>
                <w:tcPr>
                  <w:tcW w:w="804" w:type="dxa"/>
                  <w:tcBorders>
                    <w:tl2br w:val="nil"/>
                    <w:tr2bl w:val="nil"/>
                  </w:tcBorders>
                  <w:noWrap w:val="0"/>
                  <w:vAlign w:val="center"/>
                </w:tcPr>
                <w:p w14:paraId="1296B9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900瓶</w:t>
                  </w:r>
                </w:p>
              </w:tc>
              <w:tc>
                <w:tcPr>
                  <w:tcW w:w="894" w:type="dxa"/>
                  <w:tcBorders>
                    <w:tl2br w:val="nil"/>
                    <w:tr2bl w:val="nil"/>
                  </w:tcBorders>
                  <w:noWrap w:val="0"/>
                  <w:vAlign w:val="center"/>
                </w:tcPr>
                <w:p w14:paraId="14A5D47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90</w:t>
                  </w:r>
                  <w:r>
                    <w:rPr>
                      <w:rFonts w:hint="eastAsia" w:cs="Times New Roman"/>
                      <w:b w:val="0"/>
                      <w:bCs w:val="0"/>
                      <w:i w:val="0"/>
                      <w:iCs w:val="0"/>
                      <w:color w:val="auto"/>
                      <w:kern w:val="0"/>
                      <w:sz w:val="18"/>
                      <w:szCs w:val="18"/>
                      <w:highlight w:val="none"/>
                      <w:u w:val="none"/>
                      <w:lang w:val="en-US" w:eastAsia="zh-CN" w:bidi="ar"/>
                    </w:rPr>
                    <w:t>0</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瓶</w:t>
                  </w:r>
                </w:p>
              </w:tc>
              <w:tc>
                <w:tcPr>
                  <w:tcW w:w="717" w:type="dxa"/>
                  <w:tcBorders>
                    <w:tl2br w:val="nil"/>
                    <w:tr2bl w:val="nil"/>
                  </w:tcBorders>
                  <w:noWrap w:val="0"/>
                  <w:vAlign w:val="center"/>
                </w:tcPr>
                <w:p w14:paraId="7ADCFCC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40L瓶装</w:t>
                  </w:r>
                </w:p>
              </w:tc>
              <w:tc>
                <w:tcPr>
                  <w:tcW w:w="589" w:type="dxa"/>
                  <w:tcBorders>
                    <w:tl2br w:val="nil"/>
                    <w:tr2bl w:val="nil"/>
                  </w:tcBorders>
                  <w:noWrap w:val="0"/>
                  <w:vAlign w:val="center"/>
                </w:tcPr>
                <w:p w14:paraId="4769FF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50瓶</w:t>
                  </w:r>
                </w:p>
              </w:tc>
              <w:tc>
                <w:tcPr>
                  <w:tcW w:w="750" w:type="dxa"/>
                  <w:tcBorders>
                    <w:tl2br w:val="nil"/>
                    <w:tr2bl w:val="nil"/>
                  </w:tcBorders>
                  <w:noWrap w:val="0"/>
                  <w:vAlign w:val="center"/>
                </w:tcPr>
                <w:p w14:paraId="11D954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磁控溅射车间</w:t>
                  </w:r>
                </w:p>
              </w:tc>
              <w:tc>
                <w:tcPr>
                  <w:tcW w:w="740" w:type="dxa"/>
                  <w:tcBorders>
                    <w:tl2br w:val="nil"/>
                    <w:tr2bl w:val="nil"/>
                  </w:tcBorders>
                  <w:noWrap w:val="0"/>
                  <w:vAlign w:val="center"/>
                </w:tcPr>
                <w:p w14:paraId="048F03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41691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7FB3A0F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p>
              </w:tc>
              <w:tc>
                <w:tcPr>
                  <w:tcW w:w="792" w:type="dxa"/>
                  <w:tcBorders>
                    <w:tl2br w:val="nil"/>
                    <w:tr2bl w:val="nil"/>
                  </w:tcBorders>
                  <w:noWrap w:val="0"/>
                  <w:vAlign w:val="center"/>
                </w:tcPr>
                <w:p w14:paraId="00F167E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cs="Times New Roman"/>
                      <w:b w:val="0"/>
                      <w:bCs w:val="0"/>
                      <w:i w:val="0"/>
                      <w:iCs w:val="0"/>
                      <w:color w:val="auto"/>
                      <w:kern w:val="0"/>
                      <w:sz w:val="18"/>
                      <w:szCs w:val="18"/>
                      <w:u w:val="none"/>
                      <w:lang w:val="en-US" w:eastAsia="zh-CN" w:bidi="ar"/>
                    </w:rPr>
                    <w:t>氧气</w:t>
                  </w:r>
                </w:p>
              </w:tc>
              <w:tc>
                <w:tcPr>
                  <w:tcW w:w="726" w:type="dxa"/>
                  <w:tcBorders>
                    <w:tl2br w:val="nil"/>
                    <w:tr2bl w:val="nil"/>
                  </w:tcBorders>
                  <w:noWrap w:val="0"/>
                  <w:vAlign w:val="center"/>
                </w:tcPr>
                <w:p w14:paraId="787621D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气</w:t>
                  </w:r>
                </w:p>
              </w:tc>
              <w:tc>
                <w:tcPr>
                  <w:tcW w:w="1153" w:type="dxa"/>
                  <w:tcBorders>
                    <w:tl2br w:val="nil"/>
                    <w:tr2bl w:val="nil"/>
                  </w:tcBorders>
                  <w:noWrap w:val="0"/>
                  <w:vAlign w:val="center"/>
                </w:tcPr>
                <w:p w14:paraId="1D9B049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cs="Times New Roman"/>
                      <w:b w:val="0"/>
                      <w:bCs w:val="0"/>
                      <w:i w:val="0"/>
                      <w:iCs w:val="0"/>
                      <w:color w:val="auto"/>
                      <w:kern w:val="0"/>
                      <w:sz w:val="18"/>
                      <w:szCs w:val="18"/>
                      <w:highlight w:val="none"/>
                      <w:u w:val="none"/>
                      <w:lang w:val="en-US" w:eastAsia="zh-CN" w:bidi="ar"/>
                    </w:rPr>
                    <w:t>氧</w:t>
                  </w:r>
                  <w:r>
                    <w:rPr>
                      <w:rFonts w:hint="default" w:ascii="Times New Roman" w:hAnsi="Times New Roman" w:eastAsia="宋体" w:cs="Times New Roman"/>
                      <w:b w:val="0"/>
                      <w:bCs w:val="0"/>
                      <w:color w:val="auto"/>
                      <w:sz w:val="18"/>
                      <w:szCs w:val="18"/>
                      <w:highlight w:val="none"/>
                      <w:lang w:val="en-US" w:eastAsia="zh-CN"/>
                    </w:rPr>
                    <w:t>≥99.9%</w:t>
                  </w:r>
                </w:p>
              </w:tc>
              <w:tc>
                <w:tcPr>
                  <w:tcW w:w="666" w:type="dxa"/>
                  <w:tcBorders>
                    <w:tl2br w:val="nil"/>
                    <w:tr2bl w:val="nil"/>
                  </w:tcBorders>
                  <w:noWrap w:val="0"/>
                  <w:vAlign w:val="center"/>
                </w:tcPr>
                <w:p w14:paraId="5B7CA13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804" w:type="dxa"/>
                  <w:tcBorders>
                    <w:tl2br w:val="nil"/>
                    <w:tr2bl w:val="nil"/>
                  </w:tcBorders>
                  <w:noWrap w:val="0"/>
                  <w:vAlign w:val="center"/>
                </w:tcPr>
                <w:p w14:paraId="68A993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200瓶</w:t>
                  </w:r>
                </w:p>
              </w:tc>
              <w:tc>
                <w:tcPr>
                  <w:tcW w:w="894" w:type="dxa"/>
                  <w:tcBorders>
                    <w:tl2br w:val="nil"/>
                    <w:tr2bl w:val="nil"/>
                  </w:tcBorders>
                  <w:noWrap w:val="0"/>
                  <w:vAlign w:val="center"/>
                </w:tcPr>
                <w:p w14:paraId="5088411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cs="Times New Roman"/>
                      <w:b w:val="0"/>
                      <w:bCs w:val="0"/>
                      <w:color w:val="auto"/>
                      <w:sz w:val="18"/>
                      <w:szCs w:val="18"/>
                      <w:highlight w:val="none"/>
                      <w:lang w:val="en-US" w:eastAsia="zh-CN"/>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20</w:t>
                  </w:r>
                  <w:r>
                    <w:rPr>
                      <w:rFonts w:hint="eastAsia" w:cs="Times New Roman"/>
                      <w:b w:val="0"/>
                      <w:bCs w:val="0"/>
                      <w:i w:val="0"/>
                      <w:iCs w:val="0"/>
                      <w:color w:val="auto"/>
                      <w:kern w:val="0"/>
                      <w:sz w:val="18"/>
                      <w:szCs w:val="18"/>
                      <w:highlight w:val="none"/>
                      <w:u w:val="none"/>
                      <w:lang w:val="en-US" w:eastAsia="zh-CN" w:bidi="ar"/>
                    </w:rPr>
                    <w:t>0</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瓶</w:t>
                  </w:r>
                </w:p>
              </w:tc>
              <w:tc>
                <w:tcPr>
                  <w:tcW w:w="717" w:type="dxa"/>
                  <w:tcBorders>
                    <w:tl2br w:val="nil"/>
                    <w:tr2bl w:val="nil"/>
                  </w:tcBorders>
                  <w:noWrap w:val="0"/>
                  <w:vAlign w:val="center"/>
                </w:tcPr>
                <w:p w14:paraId="1A3CA33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ab/>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40L瓶装</w:t>
                  </w:r>
                </w:p>
              </w:tc>
              <w:tc>
                <w:tcPr>
                  <w:tcW w:w="589" w:type="dxa"/>
                  <w:tcBorders>
                    <w:tl2br w:val="nil"/>
                    <w:tr2bl w:val="nil"/>
                  </w:tcBorders>
                  <w:noWrap w:val="0"/>
                  <w:vAlign w:val="center"/>
                </w:tcPr>
                <w:p w14:paraId="2846A3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20瓶</w:t>
                  </w:r>
                </w:p>
              </w:tc>
              <w:tc>
                <w:tcPr>
                  <w:tcW w:w="750" w:type="dxa"/>
                  <w:tcBorders>
                    <w:tl2br w:val="nil"/>
                    <w:tr2bl w:val="nil"/>
                  </w:tcBorders>
                  <w:noWrap w:val="0"/>
                  <w:vAlign w:val="center"/>
                </w:tcPr>
                <w:p w14:paraId="18FC37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磁控溅射车间</w:t>
                  </w:r>
                </w:p>
              </w:tc>
              <w:tc>
                <w:tcPr>
                  <w:tcW w:w="740" w:type="dxa"/>
                  <w:tcBorders>
                    <w:tl2br w:val="nil"/>
                    <w:tr2bl w:val="nil"/>
                  </w:tcBorders>
                  <w:noWrap w:val="0"/>
                  <w:vAlign w:val="center"/>
                </w:tcPr>
                <w:p w14:paraId="50720C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38705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578EA5B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p>
              </w:tc>
              <w:tc>
                <w:tcPr>
                  <w:tcW w:w="792" w:type="dxa"/>
                  <w:tcBorders>
                    <w:tl2br w:val="nil"/>
                    <w:tr2bl w:val="nil"/>
                  </w:tcBorders>
                  <w:noWrap w:val="0"/>
                  <w:vAlign w:val="center"/>
                </w:tcPr>
                <w:p w14:paraId="49D18C4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cs="Times New Roman"/>
                      <w:b w:val="0"/>
                      <w:bCs w:val="0"/>
                      <w:i w:val="0"/>
                      <w:iCs w:val="0"/>
                      <w:color w:val="auto"/>
                      <w:kern w:val="0"/>
                      <w:sz w:val="18"/>
                      <w:szCs w:val="18"/>
                      <w:u w:val="none"/>
                      <w:lang w:val="en-US" w:eastAsia="zh-CN" w:bidi="ar"/>
                    </w:rPr>
                  </w:pPr>
                  <w:r>
                    <w:rPr>
                      <w:rFonts w:hint="eastAsia" w:cs="Times New Roman"/>
                      <w:b w:val="0"/>
                      <w:bCs w:val="0"/>
                      <w:i w:val="0"/>
                      <w:iCs w:val="0"/>
                      <w:color w:val="auto"/>
                      <w:kern w:val="0"/>
                      <w:sz w:val="18"/>
                      <w:szCs w:val="18"/>
                      <w:u w:val="none"/>
                      <w:lang w:val="en-US" w:eastAsia="zh-CN" w:bidi="ar"/>
                    </w:rPr>
                    <w:t>氢气</w:t>
                  </w:r>
                </w:p>
              </w:tc>
              <w:tc>
                <w:tcPr>
                  <w:tcW w:w="726" w:type="dxa"/>
                  <w:tcBorders>
                    <w:tl2br w:val="nil"/>
                    <w:tr2bl w:val="nil"/>
                  </w:tcBorders>
                  <w:noWrap w:val="0"/>
                  <w:vAlign w:val="center"/>
                </w:tcPr>
                <w:p w14:paraId="1B1E3CA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firstLine="0" w:firstLineChars="0"/>
                    <w:jc w:val="center"/>
                    <w:textAlignment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气</w:t>
                  </w:r>
                </w:p>
              </w:tc>
              <w:tc>
                <w:tcPr>
                  <w:tcW w:w="1153" w:type="dxa"/>
                  <w:tcBorders>
                    <w:tl2br w:val="nil"/>
                    <w:tr2bl w:val="nil"/>
                  </w:tcBorders>
                  <w:noWrap w:val="0"/>
                  <w:vAlign w:val="center"/>
                </w:tcPr>
                <w:p w14:paraId="5C684B9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cs="Times New Roman"/>
                      <w:b w:val="0"/>
                      <w:bCs w:val="0"/>
                      <w:i w:val="0"/>
                      <w:iCs w:val="0"/>
                      <w:color w:val="auto"/>
                      <w:kern w:val="0"/>
                      <w:sz w:val="18"/>
                      <w:szCs w:val="18"/>
                      <w:highlight w:val="none"/>
                      <w:u w:val="none"/>
                      <w:lang w:val="en-US" w:eastAsia="zh-CN" w:bidi="ar"/>
                    </w:rPr>
                  </w:pPr>
                  <w:r>
                    <w:rPr>
                      <w:rFonts w:hint="eastAsia" w:cs="Times New Roman"/>
                      <w:b w:val="0"/>
                      <w:bCs w:val="0"/>
                      <w:i w:val="0"/>
                      <w:iCs w:val="0"/>
                      <w:color w:val="auto"/>
                      <w:kern w:val="0"/>
                      <w:sz w:val="18"/>
                      <w:szCs w:val="18"/>
                      <w:highlight w:val="none"/>
                      <w:u w:val="none"/>
                      <w:lang w:val="en-US" w:eastAsia="zh-CN" w:bidi="ar"/>
                    </w:rPr>
                    <w:t>氢</w:t>
                  </w:r>
                  <w:r>
                    <w:rPr>
                      <w:rFonts w:hint="default" w:ascii="Times New Roman" w:hAnsi="Times New Roman" w:eastAsia="宋体" w:cs="Times New Roman"/>
                      <w:b w:val="0"/>
                      <w:bCs w:val="0"/>
                      <w:color w:val="auto"/>
                      <w:sz w:val="18"/>
                      <w:szCs w:val="18"/>
                      <w:highlight w:val="none"/>
                      <w:lang w:val="en-US" w:eastAsia="zh-CN"/>
                    </w:rPr>
                    <w:t>≥99.9%</w:t>
                  </w:r>
                </w:p>
              </w:tc>
              <w:tc>
                <w:tcPr>
                  <w:tcW w:w="666" w:type="dxa"/>
                  <w:tcBorders>
                    <w:tl2br w:val="nil"/>
                    <w:tr2bl w:val="nil"/>
                  </w:tcBorders>
                  <w:noWrap w:val="0"/>
                  <w:vAlign w:val="center"/>
                </w:tcPr>
                <w:p w14:paraId="2E1CE1D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804" w:type="dxa"/>
                  <w:tcBorders>
                    <w:tl2br w:val="nil"/>
                    <w:tr2bl w:val="nil"/>
                  </w:tcBorders>
                  <w:noWrap w:val="0"/>
                  <w:vAlign w:val="center"/>
                </w:tcPr>
                <w:p w14:paraId="7BACFC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6瓶</w:t>
                  </w:r>
                </w:p>
              </w:tc>
              <w:tc>
                <w:tcPr>
                  <w:tcW w:w="894" w:type="dxa"/>
                  <w:tcBorders>
                    <w:tl2br w:val="nil"/>
                    <w:tr2bl w:val="nil"/>
                  </w:tcBorders>
                  <w:noWrap w:val="0"/>
                  <w:vAlign w:val="center"/>
                </w:tcPr>
                <w:p w14:paraId="0F688DD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cs="Times New Roman"/>
                      <w:b w:val="0"/>
                      <w:bCs w:val="0"/>
                      <w:color w:val="auto"/>
                      <w:sz w:val="18"/>
                      <w:szCs w:val="18"/>
                      <w:highlight w:val="none"/>
                      <w:lang w:val="en-US" w:eastAsia="zh-CN"/>
                    </w:rPr>
                    <w:t>6瓶</w:t>
                  </w:r>
                </w:p>
              </w:tc>
              <w:tc>
                <w:tcPr>
                  <w:tcW w:w="717" w:type="dxa"/>
                  <w:tcBorders>
                    <w:tl2br w:val="nil"/>
                    <w:tr2bl w:val="nil"/>
                  </w:tcBorders>
                  <w:noWrap w:val="0"/>
                  <w:vAlign w:val="center"/>
                </w:tcPr>
                <w:p w14:paraId="53AB9CC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40L瓶装</w:t>
                  </w:r>
                </w:p>
              </w:tc>
              <w:tc>
                <w:tcPr>
                  <w:tcW w:w="589" w:type="dxa"/>
                  <w:tcBorders>
                    <w:tl2br w:val="nil"/>
                    <w:tr2bl w:val="nil"/>
                  </w:tcBorders>
                  <w:noWrap w:val="0"/>
                  <w:vAlign w:val="center"/>
                </w:tcPr>
                <w:p w14:paraId="080F7A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1瓶</w:t>
                  </w:r>
                </w:p>
              </w:tc>
              <w:tc>
                <w:tcPr>
                  <w:tcW w:w="750" w:type="dxa"/>
                  <w:tcBorders>
                    <w:tl2br w:val="nil"/>
                    <w:tr2bl w:val="nil"/>
                  </w:tcBorders>
                  <w:noWrap w:val="0"/>
                  <w:vAlign w:val="center"/>
                </w:tcPr>
                <w:p w14:paraId="78E696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磁控溅射车间</w:t>
                  </w:r>
                </w:p>
              </w:tc>
              <w:tc>
                <w:tcPr>
                  <w:tcW w:w="740" w:type="dxa"/>
                  <w:tcBorders>
                    <w:tl2br w:val="nil"/>
                    <w:tr2bl w:val="nil"/>
                  </w:tcBorders>
                  <w:noWrap w:val="0"/>
                  <w:vAlign w:val="center"/>
                </w:tcPr>
                <w:p w14:paraId="7B28ED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外购</w:t>
                  </w:r>
                </w:p>
              </w:tc>
            </w:tr>
            <w:tr w14:paraId="69DE4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restart"/>
                  <w:tcBorders>
                    <w:tl2br w:val="nil"/>
                    <w:tr2bl w:val="nil"/>
                  </w:tcBorders>
                  <w:noWrap w:val="0"/>
                  <w:vAlign w:val="center"/>
                </w:tcPr>
                <w:p w14:paraId="20987D3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PET薄膜</w:t>
                  </w:r>
                </w:p>
              </w:tc>
              <w:tc>
                <w:tcPr>
                  <w:tcW w:w="792" w:type="dxa"/>
                  <w:tcBorders>
                    <w:tl2br w:val="nil"/>
                    <w:tr2bl w:val="nil"/>
                  </w:tcBorders>
                  <w:noWrap w:val="0"/>
                  <w:vAlign w:val="center"/>
                </w:tcPr>
                <w:p w14:paraId="269E9CC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PET聚酯切片</w:t>
                  </w:r>
                </w:p>
              </w:tc>
              <w:tc>
                <w:tcPr>
                  <w:tcW w:w="726" w:type="dxa"/>
                  <w:tcBorders>
                    <w:tl2br w:val="nil"/>
                    <w:tr2bl w:val="nil"/>
                  </w:tcBorders>
                  <w:noWrap w:val="0"/>
                  <w:vAlign w:val="center"/>
                </w:tcPr>
                <w:p w14:paraId="1786A6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3D4EFB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Cs/>
                      <w:color w:val="auto"/>
                      <w:sz w:val="18"/>
                      <w:szCs w:val="18"/>
                    </w:rPr>
                    <w:t>聚对苯二甲酸乙二醇酯</w:t>
                  </w:r>
                </w:p>
              </w:tc>
              <w:tc>
                <w:tcPr>
                  <w:tcW w:w="666" w:type="dxa"/>
                  <w:tcBorders>
                    <w:tl2br w:val="nil"/>
                    <w:tr2bl w:val="nil"/>
                  </w:tcBorders>
                  <w:noWrap w:val="0"/>
                  <w:vAlign w:val="center"/>
                </w:tcPr>
                <w:p w14:paraId="311A39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14790</w:t>
                  </w:r>
                </w:p>
              </w:tc>
              <w:tc>
                <w:tcPr>
                  <w:tcW w:w="804" w:type="dxa"/>
                  <w:tcBorders>
                    <w:tl2br w:val="nil"/>
                    <w:tr2bl w:val="nil"/>
                  </w:tcBorders>
                  <w:noWrap w:val="0"/>
                  <w:vAlign w:val="center"/>
                </w:tcPr>
                <w:p w14:paraId="1F5859C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4039824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14790</w:t>
                  </w:r>
                </w:p>
              </w:tc>
              <w:tc>
                <w:tcPr>
                  <w:tcW w:w="717" w:type="dxa"/>
                  <w:tcBorders>
                    <w:tl2br w:val="nil"/>
                    <w:tr2bl w:val="nil"/>
                  </w:tcBorders>
                  <w:noWrap w:val="0"/>
                  <w:vAlign w:val="center"/>
                </w:tcPr>
                <w:p w14:paraId="27A9E12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50kg/袋</w:t>
                  </w:r>
                </w:p>
              </w:tc>
              <w:tc>
                <w:tcPr>
                  <w:tcW w:w="589" w:type="dxa"/>
                  <w:tcBorders>
                    <w:tl2br w:val="nil"/>
                    <w:tr2bl w:val="nil"/>
                  </w:tcBorders>
                  <w:noWrap w:val="0"/>
                  <w:vAlign w:val="center"/>
                </w:tcPr>
                <w:p w14:paraId="71EA791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1000</w:t>
                  </w:r>
                </w:p>
              </w:tc>
              <w:tc>
                <w:tcPr>
                  <w:tcW w:w="750" w:type="dxa"/>
                  <w:tcBorders>
                    <w:tl2br w:val="nil"/>
                    <w:tr2bl w:val="nil"/>
                  </w:tcBorders>
                  <w:noWrap w:val="0"/>
                  <w:vAlign w:val="center"/>
                </w:tcPr>
                <w:p w14:paraId="31EE459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1#丙类仓库</w:t>
                  </w:r>
                </w:p>
              </w:tc>
              <w:tc>
                <w:tcPr>
                  <w:tcW w:w="740" w:type="dxa"/>
                  <w:tcBorders>
                    <w:tl2br w:val="nil"/>
                    <w:tr2bl w:val="nil"/>
                  </w:tcBorders>
                  <w:noWrap w:val="0"/>
                  <w:vAlign w:val="center"/>
                </w:tcPr>
                <w:p w14:paraId="1920C5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455ED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7158D59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0113845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水性涂料</w:t>
                  </w:r>
                </w:p>
              </w:tc>
              <w:tc>
                <w:tcPr>
                  <w:tcW w:w="726" w:type="dxa"/>
                  <w:tcBorders>
                    <w:tl2br w:val="nil"/>
                    <w:tr2bl w:val="nil"/>
                  </w:tcBorders>
                  <w:noWrap w:val="0"/>
                  <w:vAlign w:val="center"/>
                </w:tcPr>
                <w:p w14:paraId="08E79A1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液</w:t>
                  </w:r>
                </w:p>
              </w:tc>
              <w:tc>
                <w:tcPr>
                  <w:tcW w:w="1153" w:type="dxa"/>
                  <w:tcBorders>
                    <w:tl2br w:val="nil"/>
                    <w:tr2bl w:val="nil"/>
                  </w:tcBorders>
                  <w:noWrap w:val="0"/>
                  <w:vAlign w:val="center"/>
                </w:tcPr>
                <w:p w14:paraId="1880CCE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Cs/>
                      <w:color w:val="auto"/>
                      <w:sz w:val="18"/>
                      <w:szCs w:val="18"/>
                    </w:rPr>
                    <w:t>聚酯树脂（40%）</w:t>
                  </w:r>
                  <w:r>
                    <w:rPr>
                      <w:rFonts w:hint="default" w:ascii="Times New Roman" w:hAnsi="Times New Roman" w:eastAsia="宋体" w:cs="Times New Roman"/>
                      <w:bCs/>
                      <w:color w:val="auto"/>
                      <w:sz w:val="18"/>
                      <w:szCs w:val="18"/>
                      <w:lang w:eastAsia="zh-CN"/>
                    </w:rPr>
                    <w:t>、</w:t>
                  </w:r>
                  <w:r>
                    <w:rPr>
                      <w:rFonts w:hint="default" w:ascii="Times New Roman" w:hAnsi="Times New Roman" w:eastAsia="宋体" w:cs="Times New Roman"/>
                      <w:bCs/>
                      <w:color w:val="auto"/>
                      <w:sz w:val="18"/>
                      <w:szCs w:val="18"/>
                    </w:rPr>
                    <w:t>助剂（5%）、水（55%）</w:t>
                  </w:r>
                </w:p>
              </w:tc>
              <w:tc>
                <w:tcPr>
                  <w:tcW w:w="666" w:type="dxa"/>
                  <w:tcBorders>
                    <w:tl2br w:val="nil"/>
                    <w:tr2bl w:val="nil"/>
                  </w:tcBorders>
                  <w:noWrap w:val="0"/>
                  <w:vAlign w:val="center"/>
                </w:tcPr>
                <w:p w14:paraId="5914FD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w:t>
                  </w:r>
                </w:p>
              </w:tc>
              <w:tc>
                <w:tcPr>
                  <w:tcW w:w="804" w:type="dxa"/>
                  <w:tcBorders>
                    <w:tl2br w:val="nil"/>
                    <w:tr2bl w:val="nil"/>
                  </w:tcBorders>
                  <w:noWrap w:val="0"/>
                  <w:vAlign w:val="center"/>
                </w:tcPr>
                <w:p w14:paraId="2FCD98C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46F9EA0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w:t>
                  </w:r>
                </w:p>
              </w:tc>
              <w:tc>
                <w:tcPr>
                  <w:tcW w:w="717" w:type="dxa"/>
                  <w:tcBorders>
                    <w:tl2br w:val="nil"/>
                    <w:tr2bl w:val="nil"/>
                  </w:tcBorders>
                  <w:noWrap w:val="0"/>
                  <w:vAlign w:val="center"/>
                </w:tcPr>
                <w:p w14:paraId="45C4BF5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50kg/桶</w:t>
                  </w:r>
                </w:p>
              </w:tc>
              <w:tc>
                <w:tcPr>
                  <w:tcW w:w="589" w:type="dxa"/>
                  <w:tcBorders>
                    <w:tl2br w:val="nil"/>
                    <w:tr2bl w:val="nil"/>
                  </w:tcBorders>
                  <w:noWrap w:val="0"/>
                  <w:vAlign w:val="center"/>
                </w:tcPr>
                <w:p w14:paraId="2575620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3.58</w:t>
                  </w:r>
                </w:p>
              </w:tc>
              <w:tc>
                <w:tcPr>
                  <w:tcW w:w="750" w:type="dxa"/>
                  <w:tcBorders>
                    <w:tl2br w:val="nil"/>
                    <w:tr2bl w:val="nil"/>
                  </w:tcBorders>
                  <w:noWrap w:val="0"/>
                  <w:vAlign w:val="center"/>
                </w:tcPr>
                <w:p w14:paraId="3F3DB91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甲类仓库</w:t>
                  </w:r>
                </w:p>
              </w:tc>
              <w:tc>
                <w:tcPr>
                  <w:tcW w:w="740" w:type="dxa"/>
                  <w:tcBorders>
                    <w:tl2br w:val="nil"/>
                    <w:tr2bl w:val="nil"/>
                  </w:tcBorders>
                  <w:noWrap w:val="0"/>
                  <w:vAlign w:val="center"/>
                </w:tcPr>
                <w:p w14:paraId="08A1C1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1A547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1BDD1C3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3BA0E5F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纳米功能母粒</w:t>
                  </w:r>
                </w:p>
              </w:tc>
              <w:tc>
                <w:tcPr>
                  <w:tcW w:w="726" w:type="dxa"/>
                  <w:tcBorders>
                    <w:tl2br w:val="nil"/>
                    <w:tr2bl w:val="nil"/>
                  </w:tcBorders>
                  <w:noWrap w:val="0"/>
                  <w:vAlign w:val="center"/>
                </w:tcPr>
                <w:p w14:paraId="143975D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501F728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w:t>
                  </w:r>
                </w:p>
              </w:tc>
              <w:tc>
                <w:tcPr>
                  <w:tcW w:w="666" w:type="dxa"/>
                  <w:tcBorders>
                    <w:tl2br w:val="nil"/>
                    <w:tr2bl w:val="nil"/>
                  </w:tcBorders>
                  <w:noWrap w:val="0"/>
                  <w:vAlign w:val="center"/>
                </w:tcPr>
                <w:p w14:paraId="4B87C5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2640</w:t>
                  </w:r>
                </w:p>
              </w:tc>
              <w:tc>
                <w:tcPr>
                  <w:tcW w:w="804" w:type="dxa"/>
                  <w:tcBorders>
                    <w:tl2br w:val="nil"/>
                    <w:tr2bl w:val="nil"/>
                  </w:tcBorders>
                  <w:noWrap w:val="0"/>
                  <w:vAlign w:val="center"/>
                </w:tcPr>
                <w:p w14:paraId="4FDCB76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5796E4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2640</w:t>
                  </w:r>
                </w:p>
              </w:tc>
              <w:tc>
                <w:tcPr>
                  <w:tcW w:w="717" w:type="dxa"/>
                  <w:tcBorders>
                    <w:tl2br w:val="nil"/>
                    <w:tr2bl w:val="nil"/>
                  </w:tcBorders>
                  <w:noWrap w:val="0"/>
                  <w:vAlign w:val="center"/>
                </w:tcPr>
                <w:p w14:paraId="5DB188E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50kg/袋</w:t>
                  </w:r>
                </w:p>
              </w:tc>
              <w:tc>
                <w:tcPr>
                  <w:tcW w:w="589" w:type="dxa"/>
                  <w:tcBorders>
                    <w:tl2br w:val="nil"/>
                    <w:tr2bl w:val="nil"/>
                  </w:tcBorders>
                  <w:noWrap w:val="0"/>
                  <w:vAlign w:val="center"/>
                </w:tcPr>
                <w:p w14:paraId="7DBE4FC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179</w:t>
                  </w:r>
                </w:p>
              </w:tc>
              <w:tc>
                <w:tcPr>
                  <w:tcW w:w="750" w:type="dxa"/>
                  <w:tcBorders>
                    <w:tl2br w:val="nil"/>
                    <w:tr2bl w:val="nil"/>
                  </w:tcBorders>
                  <w:noWrap w:val="0"/>
                  <w:vAlign w:val="center"/>
                </w:tcPr>
                <w:p w14:paraId="6F4ACA7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1#丙类仓库</w:t>
                  </w:r>
                </w:p>
              </w:tc>
              <w:tc>
                <w:tcPr>
                  <w:tcW w:w="740" w:type="dxa"/>
                  <w:tcBorders>
                    <w:tl2br w:val="nil"/>
                    <w:tr2bl w:val="nil"/>
                  </w:tcBorders>
                  <w:noWrap w:val="0"/>
                  <w:vAlign w:val="center"/>
                </w:tcPr>
                <w:p w14:paraId="338441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090B5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4540B25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4526734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三甘醇</w:t>
                  </w:r>
                </w:p>
              </w:tc>
              <w:tc>
                <w:tcPr>
                  <w:tcW w:w="726" w:type="dxa"/>
                  <w:tcBorders>
                    <w:tl2br w:val="nil"/>
                    <w:tr2bl w:val="nil"/>
                  </w:tcBorders>
                  <w:noWrap w:val="0"/>
                  <w:vAlign w:val="center"/>
                </w:tcPr>
                <w:p w14:paraId="7C5464C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液</w:t>
                  </w:r>
                </w:p>
              </w:tc>
              <w:tc>
                <w:tcPr>
                  <w:tcW w:w="1153" w:type="dxa"/>
                  <w:tcBorders>
                    <w:tl2br w:val="nil"/>
                    <w:tr2bl w:val="nil"/>
                  </w:tcBorders>
                  <w:noWrap w:val="0"/>
                  <w:vAlign w:val="center"/>
                </w:tcPr>
                <w:p w14:paraId="4A7C248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99%</w:t>
                  </w:r>
                </w:p>
              </w:tc>
              <w:tc>
                <w:tcPr>
                  <w:tcW w:w="666" w:type="dxa"/>
                  <w:tcBorders>
                    <w:tl2br w:val="nil"/>
                    <w:tr2bl w:val="nil"/>
                  </w:tcBorders>
                  <w:noWrap w:val="0"/>
                  <w:vAlign w:val="center"/>
                </w:tcPr>
                <w:p w14:paraId="5108E3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16.5</w:t>
                  </w:r>
                </w:p>
              </w:tc>
              <w:tc>
                <w:tcPr>
                  <w:tcW w:w="804" w:type="dxa"/>
                  <w:tcBorders>
                    <w:tl2br w:val="nil"/>
                    <w:tr2bl w:val="nil"/>
                  </w:tcBorders>
                  <w:noWrap w:val="0"/>
                  <w:vAlign w:val="center"/>
                </w:tcPr>
                <w:p w14:paraId="6B3AC9D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6B657AF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16.5</w:t>
                  </w:r>
                </w:p>
              </w:tc>
              <w:tc>
                <w:tcPr>
                  <w:tcW w:w="717" w:type="dxa"/>
                  <w:tcBorders>
                    <w:tl2br w:val="nil"/>
                    <w:tr2bl w:val="nil"/>
                  </w:tcBorders>
                  <w:noWrap w:val="0"/>
                  <w:vAlign w:val="center"/>
                </w:tcPr>
                <w:p w14:paraId="313FDB2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20kg/桶</w:t>
                  </w:r>
                </w:p>
              </w:tc>
              <w:tc>
                <w:tcPr>
                  <w:tcW w:w="589" w:type="dxa"/>
                  <w:tcBorders>
                    <w:tl2br w:val="nil"/>
                    <w:tr2bl w:val="nil"/>
                  </w:tcBorders>
                  <w:noWrap w:val="0"/>
                  <w:vAlign w:val="center"/>
                </w:tcPr>
                <w:p w14:paraId="0E5C256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8</w:t>
                  </w:r>
                </w:p>
              </w:tc>
              <w:tc>
                <w:tcPr>
                  <w:tcW w:w="750" w:type="dxa"/>
                  <w:tcBorders>
                    <w:tl2br w:val="nil"/>
                    <w:tr2bl w:val="nil"/>
                  </w:tcBorders>
                  <w:noWrap w:val="0"/>
                  <w:vAlign w:val="center"/>
                </w:tcPr>
                <w:p w14:paraId="317EFFD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甲类仓库</w:t>
                  </w:r>
                </w:p>
              </w:tc>
              <w:tc>
                <w:tcPr>
                  <w:tcW w:w="740" w:type="dxa"/>
                  <w:tcBorders>
                    <w:tl2br w:val="nil"/>
                    <w:tr2bl w:val="nil"/>
                  </w:tcBorders>
                  <w:noWrap w:val="0"/>
                  <w:vAlign w:val="center"/>
                </w:tcPr>
                <w:p w14:paraId="44AA24C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229E1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725CFB9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6A25A33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硝酸</w:t>
                  </w:r>
                </w:p>
              </w:tc>
              <w:tc>
                <w:tcPr>
                  <w:tcW w:w="726" w:type="dxa"/>
                  <w:tcBorders>
                    <w:tl2br w:val="nil"/>
                    <w:tr2bl w:val="nil"/>
                  </w:tcBorders>
                  <w:noWrap w:val="0"/>
                  <w:vAlign w:val="center"/>
                </w:tcPr>
                <w:p w14:paraId="750EA5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液</w:t>
                  </w:r>
                </w:p>
              </w:tc>
              <w:tc>
                <w:tcPr>
                  <w:tcW w:w="1153" w:type="dxa"/>
                  <w:tcBorders>
                    <w:tl2br w:val="nil"/>
                    <w:tr2bl w:val="nil"/>
                  </w:tcBorders>
                  <w:noWrap w:val="0"/>
                  <w:vAlign w:val="center"/>
                </w:tcPr>
                <w:p w14:paraId="5460746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23%</w:t>
                  </w:r>
                </w:p>
              </w:tc>
              <w:tc>
                <w:tcPr>
                  <w:tcW w:w="666" w:type="dxa"/>
                  <w:tcBorders>
                    <w:tl2br w:val="nil"/>
                    <w:tr2bl w:val="nil"/>
                  </w:tcBorders>
                  <w:noWrap w:val="0"/>
                  <w:vAlign w:val="center"/>
                </w:tcPr>
                <w:p w14:paraId="3BA0EB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2.13</w:t>
                  </w:r>
                </w:p>
              </w:tc>
              <w:tc>
                <w:tcPr>
                  <w:tcW w:w="804" w:type="dxa"/>
                  <w:tcBorders>
                    <w:tl2br w:val="nil"/>
                    <w:tr2bl w:val="nil"/>
                  </w:tcBorders>
                  <w:noWrap w:val="0"/>
                  <w:vAlign w:val="center"/>
                </w:tcPr>
                <w:p w14:paraId="61D7668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6666ECF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2.13</w:t>
                  </w:r>
                </w:p>
              </w:tc>
              <w:tc>
                <w:tcPr>
                  <w:tcW w:w="717" w:type="dxa"/>
                  <w:tcBorders>
                    <w:tl2br w:val="nil"/>
                    <w:tr2bl w:val="nil"/>
                  </w:tcBorders>
                  <w:noWrap w:val="0"/>
                  <w:vAlign w:val="center"/>
                </w:tcPr>
                <w:p w14:paraId="2793431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20kg/桶</w:t>
                  </w:r>
                </w:p>
              </w:tc>
              <w:tc>
                <w:tcPr>
                  <w:tcW w:w="589" w:type="dxa"/>
                  <w:tcBorders>
                    <w:tl2br w:val="nil"/>
                    <w:tr2bl w:val="nil"/>
                  </w:tcBorders>
                  <w:noWrap w:val="0"/>
                  <w:vAlign w:val="center"/>
                </w:tcPr>
                <w:p w14:paraId="0FA3072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w:t>
                  </w:r>
                </w:p>
              </w:tc>
              <w:tc>
                <w:tcPr>
                  <w:tcW w:w="750" w:type="dxa"/>
                  <w:tcBorders>
                    <w:tl2br w:val="nil"/>
                    <w:tr2bl w:val="nil"/>
                  </w:tcBorders>
                  <w:noWrap w:val="0"/>
                  <w:vAlign w:val="center"/>
                </w:tcPr>
                <w:p w14:paraId="195E07F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甲类仓库</w:t>
                  </w:r>
                </w:p>
              </w:tc>
              <w:tc>
                <w:tcPr>
                  <w:tcW w:w="740" w:type="dxa"/>
                  <w:tcBorders>
                    <w:tl2br w:val="nil"/>
                    <w:tr2bl w:val="nil"/>
                  </w:tcBorders>
                  <w:noWrap w:val="0"/>
                  <w:vAlign w:val="center"/>
                </w:tcPr>
                <w:p w14:paraId="4571331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61B3E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0C2C51D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4419CEF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氢氧化钠</w:t>
                  </w:r>
                </w:p>
              </w:tc>
              <w:tc>
                <w:tcPr>
                  <w:tcW w:w="726" w:type="dxa"/>
                  <w:tcBorders>
                    <w:tl2br w:val="nil"/>
                    <w:tr2bl w:val="nil"/>
                  </w:tcBorders>
                  <w:noWrap w:val="0"/>
                  <w:vAlign w:val="center"/>
                </w:tcPr>
                <w:p w14:paraId="29A4FDB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液</w:t>
                  </w:r>
                </w:p>
              </w:tc>
              <w:tc>
                <w:tcPr>
                  <w:tcW w:w="1153" w:type="dxa"/>
                  <w:tcBorders>
                    <w:tl2br w:val="nil"/>
                    <w:tr2bl w:val="nil"/>
                  </w:tcBorders>
                  <w:noWrap w:val="0"/>
                  <w:vAlign w:val="center"/>
                </w:tcPr>
                <w:p w14:paraId="0303DEE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23%</w:t>
                  </w:r>
                </w:p>
              </w:tc>
              <w:tc>
                <w:tcPr>
                  <w:tcW w:w="666" w:type="dxa"/>
                  <w:tcBorders>
                    <w:tl2br w:val="nil"/>
                    <w:tr2bl w:val="nil"/>
                  </w:tcBorders>
                  <w:noWrap w:val="0"/>
                  <w:vAlign w:val="center"/>
                </w:tcPr>
                <w:p w14:paraId="778342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2.13</w:t>
                  </w:r>
                </w:p>
              </w:tc>
              <w:tc>
                <w:tcPr>
                  <w:tcW w:w="804" w:type="dxa"/>
                  <w:tcBorders>
                    <w:tl2br w:val="nil"/>
                    <w:tr2bl w:val="nil"/>
                  </w:tcBorders>
                  <w:noWrap w:val="0"/>
                  <w:vAlign w:val="center"/>
                </w:tcPr>
                <w:p w14:paraId="53DEA88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22B4F61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2.13</w:t>
                  </w:r>
                </w:p>
              </w:tc>
              <w:tc>
                <w:tcPr>
                  <w:tcW w:w="717" w:type="dxa"/>
                  <w:tcBorders>
                    <w:tl2br w:val="nil"/>
                    <w:tr2bl w:val="nil"/>
                  </w:tcBorders>
                  <w:noWrap w:val="0"/>
                  <w:vAlign w:val="center"/>
                </w:tcPr>
                <w:p w14:paraId="234EA69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20kg/桶</w:t>
                  </w:r>
                </w:p>
              </w:tc>
              <w:tc>
                <w:tcPr>
                  <w:tcW w:w="589" w:type="dxa"/>
                  <w:tcBorders>
                    <w:tl2br w:val="nil"/>
                    <w:tr2bl w:val="nil"/>
                  </w:tcBorders>
                  <w:noWrap w:val="0"/>
                  <w:vAlign w:val="center"/>
                </w:tcPr>
                <w:p w14:paraId="0BA1797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w:t>
                  </w:r>
                </w:p>
              </w:tc>
              <w:tc>
                <w:tcPr>
                  <w:tcW w:w="750" w:type="dxa"/>
                  <w:tcBorders>
                    <w:tl2br w:val="nil"/>
                    <w:tr2bl w:val="nil"/>
                  </w:tcBorders>
                  <w:noWrap w:val="0"/>
                  <w:vAlign w:val="center"/>
                </w:tcPr>
                <w:p w14:paraId="42307E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甲类仓库</w:t>
                  </w:r>
                </w:p>
              </w:tc>
              <w:tc>
                <w:tcPr>
                  <w:tcW w:w="740" w:type="dxa"/>
                  <w:tcBorders>
                    <w:tl2br w:val="nil"/>
                    <w:tr2bl w:val="nil"/>
                  </w:tcBorders>
                  <w:noWrap w:val="0"/>
                  <w:vAlign w:val="center"/>
                </w:tcPr>
                <w:p w14:paraId="733EDD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79D3C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restart"/>
                  <w:tcBorders>
                    <w:tl2br w:val="nil"/>
                    <w:tr2bl w:val="nil"/>
                  </w:tcBorders>
                  <w:noWrap w:val="0"/>
                  <w:vAlign w:val="center"/>
                </w:tcPr>
                <w:p w14:paraId="135C43C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ascii="Times New Roman" w:hAnsi="Times New Roman"/>
                      <w:color w:val="auto"/>
                      <w:sz w:val="18"/>
                      <w:szCs w:val="18"/>
                      <w:lang w:val="en-US" w:eastAsia="zh-CN"/>
                    </w:rPr>
                    <w:t>纳米功能性膜</w:t>
                  </w:r>
                </w:p>
              </w:tc>
              <w:tc>
                <w:tcPr>
                  <w:tcW w:w="792" w:type="dxa"/>
                  <w:tcBorders>
                    <w:tl2br w:val="nil"/>
                    <w:tr2bl w:val="nil"/>
                  </w:tcBorders>
                  <w:noWrap w:val="0"/>
                  <w:vAlign w:val="center"/>
                </w:tcPr>
                <w:p w14:paraId="71E2C1E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压敏胶水</w:t>
                  </w:r>
                </w:p>
              </w:tc>
              <w:tc>
                <w:tcPr>
                  <w:tcW w:w="726" w:type="dxa"/>
                  <w:tcBorders>
                    <w:tl2br w:val="nil"/>
                    <w:tr2bl w:val="nil"/>
                  </w:tcBorders>
                  <w:noWrap w:val="0"/>
                  <w:vAlign w:val="center"/>
                </w:tcPr>
                <w:p w14:paraId="7D1C024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液</w:t>
                  </w:r>
                </w:p>
              </w:tc>
              <w:tc>
                <w:tcPr>
                  <w:tcW w:w="1153" w:type="dxa"/>
                  <w:tcBorders>
                    <w:tl2br w:val="nil"/>
                    <w:tr2bl w:val="nil"/>
                  </w:tcBorders>
                  <w:noWrap w:val="0"/>
                  <w:vAlign w:val="center"/>
                </w:tcPr>
                <w:p w14:paraId="74783B5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Cs/>
                      <w:color w:val="auto"/>
                      <w:sz w:val="18"/>
                      <w:szCs w:val="18"/>
                    </w:rPr>
                    <w:t>丙烯酸树脂（40%）、乙酸乙酯（33%）和助剂（27%）</w:t>
                  </w:r>
                </w:p>
              </w:tc>
              <w:tc>
                <w:tcPr>
                  <w:tcW w:w="666" w:type="dxa"/>
                  <w:tcBorders>
                    <w:tl2br w:val="nil"/>
                    <w:tr2bl w:val="nil"/>
                  </w:tcBorders>
                  <w:noWrap w:val="0"/>
                  <w:vAlign w:val="center"/>
                </w:tcPr>
                <w:p w14:paraId="3874E4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15</w:t>
                  </w:r>
                  <w:r>
                    <w:rPr>
                      <w:rFonts w:hint="default" w:ascii="Times New Roman" w:hAnsi="Times New Roman" w:eastAsia="宋体" w:cs="Times New Roman"/>
                      <w:b w:val="0"/>
                      <w:bCs w:val="0"/>
                      <w:color w:val="auto"/>
                      <w:sz w:val="18"/>
                      <w:szCs w:val="18"/>
                    </w:rPr>
                    <w:t>00</w:t>
                  </w:r>
                </w:p>
              </w:tc>
              <w:tc>
                <w:tcPr>
                  <w:tcW w:w="804" w:type="dxa"/>
                  <w:tcBorders>
                    <w:tl2br w:val="nil"/>
                    <w:tr2bl w:val="nil"/>
                  </w:tcBorders>
                  <w:noWrap w:val="0"/>
                  <w:vAlign w:val="center"/>
                </w:tcPr>
                <w:p w14:paraId="5BC7EF2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6237F0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15</w:t>
                  </w:r>
                  <w:r>
                    <w:rPr>
                      <w:rFonts w:hint="default" w:ascii="Times New Roman" w:hAnsi="Times New Roman" w:eastAsia="宋体" w:cs="Times New Roman"/>
                      <w:b w:val="0"/>
                      <w:bCs w:val="0"/>
                      <w:color w:val="auto"/>
                      <w:sz w:val="18"/>
                      <w:szCs w:val="18"/>
                    </w:rPr>
                    <w:t>00</w:t>
                  </w:r>
                </w:p>
              </w:tc>
              <w:tc>
                <w:tcPr>
                  <w:tcW w:w="717" w:type="dxa"/>
                  <w:tcBorders>
                    <w:tl2br w:val="nil"/>
                    <w:tr2bl w:val="nil"/>
                  </w:tcBorders>
                  <w:noWrap w:val="0"/>
                  <w:vAlign w:val="center"/>
                </w:tcPr>
                <w:p w14:paraId="2967313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200kg/桶</w:t>
                  </w:r>
                </w:p>
              </w:tc>
              <w:tc>
                <w:tcPr>
                  <w:tcW w:w="589" w:type="dxa"/>
                  <w:tcBorders>
                    <w:tl2br w:val="nil"/>
                    <w:tr2bl w:val="nil"/>
                  </w:tcBorders>
                  <w:noWrap w:val="0"/>
                  <w:vAlign w:val="center"/>
                </w:tcPr>
                <w:p w14:paraId="132549A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c>
                <w:tcPr>
                  <w:tcW w:w="750" w:type="dxa"/>
                  <w:tcBorders>
                    <w:tl2br w:val="nil"/>
                    <w:tr2bl w:val="nil"/>
                  </w:tcBorders>
                  <w:noWrap w:val="0"/>
                  <w:vAlign w:val="center"/>
                </w:tcPr>
                <w:p w14:paraId="3B4AF11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甲类仓库</w:t>
                  </w:r>
                </w:p>
              </w:tc>
              <w:tc>
                <w:tcPr>
                  <w:tcW w:w="740" w:type="dxa"/>
                  <w:tcBorders>
                    <w:tl2br w:val="nil"/>
                    <w:tr2bl w:val="nil"/>
                  </w:tcBorders>
                  <w:noWrap w:val="0"/>
                  <w:vAlign w:val="center"/>
                </w:tcPr>
                <w:p w14:paraId="02F14B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65B76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693BDDC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77AEC07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离型膜</w:t>
                  </w:r>
                </w:p>
              </w:tc>
              <w:tc>
                <w:tcPr>
                  <w:tcW w:w="726" w:type="dxa"/>
                  <w:tcBorders>
                    <w:tl2br w:val="nil"/>
                    <w:tr2bl w:val="nil"/>
                  </w:tcBorders>
                  <w:noWrap w:val="0"/>
                  <w:vAlign w:val="center"/>
                </w:tcPr>
                <w:p w14:paraId="41F1BF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40C59C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23um</w:t>
                  </w:r>
                </w:p>
              </w:tc>
              <w:tc>
                <w:tcPr>
                  <w:tcW w:w="666" w:type="dxa"/>
                  <w:tcBorders>
                    <w:tl2br w:val="nil"/>
                    <w:tr2bl w:val="nil"/>
                  </w:tcBorders>
                  <w:noWrap w:val="0"/>
                  <w:vAlign w:val="center"/>
                </w:tcPr>
                <w:p w14:paraId="1F1840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7400</w:t>
                  </w:r>
                </w:p>
              </w:tc>
              <w:tc>
                <w:tcPr>
                  <w:tcW w:w="804" w:type="dxa"/>
                  <w:tcBorders>
                    <w:tl2br w:val="nil"/>
                    <w:tr2bl w:val="nil"/>
                  </w:tcBorders>
                  <w:noWrap w:val="0"/>
                  <w:vAlign w:val="center"/>
                </w:tcPr>
                <w:p w14:paraId="6C4F4D4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060F71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7400</w:t>
                  </w:r>
                </w:p>
              </w:tc>
              <w:tc>
                <w:tcPr>
                  <w:tcW w:w="717" w:type="dxa"/>
                  <w:tcBorders>
                    <w:tl2br w:val="nil"/>
                    <w:tr2bl w:val="nil"/>
                  </w:tcBorders>
                  <w:noWrap w:val="0"/>
                  <w:vAlign w:val="center"/>
                </w:tcPr>
                <w:p w14:paraId="3D77B3B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卷装</w:t>
                  </w:r>
                </w:p>
              </w:tc>
              <w:tc>
                <w:tcPr>
                  <w:tcW w:w="589" w:type="dxa"/>
                  <w:tcBorders>
                    <w:tl2br w:val="nil"/>
                    <w:tr2bl w:val="nil"/>
                  </w:tcBorders>
                  <w:noWrap w:val="0"/>
                  <w:vAlign w:val="center"/>
                </w:tcPr>
                <w:p w14:paraId="514E626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50</w:t>
                  </w:r>
                </w:p>
              </w:tc>
              <w:tc>
                <w:tcPr>
                  <w:tcW w:w="750" w:type="dxa"/>
                  <w:tcBorders>
                    <w:tl2br w:val="nil"/>
                    <w:tr2bl w:val="nil"/>
                  </w:tcBorders>
                  <w:noWrap w:val="0"/>
                  <w:vAlign w:val="center"/>
                </w:tcPr>
                <w:p w14:paraId="7B572A3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1#丙类仓库</w:t>
                  </w:r>
                </w:p>
              </w:tc>
              <w:tc>
                <w:tcPr>
                  <w:tcW w:w="740" w:type="dxa"/>
                  <w:tcBorders>
                    <w:tl2br w:val="nil"/>
                    <w:tr2bl w:val="nil"/>
                  </w:tcBorders>
                  <w:noWrap w:val="0"/>
                  <w:vAlign w:val="center"/>
                </w:tcPr>
                <w:p w14:paraId="36B61BC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5B6B4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1CDF940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62A0A9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PET膜</w:t>
                  </w:r>
                </w:p>
              </w:tc>
              <w:tc>
                <w:tcPr>
                  <w:tcW w:w="726" w:type="dxa"/>
                  <w:tcBorders>
                    <w:tl2br w:val="nil"/>
                    <w:tr2bl w:val="nil"/>
                  </w:tcBorders>
                  <w:noWrap w:val="0"/>
                  <w:vAlign w:val="center"/>
                </w:tcPr>
                <w:p w14:paraId="147523C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w:t>
                  </w:r>
                </w:p>
              </w:tc>
              <w:tc>
                <w:tcPr>
                  <w:tcW w:w="1153" w:type="dxa"/>
                  <w:tcBorders>
                    <w:tl2br w:val="nil"/>
                    <w:tr2bl w:val="nil"/>
                  </w:tcBorders>
                  <w:noWrap w:val="0"/>
                  <w:vAlign w:val="center"/>
                </w:tcPr>
                <w:p w14:paraId="176F4BB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50um</w:t>
                  </w:r>
                </w:p>
              </w:tc>
              <w:tc>
                <w:tcPr>
                  <w:tcW w:w="666" w:type="dxa"/>
                  <w:tcBorders>
                    <w:tl2br w:val="nil"/>
                    <w:tr2bl w:val="nil"/>
                  </w:tcBorders>
                  <w:noWrap w:val="0"/>
                  <w:vAlign w:val="center"/>
                </w:tcPr>
                <w:p w14:paraId="467C8B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2200</w:t>
                  </w:r>
                </w:p>
              </w:tc>
              <w:tc>
                <w:tcPr>
                  <w:tcW w:w="804" w:type="dxa"/>
                  <w:tcBorders>
                    <w:tl2br w:val="nil"/>
                    <w:tr2bl w:val="nil"/>
                  </w:tcBorders>
                  <w:noWrap w:val="0"/>
                  <w:vAlign w:val="center"/>
                </w:tcPr>
                <w:p w14:paraId="766DB2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663B53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2200</w:t>
                  </w:r>
                </w:p>
              </w:tc>
              <w:tc>
                <w:tcPr>
                  <w:tcW w:w="717" w:type="dxa"/>
                  <w:tcBorders>
                    <w:tl2br w:val="nil"/>
                    <w:tr2bl w:val="nil"/>
                  </w:tcBorders>
                  <w:noWrap w:val="0"/>
                  <w:vAlign w:val="center"/>
                </w:tcPr>
                <w:p w14:paraId="3A7AA57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卷装</w:t>
                  </w:r>
                </w:p>
              </w:tc>
              <w:tc>
                <w:tcPr>
                  <w:tcW w:w="589" w:type="dxa"/>
                  <w:tcBorders>
                    <w:tl2br w:val="nil"/>
                    <w:tr2bl w:val="nil"/>
                  </w:tcBorders>
                  <w:noWrap w:val="0"/>
                  <w:vAlign w:val="center"/>
                </w:tcPr>
                <w:p w14:paraId="533557E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100</w:t>
                  </w:r>
                </w:p>
              </w:tc>
              <w:tc>
                <w:tcPr>
                  <w:tcW w:w="750" w:type="dxa"/>
                  <w:tcBorders>
                    <w:tl2br w:val="nil"/>
                    <w:tr2bl w:val="nil"/>
                  </w:tcBorders>
                  <w:noWrap w:val="0"/>
                  <w:vAlign w:val="center"/>
                </w:tcPr>
                <w:p w14:paraId="7A4FA8A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1#丙类仓库</w:t>
                  </w:r>
                </w:p>
              </w:tc>
              <w:tc>
                <w:tcPr>
                  <w:tcW w:w="740" w:type="dxa"/>
                  <w:tcBorders>
                    <w:tl2br w:val="nil"/>
                    <w:tr2bl w:val="nil"/>
                  </w:tcBorders>
                  <w:noWrap w:val="0"/>
                  <w:vAlign w:val="center"/>
                </w:tcPr>
                <w:p w14:paraId="6685D44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393D4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0978F7B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5E15DBF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乙酸乙酯</w:t>
                  </w:r>
                </w:p>
              </w:tc>
              <w:tc>
                <w:tcPr>
                  <w:tcW w:w="726" w:type="dxa"/>
                  <w:tcBorders>
                    <w:tl2br w:val="nil"/>
                    <w:tr2bl w:val="nil"/>
                  </w:tcBorders>
                  <w:noWrap w:val="0"/>
                  <w:vAlign w:val="center"/>
                </w:tcPr>
                <w:p w14:paraId="1678BE4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液</w:t>
                  </w:r>
                </w:p>
              </w:tc>
              <w:tc>
                <w:tcPr>
                  <w:tcW w:w="1153" w:type="dxa"/>
                  <w:tcBorders>
                    <w:tl2br w:val="nil"/>
                    <w:tr2bl w:val="nil"/>
                  </w:tcBorders>
                  <w:noWrap w:val="0"/>
                  <w:vAlign w:val="center"/>
                </w:tcPr>
                <w:p w14:paraId="4C56ACF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99%</w:t>
                  </w:r>
                </w:p>
              </w:tc>
              <w:tc>
                <w:tcPr>
                  <w:tcW w:w="666" w:type="dxa"/>
                  <w:tcBorders>
                    <w:tl2br w:val="nil"/>
                    <w:tr2bl w:val="nil"/>
                  </w:tcBorders>
                  <w:noWrap w:val="0"/>
                  <w:vAlign w:val="center"/>
                </w:tcPr>
                <w:p w14:paraId="6F3859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580</w:t>
                  </w:r>
                </w:p>
              </w:tc>
              <w:tc>
                <w:tcPr>
                  <w:tcW w:w="804" w:type="dxa"/>
                  <w:tcBorders>
                    <w:tl2br w:val="nil"/>
                    <w:tr2bl w:val="nil"/>
                  </w:tcBorders>
                  <w:noWrap w:val="0"/>
                  <w:vAlign w:val="center"/>
                </w:tcPr>
                <w:p w14:paraId="7C8C38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196981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580</w:t>
                  </w:r>
                </w:p>
              </w:tc>
              <w:tc>
                <w:tcPr>
                  <w:tcW w:w="717" w:type="dxa"/>
                  <w:tcBorders>
                    <w:tl2br w:val="nil"/>
                    <w:tr2bl w:val="nil"/>
                  </w:tcBorders>
                  <w:noWrap w:val="0"/>
                  <w:vAlign w:val="center"/>
                </w:tcPr>
                <w:p w14:paraId="448B3E8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200kg/桶</w:t>
                  </w:r>
                </w:p>
              </w:tc>
              <w:tc>
                <w:tcPr>
                  <w:tcW w:w="589" w:type="dxa"/>
                  <w:tcBorders>
                    <w:tl2br w:val="nil"/>
                    <w:tr2bl w:val="nil"/>
                  </w:tcBorders>
                  <w:noWrap w:val="0"/>
                  <w:vAlign w:val="center"/>
                </w:tcPr>
                <w:p w14:paraId="4C39E9A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30</w:t>
                  </w:r>
                </w:p>
              </w:tc>
              <w:tc>
                <w:tcPr>
                  <w:tcW w:w="750" w:type="dxa"/>
                  <w:tcBorders>
                    <w:tl2br w:val="nil"/>
                    <w:tr2bl w:val="nil"/>
                  </w:tcBorders>
                  <w:noWrap w:val="0"/>
                  <w:vAlign w:val="center"/>
                </w:tcPr>
                <w:p w14:paraId="0FF0E3D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甲类仓库</w:t>
                  </w:r>
                </w:p>
              </w:tc>
              <w:tc>
                <w:tcPr>
                  <w:tcW w:w="740" w:type="dxa"/>
                  <w:tcBorders>
                    <w:tl2br w:val="nil"/>
                    <w:tr2bl w:val="nil"/>
                  </w:tcBorders>
                  <w:noWrap w:val="0"/>
                  <w:vAlign w:val="center"/>
                </w:tcPr>
                <w:p w14:paraId="17FB444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1C2BB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2BD23ED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5357260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甲苯</w:t>
                  </w:r>
                </w:p>
              </w:tc>
              <w:tc>
                <w:tcPr>
                  <w:tcW w:w="726" w:type="dxa"/>
                  <w:tcBorders>
                    <w:tl2br w:val="nil"/>
                    <w:tr2bl w:val="nil"/>
                  </w:tcBorders>
                  <w:noWrap w:val="0"/>
                  <w:vAlign w:val="center"/>
                </w:tcPr>
                <w:p w14:paraId="5DF6137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液</w:t>
                  </w:r>
                </w:p>
              </w:tc>
              <w:tc>
                <w:tcPr>
                  <w:tcW w:w="1153" w:type="dxa"/>
                  <w:tcBorders>
                    <w:tl2br w:val="nil"/>
                    <w:tr2bl w:val="nil"/>
                  </w:tcBorders>
                  <w:noWrap w:val="0"/>
                  <w:vAlign w:val="center"/>
                </w:tcPr>
                <w:p w14:paraId="2321CC0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99%</w:t>
                  </w:r>
                </w:p>
              </w:tc>
              <w:tc>
                <w:tcPr>
                  <w:tcW w:w="666" w:type="dxa"/>
                  <w:tcBorders>
                    <w:tl2br w:val="nil"/>
                    <w:tr2bl w:val="nil"/>
                  </w:tcBorders>
                  <w:noWrap w:val="0"/>
                  <w:vAlign w:val="center"/>
                </w:tcPr>
                <w:p w14:paraId="07F9EC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150</w:t>
                  </w:r>
                </w:p>
              </w:tc>
              <w:tc>
                <w:tcPr>
                  <w:tcW w:w="804" w:type="dxa"/>
                  <w:tcBorders>
                    <w:tl2br w:val="nil"/>
                    <w:tr2bl w:val="nil"/>
                  </w:tcBorders>
                  <w:noWrap w:val="0"/>
                  <w:vAlign w:val="center"/>
                </w:tcPr>
                <w:p w14:paraId="352E0F6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18D158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150</w:t>
                  </w:r>
                </w:p>
              </w:tc>
              <w:tc>
                <w:tcPr>
                  <w:tcW w:w="717" w:type="dxa"/>
                  <w:tcBorders>
                    <w:tl2br w:val="nil"/>
                    <w:tr2bl w:val="nil"/>
                  </w:tcBorders>
                  <w:noWrap w:val="0"/>
                  <w:vAlign w:val="center"/>
                </w:tcPr>
                <w:p w14:paraId="15CF40E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200kg/桶</w:t>
                  </w:r>
                </w:p>
              </w:tc>
              <w:tc>
                <w:tcPr>
                  <w:tcW w:w="589" w:type="dxa"/>
                  <w:tcBorders>
                    <w:tl2br w:val="nil"/>
                    <w:tr2bl w:val="nil"/>
                  </w:tcBorders>
                  <w:noWrap w:val="0"/>
                  <w:vAlign w:val="center"/>
                </w:tcPr>
                <w:p w14:paraId="2B49525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c>
                <w:tcPr>
                  <w:tcW w:w="750" w:type="dxa"/>
                  <w:tcBorders>
                    <w:tl2br w:val="nil"/>
                    <w:tr2bl w:val="nil"/>
                  </w:tcBorders>
                  <w:noWrap w:val="0"/>
                  <w:vAlign w:val="center"/>
                </w:tcPr>
                <w:p w14:paraId="0E7C47D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甲类仓库</w:t>
                  </w:r>
                </w:p>
              </w:tc>
              <w:tc>
                <w:tcPr>
                  <w:tcW w:w="740" w:type="dxa"/>
                  <w:tcBorders>
                    <w:tl2br w:val="nil"/>
                    <w:tr2bl w:val="nil"/>
                  </w:tcBorders>
                  <w:noWrap w:val="0"/>
                  <w:vAlign w:val="center"/>
                </w:tcPr>
                <w:p w14:paraId="48A8ACD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tr w14:paraId="18871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37" w:type="dxa"/>
                  <w:vMerge w:val="continue"/>
                  <w:tcBorders>
                    <w:tl2br w:val="nil"/>
                    <w:tr2bl w:val="nil"/>
                  </w:tcBorders>
                  <w:noWrap w:val="0"/>
                  <w:vAlign w:val="center"/>
                </w:tcPr>
                <w:p w14:paraId="621BF5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p>
              </w:tc>
              <w:tc>
                <w:tcPr>
                  <w:tcW w:w="792" w:type="dxa"/>
                  <w:tcBorders>
                    <w:tl2br w:val="nil"/>
                    <w:tr2bl w:val="nil"/>
                  </w:tcBorders>
                  <w:noWrap w:val="0"/>
                  <w:vAlign w:val="center"/>
                </w:tcPr>
                <w:p w14:paraId="0AA18CA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丁酮</w:t>
                  </w:r>
                </w:p>
              </w:tc>
              <w:tc>
                <w:tcPr>
                  <w:tcW w:w="726" w:type="dxa"/>
                  <w:tcBorders>
                    <w:tl2br w:val="nil"/>
                    <w:tr2bl w:val="nil"/>
                  </w:tcBorders>
                  <w:noWrap w:val="0"/>
                  <w:vAlign w:val="center"/>
                </w:tcPr>
                <w:p w14:paraId="068264C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液</w:t>
                  </w:r>
                </w:p>
              </w:tc>
              <w:tc>
                <w:tcPr>
                  <w:tcW w:w="1153" w:type="dxa"/>
                  <w:tcBorders>
                    <w:tl2br w:val="nil"/>
                    <w:tr2bl w:val="nil"/>
                  </w:tcBorders>
                  <w:noWrap w:val="0"/>
                  <w:vAlign w:val="center"/>
                </w:tcPr>
                <w:p w14:paraId="3E50439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99%</w:t>
                  </w:r>
                </w:p>
              </w:tc>
              <w:tc>
                <w:tcPr>
                  <w:tcW w:w="666" w:type="dxa"/>
                  <w:tcBorders>
                    <w:tl2br w:val="nil"/>
                    <w:tr2bl w:val="nil"/>
                  </w:tcBorders>
                  <w:noWrap w:val="0"/>
                  <w:vAlign w:val="center"/>
                </w:tcPr>
                <w:p w14:paraId="0F1FC7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150</w:t>
                  </w:r>
                </w:p>
              </w:tc>
              <w:tc>
                <w:tcPr>
                  <w:tcW w:w="804" w:type="dxa"/>
                  <w:tcBorders>
                    <w:tl2br w:val="nil"/>
                    <w:tr2bl w:val="nil"/>
                  </w:tcBorders>
                  <w:noWrap w:val="0"/>
                  <w:vAlign w:val="center"/>
                </w:tcPr>
                <w:p w14:paraId="5EB1087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0</w:t>
                  </w:r>
                </w:p>
              </w:tc>
              <w:tc>
                <w:tcPr>
                  <w:tcW w:w="894" w:type="dxa"/>
                  <w:tcBorders>
                    <w:tl2br w:val="nil"/>
                    <w:tr2bl w:val="nil"/>
                  </w:tcBorders>
                  <w:noWrap w:val="0"/>
                  <w:vAlign w:val="center"/>
                </w:tcPr>
                <w:p w14:paraId="3ECB41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150</w:t>
                  </w:r>
                </w:p>
              </w:tc>
              <w:tc>
                <w:tcPr>
                  <w:tcW w:w="717" w:type="dxa"/>
                  <w:tcBorders>
                    <w:tl2br w:val="nil"/>
                    <w:tr2bl w:val="nil"/>
                  </w:tcBorders>
                  <w:noWrap w:val="0"/>
                  <w:vAlign w:val="center"/>
                </w:tcPr>
                <w:p w14:paraId="7AD9103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200kg/桶</w:t>
                  </w:r>
                </w:p>
              </w:tc>
              <w:tc>
                <w:tcPr>
                  <w:tcW w:w="589" w:type="dxa"/>
                  <w:tcBorders>
                    <w:tl2br w:val="nil"/>
                    <w:tr2bl w:val="nil"/>
                  </w:tcBorders>
                  <w:noWrap w:val="0"/>
                  <w:vAlign w:val="center"/>
                </w:tcPr>
                <w:p w14:paraId="66B309B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c>
                <w:tcPr>
                  <w:tcW w:w="750" w:type="dxa"/>
                  <w:tcBorders>
                    <w:tl2br w:val="nil"/>
                    <w:tr2bl w:val="nil"/>
                  </w:tcBorders>
                  <w:noWrap w:val="0"/>
                  <w:vAlign w:val="center"/>
                </w:tcPr>
                <w:p w14:paraId="543707B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甲类仓库</w:t>
                  </w:r>
                </w:p>
              </w:tc>
              <w:tc>
                <w:tcPr>
                  <w:tcW w:w="740" w:type="dxa"/>
                  <w:tcBorders>
                    <w:tl2br w:val="nil"/>
                    <w:tr2bl w:val="nil"/>
                  </w:tcBorders>
                  <w:noWrap w:val="0"/>
                  <w:vAlign w:val="center"/>
                </w:tcPr>
                <w:p w14:paraId="705986F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w:t>
                  </w:r>
                </w:p>
              </w:tc>
            </w:tr>
            <w:bookmarkEnd w:id="6"/>
            <w:bookmarkEnd w:id="7"/>
          </w:tbl>
          <w:p w14:paraId="71F002DE">
            <w:pPr>
              <w:keepNext w:val="0"/>
              <w:keepLines w:val="0"/>
              <w:pageBreakBefore w:val="0"/>
              <w:widowControl w:val="0"/>
              <w:kinsoku/>
              <w:wordWrap/>
              <w:overflowPunct w:val="0"/>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注：本项目靶材为磁控设备定制规格，由供应商定期更换。</w:t>
            </w:r>
          </w:p>
          <w:p w14:paraId="3F81DC7A">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w:t>
            </w:r>
            <w:r>
              <w:rPr>
                <w:rFonts w:hint="eastAsia" w:cs="Times New Roman"/>
                <w:b/>
                <w:color w:val="auto"/>
                <w:sz w:val="21"/>
                <w:szCs w:val="21"/>
                <w:highlight w:val="none"/>
                <w:lang w:val="en-US" w:eastAsia="zh-CN"/>
              </w:rPr>
              <w:t>4</w:t>
            </w:r>
            <w:r>
              <w:rPr>
                <w:rFonts w:hint="eastAsia"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rPr>
              <w:t>建设项目原辅材料理化性质表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4735"/>
              <w:gridCol w:w="965"/>
              <w:gridCol w:w="1018"/>
            </w:tblGrid>
            <w:tr w14:paraId="48D25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shd w:val="clear" w:color="auto" w:fill="D7D7D7" w:themeFill="background1" w:themeFillShade="D8"/>
                  <w:vAlign w:val="center"/>
                </w:tcPr>
                <w:p w14:paraId="73F3FD4C">
                  <w:pPr>
                    <w:spacing w:line="240" w:lineRule="auto"/>
                    <w:ind w:firstLine="0" w:firstLineChars="0"/>
                    <w:jc w:val="center"/>
                    <w:rPr>
                      <w:rFonts w:cs="Times New Roman"/>
                      <w:b/>
                      <w:bCs/>
                      <w:color w:val="auto"/>
                      <w:sz w:val="18"/>
                      <w:szCs w:val="18"/>
                    </w:rPr>
                  </w:pPr>
                  <w:r>
                    <w:rPr>
                      <w:rFonts w:cs="Times New Roman"/>
                      <w:b/>
                      <w:bCs/>
                      <w:color w:val="auto"/>
                      <w:sz w:val="18"/>
                      <w:szCs w:val="18"/>
                    </w:rPr>
                    <w:t>名称</w:t>
                  </w:r>
                </w:p>
              </w:tc>
              <w:tc>
                <w:tcPr>
                  <w:tcW w:w="4735" w:type="dxa"/>
                  <w:shd w:val="clear" w:color="auto" w:fill="D7D7D7" w:themeFill="background1" w:themeFillShade="D8"/>
                  <w:vAlign w:val="center"/>
                </w:tcPr>
                <w:p w14:paraId="724949A9">
                  <w:pPr>
                    <w:spacing w:line="240" w:lineRule="auto"/>
                    <w:ind w:firstLine="0" w:firstLineChars="0"/>
                    <w:jc w:val="center"/>
                    <w:rPr>
                      <w:rFonts w:cs="Times New Roman"/>
                      <w:b/>
                      <w:bCs/>
                      <w:color w:val="auto"/>
                      <w:sz w:val="18"/>
                      <w:szCs w:val="18"/>
                    </w:rPr>
                  </w:pPr>
                  <w:r>
                    <w:rPr>
                      <w:rFonts w:cs="Times New Roman"/>
                      <w:b/>
                      <w:bCs/>
                      <w:color w:val="auto"/>
                      <w:sz w:val="18"/>
                      <w:szCs w:val="18"/>
                    </w:rPr>
                    <w:t>理化性质</w:t>
                  </w:r>
                </w:p>
              </w:tc>
              <w:tc>
                <w:tcPr>
                  <w:tcW w:w="965" w:type="dxa"/>
                  <w:shd w:val="clear" w:color="auto" w:fill="D7D7D7" w:themeFill="background1" w:themeFillShade="D8"/>
                  <w:vAlign w:val="center"/>
                </w:tcPr>
                <w:p w14:paraId="009BDEBF">
                  <w:pPr>
                    <w:spacing w:line="240" w:lineRule="auto"/>
                    <w:ind w:firstLine="0" w:firstLineChars="0"/>
                    <w:jc w:val="center"/>
                    <w:rPr>
                      <w:rFonts w:cs="Times New Roman"/>
                      <w:b/>
                      <w:bCs/>
                      <w:color w:val="auto"/>
                      <w:sz w:val="18"/>
                      <w:szCs w:val="18"/>
                    </w:rPr>
                  </w:pPr>
                  <w:r>
                    <w:rPr>
                      <w:rFonts w:cs="Times New Roman"/>
                      <w:b/>
                      <w:bCs/>
                      <w:color w:val="auto"/>
                      <w:sz w:val="18"/>
                      <w:szCs w:val="18"/>
                    </w:rPr>
                    <w:t>毒理特性</w:t>
                  </w:r>
                </w:p>
              </w:tc>
              <w:tc>
                <w:tcPr>
                  <w:tcW w:w="1018" w:type="dxa"/>
                  <w:shd w:val="clear" w:color="auto" w:fill="D7D7D7" w:themeFill="background1" w:themeFillShade="D8"/>
                  <w:vAlign w:val="center"/>
                </w:tcPr>
                <w:p w14:paraId="76BCECB9">
                  <w:pPr>
                    <w:spacing w:line="240" w:lineRule="auto"/>
                    <w:ind w:firstLine="0" w:firstLineChars="0"/>
                    <w:jc w:val="center"/>
                    <w:rPr>
                      <w:rFonts w:cs="Times New Roman"/>
                      <w:b/>
                      <w:bCs/>
                      <w:color w:val="auto"/>
                      <w:sz w:val="18"/>
                      <w:szCs w:val="18"/>
                    </w:rPr>
                  </w:pPr>
                  <w:r>
                    <w:rPr>
                      <w:rFonts w:cs="Times New Roman"/>
                      <w:b/>
                      <w:bCs/>
                      <w:color w:val="auto"/>
                      <w:sz w:val="18"/>
                      <w:szCs w:val="18"/>
                    </w:rPr>
                    <w:t>危险特性</w:t>
                  </w:r>
                </w:p>
              </w:tc>
            </w:tr>
            <w:tr w14:paraId="5B8E1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vAlign w:val="center"/>
                </w:tcPr>
                <w:p w14:paraId="35175980">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b w:val="0"/>
                      <w:bCs w:val="0"/>
                      <w:color w:val="auto"/>
                      <w:sz w:val="18"/>
                      <w:szCs w:val="18"/>
                      <w:highlight w:val="none"/>
                      <w:lang w:val="en-US" w:eastAsia="zh-CN"/>
                    </w:rPr>
                    <w:t>铌</w:t>
                  </w:r>
                </w:p>
              </w:tc>
              <w:tc>
                <w:tcPr>
                  <w:tcW w:w="4735" w:type="dxa"/>
                  <w:vAlign w:val="center"/>
                </w:tcPr>
                <w:p w14:paraId="70EF2053">
                  <w:pPr>
                    <w:pStyle w:val="167"/>
                    <w:spacing w:line="240" w:lineRule="auto"/>
                    <w:ind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过渡金属元素，带光泽的灰色金属，熔点2468℃，沸点4742℃，密度8.57g/cm</w:t>
                  </w:r>
                  <w:r>
                    <w:rPr>
                      <w:rFonts w:hint="default" w:ascii="Times New Roman" w:hAnsi="Times New Roman" w:eastAsia="宋体" w:cs="Times New Roman"/>
                      <w:color w:val="auto"/>
                      <w:spacing w:val="8"/>
                      <w:sz w:val="18"/>
                      <w:szCs w:val="18"/>
                      <w:vertAlign w:val="superscript"/>
                      <w:lang w:val="en-US" w:eastAsia="zh-CN"/>
                    </w:rPr>
                    <w:t>3</w:t>
                  </w:r>
                  <w:r>
                    <w:rPr>
                      <w:rFonts w:hint="default" w:ascii="Times New Roman" w:hAnsi="Times New Roman" w:eastAsia="宋体" w:cs="Times New Roman"/>
                      <w:color w:val="auto"/>
                      <w:spacing w:val="8"/>
                      <w:sz w:val="18"/>
                      <w:szCs w:val="18"/>
                      <w:lang w:val="en-US" w:eastAsia="zh-CN"/>
                    </w:rPr>
                    <w:t>，具有</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"https://baike.baidu.com/item/%E9%A1%BA%E7%A3%81%E6%80%A7/0?fromModule=lemma_inlink" \t "https://baike.baidu.com/item/%E9%93%8C/_blank"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顺磁性</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。室温下铌在空气中稳定，在氧气中红热时也不被完全氧化，高温下与硫、氮、碳直接化合，能与</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"https://baike.baidu.com/item/%E9%92%9B/499070?fromModule=lemma_inlink" \t "https://baike.baidu.com/item/%E9%93%8C/_blank"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钛</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"https://baike.baidu.com/item/%E9%94%86/716654?fromModule=lemma_inlink" \t "https://baike.baidu.com/item/%E9%93%8C/_blank"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锆</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"https://baike.baidu.com/item/%E9%93%AA/84393?fromModule=lemma_inlink" \t "https://baike.baidu.com/item/%E9%93%8C/_blank"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铪</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、钨形成合金。不与无机酸或碱作用，也不溶于王水，但可溶于</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"https://baike.baidu.com/item/%E6%B0%A2%E6%B0%9F%E9%85%B8/1135555?fromModule=lemma_inlink" \t "https://baike.baidu.com/item/%E9%93%8C/_blank"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氢氟酸</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w:t>
                  </w:r>
                </w:p>
              </w:tc>
              <w:tc>
                <w:tcPr>
                  <w:tcW w:w="965" w:type="dxa"/>
                  <w:vAlign w:val="center"/>
                </w:tcPr>
                <w:p w14:paraId="681581C0">
                  <w:pPr>
                    <w:pStyle w:val="16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018" w:type="dxa"/>
                  <w:vAlign w:val="center"/>
                </w:tcPr>
                <w:p w14:paraId="0D97DBEC">
                  <w:pPr>
                    <w:spacing w:line="240" w:lineRule="auto"/>
                    <w:ind w:firstLine="0" w:firstLineChars="0"/>
                    <w:jc w:val="center"/>
                    <w:rPr>
                      <w:rFonts w:hint="default" w:ascii="Times New Roman" w:hAnsi="Times New Roman" w:eastAsia="宋体" w:cs="Times New Roman"/>
                      <w:color w:val="auto"/>
                      <w:spacing w:val="7"/>
                      <w:sz w:val="18"/>
                      <w:szCs w:val="18"/>
                      <w:lang w:val="en-US" w:eastAsia="zh-CN"/>
                    </w:rPr>
                  </w:pPr>
                  <w:r>
                    <w:rPr>
                      <w:rFonts w:hint="default" w:ascii="Times New Roman" w:hAnsi="Times New Roman" w:eastAsia="宋体" w:cs="Times New Roman"/>
                      <w:color w:val="auto"/>
                      <w:spacing w:val="7"/>
                      <w:sz w:val="18"/>
                      <w:szCs w:val="18"/>
                      <w:lang w:val="en-US" w:eastAsia="zh-CN"/>
                    </w:rPr>
                    <w:t>/</w:t>
                  </w:r>
                </w:p>
              </w:tc>
            </w:tr>
            <w:tr w14:paraId="71A23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vAlign w:val="center"/>
                </w:tcPr>
                <w:p w14:paraId="5BE055D8">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镍</w:t>
                  </w:r>
                </w:p>
              </w:tc>
              <w:tc>
                <w:tcPr>
                  <w:tcW w:w="4735" w:type="dxa"/>
                  <w:vAlign w:val="center"/>
                </w:tcPr>
                <w:p w14:paraId="2E5B0E57">
                  <w:pPr>
                    <w:pStyle w:val="167"/>
                    <w:spacing w:line="240" w:lineRule="auto"/>
                    <w:ind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近似银白色、硬而有延展性并具有</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"https://baike.baidu.com/item/%E9%93%81%E7%A3%81%E6%80%A7/0?fromModule=lemma_inlink" \t "https://baike.baidu.com/item/%E9%95%8D/_blank"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铁磁性</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的</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"https://baike.baidu.com/item/%E9%87%91%E5%B1%9E%E5%85%83%E7%B4%A0/0?fromModule=lemma_inlink" \t "https://baike.baidu.com/item/%E9%95%8D/_blank"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金属元素</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，它能够高度磨光和抗腐蚀。溶于</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"https://baike.baidu.com/item/%E7%A1%9D%E9%85%B8/0?fromModule=lemma_inlink" \t "https://baike.baidu.com/item/%E9%95%8D/_blank"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硝酸</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后，呈绿色。主要用于合金（如</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"https://baike.baidu.com/item/%E9%95%8D%E9%92%A2/6877813?fromModule=lemma_inlink" \t "https://baike.baidu.com/item/%E9%95%8D/_blank"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镍钢</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和</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"https://baike.baidu.com/item/%E9%95%8D%E9%93%B6/0?fromModule=lemma_inlink" \t "https://baike.baidu.com/item/%E9%95%8D/_blank"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镍银</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）及用作</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"https://baike.baidu.com/item/%E5%82%AC%E5%8C%96%E5%89%82/1132343?fromModule=lemma_inlink" \t "https://baike.baidu.com/item/%E9%95%8D/_blank"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催化剂</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（如</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"https://baike.baidu.com/item/%E5%85%B0%E5%B0%BC%E9%95%8D/0?fromModule=lemma_inlink" \t "https://baike.baidu.com/item/%E9%95%8D/_blank"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兰尼镍</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，尤指用作</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"https://baike.baidu.com/item/%E6%B0%A2%E5%8C%96/9968538?fromModule=lemma_inlink" \t "https://baike.baidu.com/item/%E9%95%8D/_blank"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氢化</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的催化剂）密度，8.902g/cm</w:t>
                  </w:r>
                  <w:r>
                    <w:rPr>
                      <w:rFonts w:hint="default" w:ascii="Times New Roman" w:hAnsi="Times New Roman" w:eastAsia="宋体" w:cs="Times New Roman"/>
                      <w:color w:val="auto"/>
                      <w:spacing w:val="8"/>
                      <w:sz w:val="18"/>
                      <w:szCs w:val="18"/>
                      <w:vertAlign w:val="superscript"/>
                      <w:lang w:val="en-US" w:eastAsia="zh-CN"/>
                    </w:rPr>
                    <w:t>3</w:t>
                  </w:r>
                  <w:r>
                    <w:rPr>
                      <w:rFonts w:hint="default" w:ascii="Times New Roman" w:hAnsi="Times New Roman" w:eastAsia="宋体" w:cs="Times New Roman"/>
                      <w:color w:val="auto"/>
                      <w:spacing w:val="8"/>
                      <w:sz w:val="18"/>
                      <w:szCs w:val="18"/>
                      <w:lang w:val="en-US" w:eastAsia="zh-CN"/>
                    </w:rPr>
                    <w:t>，熔点1453℃，沸点2732℃。</w:t>
                  </w:r>
                </w:p>
              </w:tc>
              <w:tc>
                <w:tcPr>
                  <w:tcW w:w="965" w:type="dxa"/>
                  <w:vAlign w:val="center"/>
                </w:tcPr>
                <w:p w14:paraId="672E9C09">
                  <w:pPr>
                    <w:pStyle w:val="16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018" w:type="dxa"/>
                  <w:vAlign w:val="center"/>
                </w:tcPr>
                <w:p w14:paraId="5703CC01">
                  <w:pPr>
                    <w:spacing w:line="240" w:lineRule="auto"/>
                    <w:ind w:firstLine="0" w:firstLineChars="0"/>
                    <w:jc w:val="center"/>
                    <w:rPr>
                      <w:rFonts w:hint="default" w:ascii="Times New Roman" w:hAnsi="Times New Roman" w:eastAsia="宋体" w:cs="Times New Roman"/>
                      <w:color w:val="auto"/>
                      <w:spacing w:val="7"/>
                      <w:sz w:val="18"/>
                      <w:szCs w:val="18"/>
                      <w:lang w:val="en-US" w:eastAsia="zh-CN"/>
                    </w:rPr>
                  </w:pPr>
                  <w:r>
                    <w:rPr>
                      <w:rFonts w:hint="default" w:ascii="Times New Roman" w:hAnsi="Times New Roman" w:eastAsia="宋体" w:cs="Times New Roman"/>
                      <w:color w:val="auto"/>
                      <w:spacing w:val="7"/>
                      <w:sz w:val="18"/>
                      <w:szCs w:val="18"/>
                      <w:lang w:val="en-US" w:eastAsia="zh-CN"/>
                    </w:rPr>
                    <w:t>/</w:t>
                  </w:r>
                </w:p>
              </w:tc>
            </w:tr>
            <w:tr w14:paraId="6D5F1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vAlign w:val="center"/>
                </w:tcPr>
                <w:p w14:paraId="478DF369">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铬</w:t>
                  </w:r>
                </w:p>
              </w:tc>
              <w:tc>
                <w:tcPr>
                  <w:tcW w:w="4735" w:type="dxa"/>
                  <w:vAlign w:val="center"/>
                </w:tcPr>
                <w:p w14:paraId="659905C0">
                  <w:pPr>
                    <w:pStyle w:val="167"/>
                    <w:spacing w:line="240" w:lineRule="auto"/>
                    <w:ind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银白色有光泽的金属，纯铬有延展性，含杂质的铬硬而脆。相对密度7.15g/cm</w:t>
                  </w:r>
                  <w:r>
                    <w:rPr>
                      <w:rFonts w:hint="default" w:ascii="Times New Roman" w:hAnsi="Times New Roman" w:eastAsia="宋体" w:cs="Times New Roman"/>
                      <w:color w:val="auto"/>
                      <w:spacing w:val="8"/>
                      <w:sz w:val="18"/>
                      <w:szCs w:val="18"/>
                      <w:vertAlign w:val="superscript"/>
                      <w:lang w:val="en-US" w:eastAsia="zh-CN"/>
                    </w:rPr>
                    <w:t>3</w:t>
                  </w:r>
                  <w:r>
                    <w:rPr>
                      <w:rFonts w:hint="default" w:ascii="Times New Roman" w:hAnsi="Times New Roman" w:eastAsia="宋体" w:cs="Times New Roman"/>
                      <w:color w:val="auto"/>
                      <w:spacing w:val="8"/>
                      <w:sz w:val="18"/>
                      <w:szCs w:val="18"/>
                      <w:lang w:val="en-US" w:eastAsia="zh-CN"/>
                    </w:rPr>
                    <w:t>，熔点1907℃，沸点2679℃。</w:t>
                  </w:r>
                </w:p>
              </w:tc>
              <w:tc>
                <w:tcPr>
                  <w:tcW w:w="965" w:type="dxa"/>
                  <w:vAlign w:val="center"/>
                </w:tcPr>
                <w:p w14:paraId="6FDF0938">
                  <w:pPr>
                    <w:pStyle w:val="16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018" w:type="dxa"/>
                  <w:vAlign w:val="center"/>
                </w:tcPr>
                <w:p w14:paraId="11768861">
                  <w:pPr>
                    <w:spacing w:line="240" w:lineRule="auto"/>
                    <w:ind w:firstLine="0" w:firstLineChars="0"/>
                    <w:jc w:val="center"/>
                    <w:rPr>
                      <w:rFonts w:hint="default" w:ascii="Times New Roman" w:hAnsi="Times New Roman" w:eastAsia="宋体" w:cs="Times New Roman"/>
                      <w:color w:val="auto"/>
                      <w:spacing w:val="7"/>
                      <w:sz w:val="18"/>
                      <w:szCs w:val="18"/>
                      <w:lang w:val="en-US" w:eastAsia="zh-CN"/>
                    </w:rPr>
                  </w:pPr>
                  <w:r>
                    <w:rPr>
                      <w:rFonts w:hint="default" w:ascii="Times New Roman" w:hAnsi="Times New Roman" w:eastAsia="宋体" w:cs="Times New Roman"/>
                      <w:color w:val="auto"/>
                      <w:spacing w:val="7"/>
                      <w:sz w:val="18"/>
                      <w:szCs w:val="18"/>
                      <w:lang w:val="en-US" w:eastAsia="zh-CN"/>
                    </w:rPr>
                    <w:t>/</w:t>
                  </w:r>
                </w:p>
              </w:tc>
            </w:tr>
            <w:tr w14:paraId="0DDDC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vAlign w:val="center"/>
                </w:tcPr>
                <w:p w14:paraId="2E3CC9EE">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银</w:t>
                  </w:r>
                </w:p>
              </w:tc>
              <w:tc>
                <w:tcPr>
                  <w:tcW w:w="4735" w:type="dxa"/>
                  <w:vAlign w:val="center"/>
                </w:tcPr>
                <w:p w14:paraId="2F0E66D9">
                  <w:pPr>
                    <w:pStyle w:val="167"/>
                    <w:spacing w:line="240" w:lineRule="auto"/>
                    <w:ind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白色有光泽的金属，原子结构是</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"https://baike.baidu.com/item/%E9%9D%A2%E5%BF%83%E7%AB%8B%E6%96%B9%E7%BB%93%E6%9E%84/9052978?fromModule=lemma_inlink" \t "https://baike.baidu.com/item/%E9%93%B6/_blank"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面心立方结构</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，熔点961.93℃，沸点2212℃，不溶于水，密度10.49g/cm³，银在室温不与氧或空气作用，如有湿气存在，它容易被</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"https://baike.baidu.com/item/%E8%87%AD%E6%B0%A7/366494?fromModule=lemma_inlink" \t "https://baike.baidu.com/item/%E9%93%B6/_blank"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臭氧</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氧化。</w:t>
                  </w:r>
                </w:p>
              </w:tc>
              <w:tc>
                <w:tcPr>
                  <w:tcW w:w="965" w:type="dxa"/>
                  <w:vAlign w:val="center"/>
                </w:tcPr>
                <w:p w14:paraId="2DC188EB">
                  <w:pPr>
                    <w:pStyle w:val="16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018" w:type="dxa"/>
                  <w:vAlign w:val="center"/>
                </w:tcPr>
                <w:p w14:paraId="30DA6C66">
                  <w:pPr>
                    <w:spacing w:line="240" w:lineRule="auto"/>
                    <w:ind w:firstLine="0" w:firstLineChars="0"/>
                    <w:jc w:val="center"/>
                    <w:rPr>
                      <w:rFonts w:hint="default" w:ascii="Times New Roman" w:hAnsi="Times New Roman" w:eastAsia="宋体" w:cs="Times New Roman"/>
                      <w:color w:val="auto"/>
                      <w:spacing w:val="7"/>
                      <w:sz w:val="18"/>
                      <w:szCs w:val="18"/>
                      <w:lang w:val="en-US" w:eastAsia="zh-CN"/>
                    </w:rPr>
                  </w:pPr>
                  <w:r>
                    <w:rPr>
                      <w:rFonts w:hint="default" w:ascii="Times New Roman" w:hAnsi="Times New Roman" w:eastAsia="宋体" w:cs="Times New Roman"/>
                      <w:color w:val="auto"/>
                      <w:spacing w:val="7"/>
                      <w:sz w:val="18"/>
                      <w:szCs w:val="18"/>
                      <w:lang w:val="en-US" w:eastAsia="zh-CN"/>
                    </w:rPr>
                    <w:t>/</w:t>
                  </w:r>
                </w:p>
              </w:tc>
            </w:tr>
            <w:tr w14:paraId="785C5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vAlign w:val="center"/>
                </w:tcPr>
                <w:p w14:paraId="61D45A51">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氧化锌</w:t>
                  </w:r>
                </w:p>
              </w:tc>
              <w:tc>
                <w:tcPr>
                  <w:tcW w:w="4735" w:type="dxa"/>
                  <w:vAlign w:val="center"/>
                </w:tcPr>
                <w:p w14:paraId="49806CB4">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化学式为ZnO，分子量为81.39g/mol，是一种白色固体，氧化锌不溶于水、乙醇，溶于酸、氢氧化钠水溶液、氯化铵。氧化锌的能带隙和激子束缚能较大，透明度高，有优异的常温发光性能，氧化锌还是一种重要的防晒剂。密度：5.6g/cm</w:t>
                  </w:r>
                  <w:r>
                    <w:rPr>
                      <w:rFonts w:hint="default" w:ascii="Times New Roman" w:hAnsi="Times New Roman" w:eastAsia="宋体" w:cs="Times New Roman"/>
                      <w:color w:val="auto"/>
                      <w:spacing w:val="8"/>
                      <w:sz w:val="18"/>
                      <w:szCs w:val="18"/>
                      <w:vertAlign w:val="superscript"/>
                      <w:lang w:val="en-US" w:eastAsia="zh-CN"/>
                    </w:rPr>
                    <w:t>3</w:t>
                  </w:r>
                  <w:r>
                    <w:rPr>
                      <w:rFonts w:hint="default" w:ascii="Times New Roman" w:hAnsi="Times New Roman" w:eastAsia="宋体" w:cs="Times New Roman"/>
                      <w:color w:val="auto"/>
                      <w:spacing w:val="8"/>
                      <w:sz w:val="18"/>
                      <w:szCs w:val="18"/>
                      <w:lang w:val="en-US" w:eastAsia="zh-CN"/>
                    </w:rPr>
                    <w:t>，熔点：1975℃ ，沸点：2360℃ ，折射率：2.008~2.029。</w:t>
                  </w:r>
                </w:p>
              </w:tc>
              <w:tc>
                <w:tcPr>
                  <w:tcW w:w="965" w:type="dxa"/>
                  <w:vAlign w:val="center"/>
                </w:tcPr>
                <w:p w14:paraId="40521CCE">
                  <w:pPr>
                    <w:pStyle w:val="167"/>
                    <w:spacing w:line="240" w:lineRule="auto"/>
                    <w:ind w:firstLine="0" w:firstLineChars="0"/>
                    <w:jc w:val="center"/>
                    <w:rPr>
                      <w:rFonts w:hint="default" w:ascii="Times New Roman" w:hAnsi="Times New Roman" w:eastAsia="宋体" w:cs="Times New Roman"/>
                      <w:color w:val="auto"/>
                      <w:spacing w:val="5"/>
                      <w:position w:val="1"/>
                      <w:sz w:val="18"/>
                      <w:szCs w:val="18"/>
                      <w:lang w:eastAsia="zh-CN"/>
                    </w:rPr>
                  </w:pPr>
                  <w:r>
                    <w:rPr>
                      <w:rFonts w:hint="default" w:ascii="Times New Roman" w:hAnsi="Times New Roman" w:eastAsia="宋体" w:cs="Times New Roman"/>
                      <w:color w:val="auto"/>
                      <w:sz w:val="18"/>
                      <w:szCs w:val="18"/>
                      <w:lang w:val="en-US" w:eastAsia="zh-CN"/>
                    </w:rPr>
                    <w:t>/</w:t>
                  </w:r>
                </w:p>
              </w:tc>
              <w:tc>
                <w:tcPr>
                  <w:tcW w:w="1018" w:type="dxa"/>
                  <w:vAlign w:val="center"/>
                </w:tcPr>
                <w:p w14:paraId="30E68433">
                  <w:pPr>
                    <w:spacing w:line="240" w:lineRule="auto"/>
                    <w:ind w:firstLine="0" w:firstLineChars="0"/>
                    <w:jc w:val="center"/>
                    <w:rPr>
                      <w:rFonts w:hint="default" w:ascii="Times New Roman" w:hAnsi="Times New Roman" w:eastAsia="宋体" w:cs="Times New Roman"/>
                      <w:color w:val="auto"/>
                      <w:spacing w:val="7"/>
                      <w:sz w:val="18"/>
                      <w:szCs w:val="18"/>
                      <w:lang w:eastAsia="zh-CN"/>
                    </w:rPr>
                  </w:pPr>
                  <w:r>
                    <w:rPr>
                      <w:rFonts w:hint="default" w:ascii="Times New Roman" w:hAnsi="Times New Roman" w:eastAsia="宋体" w:cs="Times New Roman"/>
                      <w:color w:val="auto"/>
                      <w:spacing w:val="7"/>
                      <w:sz w:val="18"/>
                      <w:szCs w:val="18"/>
                      <w:lang w:val="en-US" w:eastAsia="zh-CN"/>
                    </w:rPr>
                    <w:t>/</w:t>
                  </w:r>
                </w:p>
              </w:tc>
            </w:tr>
            <w:tr w14:paraId="0B1C9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vAlign w:val="center"/>
                </w:tcPr>
                <w:p w14:paraId="6D61F00B">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一氧化硅</w:t>
                  </w:r>
                </w:p>
              </w:tc>
              <w:tc>
                <w:tcPr>
                  <w:tcW w:w="4735" w:type="dxa"/>
                  <w:vAlign w:val="center"/>
                </w:tcPr>
                <w:p w14:paraId="1ED67225">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化学式为SiO，常温常压下为黑棕色至黄土色，熔点1702℃，沸点1880℃，密度2.13g/cm</w:t>
                  </w:r>
                  <w:r>
                    <w:rPr>
                      <w:rFonts w:hint="default" w:ascii="Times New Roman" w:hAnsi="Times New Roman" w:eastAsia="宋体" w:cs="Times New Roman"/>
                      <w:color w:val="auto"/>
                      <w:spacing w:val="8"/>
                      <w:sz w:val="18"/>
                      <w:szCs w:val="18"/>
                      <w:vertAlign w:val="superscript"/>
                      <w:lang w:val="en-US" w:eastAsia="zh-CN"/>
                    </w:rPr>
                    <w:t>3</w:t>
                  </w:r>
                  <w:r>
                    <w:rPr>
                      <w:rFonts w:hint="default" w:ascii="Times New Roman" w:hAnsi="Times New Roman" w:eastAsia="宋体" w:cs="Times New Roman"/>
                      <w:color w:val="auto"/>
                      <w:spacing w:val="8"/>
                      <w:sz w:val="18"/>
                      <w:szCs w:val="18"/>
                      <w:lang w:val="en-US" w:eastAsia="zh-CN"/>
                    </w:rPr>
                    <w:t>，难溶于水，能溶于稀</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"https://baike.baidu.com/item/%E6%B0%A2%E6%B0%9F%E9%85%B8/1135555?fromModule=lemma_inlink" \t "https://baike.baidu.com/item/%E4%B8%80%E6%B0%A7%E5%8C%96%E7%A1%85/_blank"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氢氟酸</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和</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"https://baike.baidu.com/item/%E7%A1%9D%E9%85%B8/890250?fromModule=lemma_inlink" \t "https://baike.baidu.com/item/%E4%B8%80%E6%B0%A7%E5%8C%96%E7%A1%85/_blank"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硝酸</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的</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"https://baike.baidu.com/item/%E6%B7%B7%E9%85%B8/3532398?fromModule=lemma_inlink" \t "https://baike.baidu.com/item/%E4%B8%80%E6%B0%A7%E5%8C%96%E7%A1%85/_blank"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混酸</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中并放出</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"https://baike.baidu.com/item/%E5%9B%9B%E6%B0%9F%E5%8C%96%E7%A1%85/2515642?fromModule=lemma_inlink" \t "https://baike.baidu.com/item/%E4%B8%80%E6%B0%A7%E5%8C%96%E7%A1%85/_blank"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四氟化硅</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，在空气中加热时生成白色的</w:t>
                  </w:r>
                  <w:r>
                    <w:rPr>
                      <w:rFonts w:hint="default" w:ascii="Times New Roman" w:hAnsi="Times New Roman" w:eastAsia="宋体" w:cs="Times New Roman"/>
                      <w:color w:val="auto"/>
                      <w:spacing w:val="8"/>
                      <w:sz w:val="18"/>
                      <w:szCs w:val="18"/>
                      <w:lang w:val="en-US" w:eastAsia="zh-CN"/>
                    </w:rPr>
                    <w:fldChar w:fldCharType="begin"/>
                  </w:r>
                  <w:r>
                    <w:rPr>
                      <w:rFonts w:hint="default" w:ascii="Times New Roman" w:hAnsi="Times New Roman" w:eastAsia="宋体" w:cs="Times New Roman"/>
                      <w:color w:val="auto"/>
                      <w:spacing w:val="8"/>
                      <w:sz w:val="18"/>
                      <w:szCs w:val="18"/>
                      <w:lang w:val="en-US" w:eastAsia="zh-CN"/>
                    </w:rPr>
                    <w:instrText xml:space="preserve"> HYPERLINK "https://baike.baidu.com/item/%E4%BA%8C%E6%B0%A7%E5%8C%96%E7%A1%85/513704?fromModule=lemma_inlink" \t "https://baike.baidu.com/item/%E4%B8%80%E6%B0%A7%E5%8C%96%E7%A1%85/_blank" </w:instrText>
                  </w:r>
                  <w:r>
                    <w:rPr>
                      <w:rFonts w:hint="default" w:ascii="Times New Roman" w:hAnsi="Times New Roman" w:eastAsia="宋体" w:cs="Times New Roman"/>
                      <w:color w:val="auto"/>
                      <w:spacing w:val="8"/>
                      <w:sz w:val="18"/>
                      <w:szCs w:val="18"/>
                      <w:lang w:val="en-US" w:eastAsia="zh-CN"/>
                    </w:rPr>
                    <w:fldChar w:fldCharType="separate"/>
                  </w:r>
                  <w:r>
                    <w:rPr>
                      <w:rFonts w:hint="default" w:ascii="Times New Roman" w:hAnsi="Times New Roman" w:eastAsia="宋体" w:cs="Times New Roman"/>
                      <w:color w:val="auto"/>
                      <w:spacing w:val="8"/>
                      <w:sz w:val="18"/>
                      <w:szCs w:val="18"/>
                      <w:lang w:val="en-US" w:eastAsia="zh-CN"/>
                    </w:rPr>
                    <w:t>二氧化硅</w:t>
                  </w:r>
                  <w:r>
                    <w:rPr>
                      <w:rFonts w:hint="default" w:ascii="Times New Roman" w:hAnsi="Times New Roman" w:eastAsia="宋体" w:cs="Times New Roman"/>
                      <w:color w:val="auto"/>
                      <w:spacing w:val="8"/>
                      <w:sz w:val="18"/>
                      <w:szCs w:val="18"/>
                      <w:lang w:val="en-US" w:eastAsia="zh-CN"/>
                    </w:rPr>
                    <w:fldChar w:fldCharType="end"/>
                  </w:r>
                  <w:r>
                    <w:rPr>
                      <w:rFonts w:hint="default" w:ascii="Times New Roman" w:hAnsi="Times New Roman" w:eastAsia="宋体" w:cs="Times New Roman"/>
                      <w:color w:val="auto"/>
                      <w:spacing w:val="8"/>
                      <w:sz w:val="18"/>
                      <w:szCs w:val="18"/>
                      <w:lang w:val="en-US" w:eastAsia="zh-CN"/>
                    </w:rPr>
                    <w:t>。</w:t>
                  </w:r>
                </w:p>
              </w:tc>
              <w:tc>
                <w:tcPr>
                  <w:tcW w:w="965" w:type="dxa"/>
                  <w:vAlign w:val="center"/>
                </w:tcPr>
                <w:p w14:paraId="2E04EA50">
                  <w:pPr>
                    <w:pStyle w:val="16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018" w:type="dxa"/>
                  <w:vAlign w:val="center"/>
                </w:tcPr>
                <w:p w14:paraId="443D1109">
                  <w:pPr>
                    <w:spacing w:line="240" w:lineRule="auto"/>
                    <w:ind w:firstLine="0" w:firstLineChars="0"/>
                    <w:jc w:val="center"/>
                    <w:rPr>
                      <w:rFonts w:hint="default" w:ascii="Times New Roman" w:hAnsi="Times New Roman" w:eastAsia="宋体" w:cs="Times New Roman"/>
                      <w:color w:val="auto"/>
                      <w:spacing w:val="7"/>
                      <w:sz w:val="18"/>
                      <w:szCs w:val="18"/>
                      <w:lang w:val="en-US" w:eastAsia="zh-CN"/>
                    </w:rPr>
                  </w:pPr>
                  <w:r>
                    <w:rPr>
                      <w:rFonts w:hint="default" w:ascii="Times New Roman" w:hAnsi="Times New Roman" w:eastAsia="宋体" w:cs="Times New Roman"/>
                      <w:color w:val="auto"/>
                      <w:spacing w:val="7"/>
                      <w:sz w:val="18"/>
                      <w:szCs w:val="18"/>
                      <w:lang w:val="en-US" w:eastAsia="zh-CN"/>
                    </w:rPr>
                    <w:t>/</w:t>
                  </w:r>
                </w:p>
              </w:tc>
            </w:tr>
            <w:tr w14:paraId="1F5A0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vAlign w:val="center"/>
                </w:tcPr>
                <w:p w14:paraId="707DF0B1">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氩气</w:t>
                  </w:r>
                </w:p>
              </w:tc>
              <w:tc>
                <w:tcPr>
                  <w:tcW w:w="4735" w:type="dxa"/>
                  <w:vAlign w:val="center"/>
                </w:tcPr>
                <w:p w14:paraId="465C39B8">
                  <w:pPr>
                    <w:pStyle w:val="167"/>
                    <w:spacing w:line="240" w:lineRule="auto"/>
                    <w:ind w:firstLine="0" w:firstLineChars="0"/>
                    <w:jc w:val="center"/>
                    <w:rPr>
                      <w:rFonts w:hint="default" w:ascii="Times New Roman" w:hAnsi="Times New Roman" w:eastAsia="宋体" w:cs="Times New Roman"/>
                      <w:i w:val="0"/>
                      <w:iCs w:val="0"/>
                      <w:caps w:val="0"/>
                      <w:color w:val="auto"/>
                      <w:spacing w:val="0"/>
                      <w:sz w:val="18"/>
                      <w:szCs w:val="18"/>
                      <w:shd w:val="clear" w:fill="FFFFFF"/>
                    </w:rPr>
                  </w:pPr>
                  <w:r>
                    <w:rPr>
                      <w:rFonts w:hint="default" w:ascii="Times New Roman" w:hAnsi="Times New Roman" w:eastAsia="宋体" w:cs="Times New Roman"/>
                      <w:color w:val="auto"/>
                      <w:spacing w:val="8"/>
                      <w:sz w:val="18"/>
                      <w:szCs w:val="18"/>
                      <w:lang w:val="en-US" w:eastAsia="zh-CN"/>
                    </w:rPr>
                    <w:t>化学式为Ar，</w:t>
                  </w:r>
                  <w:r>
                    <w:rPr>
                      <w:rFonts w:hint="default" w:ascii="Times New Roman" w:hAnsi="Times New Roman" w:eastAsia="宋体" w:cs="Times New Roman"/>
                      <w:i w:val="0"/>
                      <w:iCs w:val="0"/>
                      <w:caps w:val="0"/>
                      <w:color w:val="auto"/>
                      <w:spacing w:val="0"/>
                      <w:sz w:val="18"/>
                      <w:szCs w:val="18"/>
                      <w:shd w:val="clear" w:fill="FFFFFF"/>
                    </w:rPr>
                    <w:t>无色、无味的惰性气体，由氩原子组成。在常温下与其他物质均不起化学反应，在高温下也不溶于液态金属中，在焊接有色金属时更能显示其优越性。常温下微溶于水，通电后发出蓝紫色光芒</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5" w:type="dxa"/>
                  <w:vAlign w:val="center"/>
                </w:tcPr>
                <w:p w14:paraId="7000338B">
                  <w:pPr>
                    <w:pStyle w:val="16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018" w:type="dxa"/>
                  <w:vAlign w:val="center"/>
                </w:tcPr>
                <w:p w14:paraId="02947264">
                  <w:pPr>
                    <w:spacing w:line="240" w:lineRule="auto"/>
                    <w:ind w:firstLine="0" w:firstLineChars="0"/>
                    <w:jc w:val="center"/>
                    <w:rPr>
                      <w:rFonts w:hint="default" w:ascii="Times New Roman" w:hAnsi="Times New Roman" w:eastAsia="宋体" w:cs="Times New Roman"/>
                      <w:color w:val="auto"/>
                      <w:spacing w:val="7"/>
                      <w:sz w:val="18"/>
                      <w:szCs w:val="18"/>
                      <w:lang w:val="en-US" w:eastAsia="zh-CN"/>
                    </w:rPr>
                  </w:pPr>
                  <w:r>
                    <w:rPr>
                      <w:rFonts w:hint="default" w:ascii="Times New Roman" w:hAnsi="Times New Roman" w:eastAsia="宋体" w:cs="Times New Roman"/>
                      <w:color w:val="auto"/>
                      <w:spacing w:val="7"/>
                      <w:sz w:val="18"/>
                      <w:szCs w:val="18"/>
                      <w:lang w:val="en-US" w:eastAsia="zh-CN"/>
                    </w:rPr>
                    <w:t>/</w:t>
                  </w:r>
                </w:p>
              </w:tc>
            </w:tr>
            <w:tr w14:paraId="02D27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vAlign w:val="center"/>
                </w:tcPr>
                <w:p w14:paraId="1EA5BF8B">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氧气</w:t>
                  </w:r>
                </w:p>
              </w:tc>
              <w:tc>
                <w:tcPr>
                  <w:tcW w:w="4735" w:type="dxa"/>
                  <w:vAlign w:val="center"/>
                </w:tcPr>
                <w:p w14:paraId="6999500F">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化学式为O</w:t>
                  </w:r>
                  <w:r>
                    <w:rPr>
                      <w:rFonts w:hint="default" w:ascii="Times New Roman" w:hAnsi="Times New Roman" w:eastAsia="宋体" w:cs="Times New Roman"/>
                      <w:color w:val="auto"/>
                      <w:spacing w:val="8"/>
                      <w:sz w:val="18"/>
                      <w:szCs w:val="18"/>
                      <w:vertAlign w:val="subscript"/>
                      <w:lang w:val="en-US" w:eastAsia="zh-CN"/>
                    </w:rPr>
                    <w:t>2</w:t>
                  </w:r>
                  <w:r>
                    <w:rPr>
                      <w:rFonts w:hint="default" w:ascii="Times New Roman" w:hAnsi="Times New Roman" w:eastAsia="宋体" w:cs="Times New Roman"/>
                      <w:color w:val="auto"/>
                      <w:spacing w:val="8"/>
                      <w:sz w:val="18"/>
                      <w:szCs w:val="18"/>
                      <w:lang w:val="en-US" w:eastAsia="zh-CN"/>
                    </w:rPr>
                    <w:t>，无色无味气体，熔点-218.8℃，沸点-183.1℃，相对密度1.14（-183℃，水=1），相对蒸气密度1.43（空气=1），饱和蒸气压506.62kPa（-164℃），临界温度-118.95℃，临界压力5.08MPa。大气中体积分数：20.95%（约21%）。</w:t>
                  </w:r>
                </w:p>
              </w:tc>
              <w:tc>
                <w:tcPr>
                  <w:tcW w:w="965" w:type="dxa"/>
                  <w:vAlign w:val="center"/>
                </w:tcPr>
                <w:p w14:paraId="4F3F93C4">
                  <w:pPr>
                    <w:pStyle w:val="167"/>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018" w:type="dxa"/>
                  <w:vAlign w:val="center"/>
                </w:tcPr>
                <w:p w14:paraId="6DABFD4C">
                  <w:pPr>
                    <w:spacing w:line="240" w:lineRule="auto"/>
                    <w:ind w:firstLine="0" w:firstLineChars="0"/>
                    <w:jc w:val="center"/>
                    <w:rPr>
                      <w:rFonts w:hint="default" w:ascii="Times New Roman" w:hAnsi="Times New Roman" w:eastAsia="宋体" w:cs="Times New Roman"/>
                      <w:color w:val="auto"/>
                      <w:spacing w:val="7"/>
                      <w:sz w:val="18"/>
                      <w:szCs w:val="18"/>
                      <w:lang w:val="en-US" w:eastAsia="zh-CN"/>
                    </w:rPr>
                  </w:pPr>
                  <w:r>
                    <w:rPr>
                      <w:rFonts w:hint="default" w:ascii="Times New Roman" w:hAnsi="Times New Roman" w:eastAsia="宋体" w:cs="Times New Roman"/>
                      <w:color w:val="auto"/>
                      <w:spacing w:val="7"/>
                      <w:sz w:val="18"/>
                      <w:szCs w:val="18"/>
                      <w:lang w:val="en-US" w:eastAsia="zh-CN"/>
                    </w:rPr>
                    <w:t>助燃</w:t>
                  </w:r>
                </w:p>
              </w:tc>
            </w:tr>
            <w:tr w14:paraId="0A315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55" w:type="dxa"/>
                  <w:vAlign w:val="center"/>
                </w:tcPr>
                <w:p w14:paraId="3F6F15A2">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eastAsia" w:ascii="Times New Roman" w:hAnsi="Times New Roman" w:eastAsia="宋体" w:cs="Times New Roman"/>
                      <w:color w:val="auto"/>
                      <w:spacing w:val="8"/>
                      <w:sz w:val="18"/>
                      <w:szCs w:val="18"/>
                      <w:lang w:val="en-US" w:eastAsia="zh-CN"/>
                    </w:rPr>
                    <w:t>氢气</w:t>
                  </w:r>
                </w:p>
              </w:tc>
              <w:tc>
                <w:tcPr>
                  <w:tcW w:w="4735" w:type="dxa"/>
                  <w:vAlign w:val="center"/>
                </w:tcPr>
                <w:p w14:paraId="27F1A882">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default" w:ascii="Times New Roman" w:hAnsi="Times New Roman" w:eastAsia="宋体" w:cs="Times New Roman"/>
                      <w:color w:val="auto"/>
                      <w:spacing w:val="8"/>
                      <w:sz w:val="18"/>
                      <w:szCs w:val="18"/>
                      <w:lang w:val="en-US" w:eastAsia="zh-CN"/>
                    </w:rPr>
                    <w:t>化学式为</w:t>
                  </w:r>
                  <w:r>
                    <w:rPr>
                      <w:rFonts w:hint="eastAsia" w:ascii="Times New Roman" w:hAnsi="Times New Roman" w:eastAsia="宋体" w:cs="Times New Roman"/>
                      <w:color w:val="auto"/>
                      <w:spacing w:val="8"/>
                      <w:sz w:val="18"/>
                      <w:szCs w:val="18"/>
                      <w:lang w:val="en-US" w:eastAsia="zh-CN"/>
                    </w:rPr>
                    <w:t>H</w:t>
                  </w:r>
                  <w:r>
                    <w:rPr>
                      <w:rFonts w:hint="default" w:ascii="Times New Roman" w:hAnsi="Times New Roman" w:eastAsia="宋体" w:cs="Times New Roman"/>
                      <w:color w:val="auto"/>
                      <w:spacing w:val="8"/>
                      <w:sz w:val="18"/>
                      <w:szCs w:val="18"/>
                      <w:lang w:val="en-US" w:eastAsia="zh-CN"/>
                    </w:rPr>
                    <w:t>2，无色、无味、无臭、无毒、极易燃烧且难溶于水的气体。氢气的密度为0.089g/L（101.325kpa,0°C），约为空气的1/14，是已知的密度最小的气体。</w:t>
                  </w:r>
                </w:p>
              </w:tc>
              <w:tc>
                <w:tcPr>
                  <w:tcW w:w="965" w:type="dxa"/>
                  <w:vAlign w:val="center"/>
                </w:tcPr>
                <w:p w14:paraId="4F2DB967">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eastAsia" w:ascii="Times New Roman" w:hAnsi="Times New Roman" w:eastAsia="宋体" w:cs="Times New Roman"/>
                      <w:color w:val="auto"/>
                      <w:spacing w:val="8"/>
                      <w:sz w:val="18"/>
                      <w:szCs w:val="18"/>
                      <w:lang w:val="en-US" w:eastAsia="zh-CN"/>
                    </w:rPr>
                    <w:t>/</w:t>
                  </w:r>
                </w:p>
              </w:tc>
              <w:tc>
                <w:tcPr>
                  <w:tcW w:w="1018" w:type="dxa"/>
                  <w:vAlign w:val="center"/>
                </w:tcPr>
                <w:p w14:paraId="59B5BFAF">
                  <w:pPr>
                    <w:pStyle w:val="167"/>
                    <w:spacing w:line="240" w:lineRule="auto"/>
                    <w:ind w:right="150" w:firstLine="0" w:firstLineChars="0"/>
                    <w:jc w:val="center"/>
                    <w:rPr>
                      <w:rFonts w:hint="default" w:ascii="Times New Roman" w:hAnsi="Times New Roman" w:eastAsia="宋体" w:cs="Times New Roman"/>
                      <w:color w:val="auto"/>
                      <w:spacing w:val="8"/>
                      <w:sz w:val="18"/>
                      <w:szCs w:val="18"/>
                      <w:lang w:val="en-US" w:eastAsia="zh-CN"/>
                    </w:rPr>
                  </w:pPr>
                  <w:r>
                    <w:rPr>
                      <w:rFonts w:hint="eastAsia" w:ascii="Times New Roman" w:hAnsi="Times New Roman" w:eastAsia="宋体" w:cs="Times New Roman"/>
                      <w:color w:val="auto"/>
                      <w:spacing w:val="8"/>
                      <w:sz w:val="18"/>
                      <w:szCs w:val="18"/>
                      <w:lang w:val="en-US" w:eastAsia="zh-CN"/>
                    </w:rPr>
                    <w:t>易燃</w:t>
                  </w:r>
                </w:p>
              </w:tc>
            </w:tr>
          </w:tbl>
          <w:p w14:paraId="736E30A8">
            <w:pPr>
              <w:ind w:firstLine="422"/>
              <w:rPr>
                <w:b/>
                <w:color w:val="auto"/>
              </w:rPr>
            </w:pPr>
            <w:r>
              <w:rPr>
                <w:b/>
                <w:color w:val="auto"/>
              </w:rPr>
              <w:t>5、建设项目工程建设</w:t>
            </w:r>
          </w:p>
          <w:p w14:paraId="654D8DDF">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建设项目工程组成情况表</w:t>
            </w:r>
          </w:p>
          <w:tbl>
            <w:tblPr>
              <w:tblStyle w:val="3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606"/>
              <w:gridCol w:w="419"/>
              <w:gridCol w:w="1638"/>
              <w:gridCol w:w="1281"/>
              <w:gridCol w:w="1923"/>
              <w:gridCol w:w="1858"/>
            </w:tblGrid>
            <w:tr w14:paraId="656A6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88" w:type="pct"/>
                  <w:vMerge w:val="restart"/>
                  <w:tcBorders>
                    <w:tl2br w:val="nil"/>
                    <w:tr2bl w:val="nil"/>
                  </w:tcBorders>
                  <w:shd w:val="clear" w:color="auto" w:fill="D7D7D7" w:themeFill="background1" w:themeFillShade="D8"/>
                  <w:noWrap w:val="0"/>
                  <w:vAlign w:val="center"/>
                </w:tcPr>
                <w:p w14:paraId="3753BBF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r>
                    <w:rPr>
                      <w:rFonts w:hint="eastAsia"/>
                      <w:color w:val="auto"/>
                      <w:sz w:val="18"/>
                      <w:szCs w:val="18"/>
                    </w:rPr>
                    <w:t>类别</w:t>
                  </w:r>
                </w:p>
              </w:tc>
              <w:tc>
                <w:tcPr>
                  <w:tcW w:w="622" w:type="pct"/>
                  <w:gridSpan w:val="2"/>
                  <w:vMerge w:val="restart"/>
                  <w:tcBorders>
                    <w:tl2br w:val="nil"/>
                    <w:tr2bl w:val="nil"/>
                  </w:tcBorders>
                  <w:shd w:val="clear" w:color="auto" w:fill="D7D7D7" w:themeFill="background1" w:themeFillShade="D8"/>
                  <w:noWrap w:val="0"/>
                  <w:vAlign w:val="center"/>
                </w:tcPr>
                <w:p w14:paraId="46D4482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r>
                    <w:rPr>
                      <w:rFonts w:hint="eastAsia"/>
                      <w:color w:val="auto"/>
                      <w:sz w:val="18"/>
                      <w:szCs w:val="18"/>
                    </w:rPr>
                    <w:t>建设名称</w:t>
                  </w:r>
                </w:p>
              </w:tc>
              <w:tc>
                <w:tcPr>
                  <w:tcW w:w="2873" w:type="pct"/>
                  <w:gridSpan w:val="3"/>
                  <w:tcBorders>
                    <w:tl2br w:val="nil"/>
                    <w:tr2bl w:val="nil"/>
                  </w:tcBorders>
                  <w:shd w:val="clear" w:color="auto" w:fill="D7D7D7" w:themeFill="background1" w:themeFillShade="D8"/>
                  <w:noWrap w:val="0"/>
                  <w:vAlign w:val="center"/>
                </w:tcPr>
                <w:p w14:paraId="487A7ED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r>
                    <w:rPr>
                      <w:rFonts w:hint="eastAsia"/>
                      <w:color w:val="auto"/>
                      <w:sz w:val="18"/>
                      <w:szCs w:val="18"/>
                    </w:rPr>
                    <w:t>设计能力</w:t>
                  </w:r>
                </w:p>
              </w:tc>
              <w:tc>
                <w:tcPr>
                  <w:tcW w:w="1115" w:type="pct"/>
                  <w:vMerge w:val="restart"/>
                  <w:tcBorders>
                    <w:tl2br w:val="nil"/>
                    <w:tr2bl w:val="nil"/>
                  </w:tcBorders>
                  <w:shd w:val="clear" w:color="auto" w:fill="D7D7D7" w:themeFill="background1" w:themeFillShade="D8"/>
                  <w:noWrap w:val="0"/>
                  <w:vAlign w:val="center"/>
                </w:tcPr>
                <w:p w14:paraId="4C62094A">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r>
                    <w:rPr>
                      <w:rFonts w:hint="eastAsia"/>
                      <w:color w:val="auto"/>
                      <w:sz w:val="18"/>
                      <w:szCs w:val="18"/>
                    </w:rPr>
                    <w:t>备注</w:t>
                  </w:r>
                </w:p>
              </w:tc>
            </w:tr>
            <w:tr w14:paraId="0EEBB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88" w:type="pct"/>
                  <w:vMerge w:val="continue"/>
                  <w:tcBorders>
                    <w:tl2br w:val="nil"/>
                    <w:tr2bl w:val="nil"/>
                  </w:tcBorders>
                  <w:shd w:val="clear" w:color="auto" w:fill="D7D7D7" w:themeFill="background1" w:themeFillShade="D8"/>
                  <w:noWrap w:val="0"/>
                  <w:vAlign w:val="center"/>
                </w:tcPr>
                <w:p w14:paraId="533C17FF">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rPr>
                  </w:pPr>
                </w:p>
              </w:tc>
              <w:tc>
                <w:tcPr>
                  <w:tcW w:w="622" w:type="pct"/>
                  <w:gridSpan w:val="2"/>
                  <w:vMerge w:val="continue"/>
                  <w:tcBorders>
                    <w:tl2br w:val="nil"/>
                    <w:tr2bl w:val="nil"/>
                  </w:tcBorders>
                  <w:shd w:val="clear" w:color="auto" w:fill="D7D7D7" w:themeFill="background1" w:themeFillShade="D8"/>
                  <w:noWrap w:val="0"/>
                  <w:vAlign w:val="center"/>
                </w:tcPr>
                <w:p w14:paraId="02AD93B9">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18"/>
                      <w:szCs w:val="18"/>
                    </w:rPr>
                  </w:pPr>
                </w:p>
              </w:tc>
              <w:tc>
                <w:tcPr>
                  <w:tcW w:w="967" w:type="pct"/>
                  <w:tcBorders>
                    <w:tl2br w:val="nil"/>
                    <w:tr2bl w:val="nil"/>
                  </w:tcBorders>
                  <w:shd w:val="clear" w:color="auto" w:fill="D7D7D7" w:themeFill="background1" w:themeFillShade="D8"/>
                  <w:noWrap w:val="0"/>
                  <w:vAlign w:val="center"/>
                </w:tcPr>
                <w:p w14:paraId="75D07B73">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18"/>
                      <w:szCs w:val="18"/>
                      <w:lang w:val="en-US" w:eastAsia="zh-CN"/>
                    </w:rPr>
                  </w:pPr>
                  <w:r>
                    <w:rPr>
                      <w:rFonts w:hint="eastAsia"/>
                      <w:color w:val="auto"/>
                      <w:sz w:val="18"/>
                      <w:szCs w:val="18"/>
                      <w:lang w:val="en-US" w:eastAsia="zh-CN"/>
                    </w:rPr>
                    <w:t>改建前</w:t>
                  </w:r>
                </w:p>
              </w:tc>
              <w:tc>
                <w:tcPr>
                  <w:tcW w:w="752" w:type="pct"/>
                  <w:tcBorders>
                    <w:tl2br w:val="nil"/>
                    <w:tr2bl w:val="nil"/>
                  </w:tcBorders>
                  <w:shd w:val="clear" w:color="auto" w:fill="D7D7D7" w:themeFill="background1" w:themeFillShade="D8"/>
                  <w:noWrap w:val="0"/>
                  <w:vAlign w:val="center"/>
                </w:tcPr>
                <w:p w14:paraId="57ACD5B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变化量</w:t>
                  </w:r>
                </w:p>
              </w:tc>
              <w:tc>
                <w:tcPr>
                  <w:tcW w:w="1153" w:type="pct"/>
                  <w:tcBorders>
                    <w:tl2br w:val="nil"/>
                    <w:tr2bl w:val="nil"/>
                  </w:tcBorders>
                  <w:shd w:val="clear" w:color="auto" w:fill="D7D7D7" w:themeFill="background1" w:themeFillShade="D8"/>
                  <w:noWrap w:val="0"/>
                  <w:vAlign w:val="center"/>
                </w:tcPr>
                <w:p w14:paraId="09332FA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r>
                    <w:rPr>
                      <w:rFonts w:hint="eastAsia"/>
                      <w:color w:val="auto"/>
                      <w:sz w:val="18"/>
                      <w:szCs w:val="18"/>
                      <w:lang w:val="en-US" w:eastAsia="zh-CN"/>
                    </w:rPr>
                    <w:t>改建后</w:t>
                  </w:r>
                </w:p>
              </w:tc>
              <w:tc>
                <w:tcPr>
                  <w:tcW w:w="1115" w:type="pct"/>
                  <w:vMerge w:val="continue"/>
                  <w:tcBorders>
                    <w:tl2br w:val="nil"/>
                    <w:tr2bl w:val="nil"/>
                  </w:tcBorders>
                  <w:shd w:val="clear" w:color="auto" w:fill="D7D7D7" w:themeFill="background1" w:themeFillShade="D8"/>
                  <w:noWrap w:val="0"/>
                  <w:vAlign w:val="center"/>
                </w:tcPr>
                <w:p w14:paraId="68D3FC93">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p>
              </w:tc>
            </w:tr>
            <w:tr w14:paraId="43B9D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restart"/>
                  <w:tcBorders>
                    <w:tl2br w:val="nil"/>
                    <w:tr2bl w:val="nil"/>
                  </w:tcBorders>
                  <w:noWrap w:val="0"/>
                  <w:vAlign w:val="center"/>
                </w:tcPr>
                <w:p w14:paraId="70993998">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主体工程</w:t>
                  </w:r>
                </w:p>
              </w:tc>
              <w:tc>
                <w:tcPr>
                  <w:tcW w:w="622" w:type="pct"/>
                  <w:gridSpan w:val="2"/>
                  <w:tcBorders>
                    <w:tl2br w:val="nil"/>
                    <w:tr2bl w:val="nil"/>
                  </w:tcBorders>
                  <w:noWrap w:val="0"/>
                  <w:vAlign w:val="center"/>
                </w:tcPr>
                <w:p w14:paraId="6D7755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PET车间</w:t>
                  </w:r>
                </w:p>
              </w:tc>
              <w:tc>
                <w:tcPr>
                  <w:tcW w:w="967" w:type="pct"/>
                  <w:tcBorders>
                    <w:tl2br w:val="nil"/>
                    <w:tr2bl w:val="nil"/>
                  </w:tcBorders>
                  <w:noWrap w:val="0"/>
                  <w:vAlign w:val="center"/>
                </w:tcPr>
                <w:p w14:paraId="4FADD9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占地面积11675.58</w:t>
                  </w:r>
                  <w:r>
                    <w:rPr>
                      <w:rFonts w:ascii="Times New Roman" w:hAnsi="Times New Roman"/>
                      <w:bCs/>
                      <w:color w:val="auto"/>
                      <w:sz w:val="18"/>
                      <w:szCs w:val="18"/>
                    </w:rPr>
                    <w:t>m</w:t>
                  </w:r>
                  <w:r>
                    <w:rPr>
                      <w:rFonts w:ascii="Times New Roman" w:hAnsi="Times New Roman"/>
                      <w:bCs/>
                      <w:color w:val="auto"/>
                      <w:sz w:val="18"/>
                      <w:szCs w:val="18"/>
                      <w:vertAlign w:val="superscript"/>
                    </w:rPr>
                    <w:t>2</w:t>
                  </w:r>
                  <w:r>
                    <w:rPr>
                      <w:rFonts w:hint="eastAsia"/>
                      <w:bCs/>
                      <w:color w:val="auto"/>
                      <w:sz w:val="18"/>
                      <w:szCs w:val="18"/>
                      <w:lang w:val="en-US" w:eastAsia="zh-CN"/>
                    </w:rPr>
                    <w:t>，设计两条PET生产线，目前建设了一条</w:t>
                  </w:r>
                </w:p>
              </w:tc>
              <w:tc>
                <w:tcPr>
                  <w:tcW w:w="752" w:type="pct"/>
                  <w:tcBorders>
                    <w:tl2br w:val="nil"/>
                    <w:tr2bl w:val="nil"/>
                  </w:tcBorders>
                  <w:noWrap w:val="0"/>
                  <w:vAlign w:val="center"/>
                </w:tcPr>
                <w:p w14:paraId="6BE226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Cs/>
                      <w:color w:val="auto"/>
                      <w:sz w:val="18"/>
                      <w:szCs w:val="18"/>
                      <w:lang w:val="en-US" w:eastAsia="zh-CN"/>
                    </w:rPr>
                  </w:pPr>
                  <w:r>
                    <w:rPr>
                      <w:rFonts w:hint="eastAsia" w:ascii="Times New Roman" w:hAnsi="Times New Roman"/>
                      <w:bCs/>
                      <w:color w:val="auto"/>
                      <w:sz w:val="18"/>
                      <w:szCs w:val="18"/>
                      <w:lang w:val="en-US" w:eastAsia="zh-CN"/>
                    </w:rPr>
                    <w:t>0</w:t>
                  </w:r>
                </w:p>
              </w:tc>
              <w:tc>
                <w:tcPr>
                  <w:tcW w:w="1153" w:type="pct"/>
                  <w:tcBorders>
                    <w:tl2br w:val="nil"/>
                    <w:tr2bl w:val="nil"/>
                  </w:tcBorders>
                  <w:noWrap w:val="0"/>
                  <w:vAlign w:val="center"/>
                </w:tcPr>
                <w:p w14:paraId="1219D4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占地面积11675.58</w:t>
                  </w:r>
                  <w:r>
                    <w:rPr>
                      <w:rFonts w:ascii="Times New Roman" w:hAnsi="Times New Roman"/>
                      <w:bCs/>
                      <w:color w:val="auto"/>
                      <w:sz w:val="18"/>
                      <w:szCs w:val="18"/>
                    </w:rPr>
                    <w:t>m</w:t>
                  </w:r>
                  <w:r>
                    <w:rPr>
                      <w:rFonts w:ascii="Times New Roman" w:hAnsi="Times New Roman"/>
                      <w:bCs/>
                      <w:color w:val="auto"/>
                      <w:sz w:val="18"/>
                      <w:szCs w:val="18"/>
                      <w:vertAlign w:val="superscript"/>
                    </w:rPr>
                    <w:t>2</w:t>
                  </w:r>
                  <w:r>
                    <w:rPr>
                      <w:rFonts w:hint="eastAsia"/>
                      <w:bCs/>
                      <w:color w:val="auto"/>
                      <w:sz w:val="18"/>
                      <w:szCs w:val="18"/>
                      <w:lang w:val="en-US" w:eastAsia="zh-CN"/>
                    </w:rPr>
                    <w:t>，设计两条PET生产线，目前建设了一条</w:t>
                  </w:r>
                </w:p>
              </w:tc>
              <w:tc>
                <w:tcPr>
                  <w:tcW w:w="1115" w:type="pct"/>
                  <w:tcBorders>
                    <w:tl2br w:val="nil"/>
                    <w:tr2bl w:val="nil"/>
                  </w:tcBorders>
                  <w:noWrap w:val="0"/>
                  <w:vAlign w:val="center"/>
                </w:tcPr>
                <w:p w14:paraId="2605FBD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hint="eastAsia" w:ascii="Times New Roman" w:hAnsi="Times New Roman"/>
                      <w:b w:val="0"/>
                      <w:color w:val="auto"/>
                      <w:sz w:val="18"/>
                      <w:szCs w:val="18"/>
                    </w:rPr>
                    <w:t>共两层，一层为PET薄膜生产线及部分原料膜的储存，主要布</w:t>
                  </w:r>
                  <w:r>
                    <w:rPr>
                      <w:rFonts w:hint="eastAsia" w:ascii="Times New Roman" w:hAnsi="Times New Roman"/>
                      <w:b w:val="0"/>
                      <w:bCs/>
                      <w:color w:val="auto"/>
                      <w:sz w:val="18"/>
                      <w:szCs w:val="18"/>
                    </w:rPr>
                    <w:t>置生产区、分切区、上料区、 挤出区、铸片区、纵拉区、涂布区、横拉区、牵引收卷 区、半成品暂存区；</w:t>
                  </w:r>
                  <w:r>
                    <w:rPr>
                      <w:rFonts w:hint="eastAsia" w:ascii="Times New Roman" w:hAnsi="Times New Roman"/>
                      <w:b w:val="0"/>
                      <w:color w:val="auto"/>
                      <w:sz w:val="18"/>
                      <w:szCs w:val="18"/>
                    </w:rPr>
                    <w:t>二层为成品膜的收卷储存、</w:t>
                  </w:r>
                  <w:r>
                    <w:rPr>
                      <w:rFonts w:hint="eastAsia" w:ascii="Times New Roman" w:hAnsi="Times New Roman"/>
                      <w:b w:val="0"/>
                      <w:bCs/>
                      <w:color w:val="auto"/>
                      <w:sz w:val="18"/>
                      <w:szCs w:val="18"/>
                    </w:rPr>
                    <w:t>分切检验区、成品包装区</w:t>
                  </w:r>
                  <w:r>
                    <w:rPr>
                      <w:rFonts w:hint="eastAsia" w:ascii="Times New Roman" w:hAnsi="Times New Roman"/>
                      <w:b w:val="0"/>
                      <w:color w:val="auto"/>
                      <w:sz w:val="18"/>
                      <w:szCs w:val="18"/>
                    </w:rPr>
                    <w:t>及精密过滤器清洗区</w:t>
                  </w:r>
                </w:p>
              </w:tc>
            </w:tr>
            <w:tr w14:paraId="08219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555EABF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p>
              </w:tc>
              <w:tc>
                <w:tcPr>
                  <w:tcW w:w="622" w:type="pct"/>
                  <w:gridSpan w:val="2"/>
                  <w:tcBorders>
                    <w:tl2br w:val="nil"/>
                    <w:tr2bl w:val="nil"/>
                  </w:tcBorders>
                  <w:noWrap w:val="0"/>
                  <w:vAlign w:val="center"/>
                </w:tcPr>
                <w:p w14:paraId="0AD55A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涂布车间</w:t>
                  </w:r>
                </w:p>
              </w:tc>
              <w:tc>
                <w:tcPr>
                  <w:tcW w:w="967" w:type="pct"/>
                  <w:tcBorders>
                    <w:tl2br w:val="nil"/>
                    <w:tr2bl w:val="nil"/>
                  </w:tcBorders>
                  <w:noWrap w:val="0"/>
                  <w:vAlign w:val="center"/>
                </w:tcPr>
                <w:p w14:paraId="7781C1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Cs/>
                      <w:color w:val="auto"/>
                      <w:sz w:val="18"/>
                      <w:szCs w:val="18"/>
                      <w:lang w:val="en-US"/>
                    </w:rPr>
                  </w:pPr>
                  <w:r>
                    <w:rPr>
                      <w:rFonts w:hint="eastAsia" w:ascii="Times New Roman" w:hAnsi="Times New Roman"/>
                      <w:bCs/>
                      <w:color w:val="auto"/>
                      <w:sz w:val="18"/>
                      <w:szCs w:val="18"/>
                    </w:rPr>
                    <w:t>占地面积7672.27</w:t>
                  </w:r>
                  <w:r>
                    <w:rPr>
                      <w:rFonts w:ascii="Times New Roman" w:hAnsi="Times New Roman"/>
                      <w:bCs/>
                      <w:color w:val="auto"/>
                      <w:sz w:val="18"/>
                      <w:szCs w:val="18"/>
                    </w:rPr>
                    <w:t>m</w:t>
                  </w:r>
                  <w:r>
                    <w:rPr>
                      <w:rFonts w:ascii="Times New Roman" w:hAnsi="Times New Roman"/>
                      <w:bCs/>
                      <w:color w:val="auto"/>
                      <w:sz w:val="18"/>
                      <w:szCs w:val="18"/>
                      <w:vertAlign w:val="superscript"/>
                    </w:rPr>
                    <w:t>2</w:t>
                  </w:r>
                  <w:r>
                    <w:rPr>
                      <w:rFonts w:hint="eastAsia"/>
                      <w:bCs/>
                      <w:color w:val="auto"/>
                      <w:sz w:val="18"/>
                      <w:szCs w:val="18"/>
                      <w:lang w:val="en-US" w:eastAsia="zh-CN"/>
                    </w:rPr>
                    <w:t>，设计四条涂布线（即</w:t>
                  </w:r>
                  <w:r>
                    <w:rPr>
                      <w:rFonts w:ascii="Times New Roman" w:hAnsi="Times New Roman"/>
                      <w:color w:val="auto"/>
                      <w:sz w:val="18"/>
                      <w:szCs w:val="18"/>
                    </w:rPr>
                    <w:t>纳米高功能太阳膜</w:t>
                  </w:r>
                  <w:r>
                    <w:rPr>
                      <w:rFonts w:hint="eastAsia" w:ascii="Times New Roman" w:hAnsi="Times New Roman"/>
                      <w:color w:val="auto"/>
                      <w:sz w:val="18"/>
                      <w:szCs w:val="18"/>
                      <w:lang w:val="en-US" w:eastAsia="zh-CN"/>
                    </w:rPr>
                    <w:t>生产线</w:t>
                  </w:r>
                  <w:r>
                    <w:rPr>
                      <w:rFonts w:hint="eastAsia"/>
                      <w:color w:val="auto"/>
                      <w:sz w:val="18"/>
                      <w:szCs w:val="18"/>
                      <w:lang w:val="en-US" w:eastAsia="zh-CN"/>
                    </w:rPr>
                    <w:t>）</w:t>
                  </w:r>
                  <w:r>
                    <w:rPr>
                      <w:rFonts w:hint="eastAsia"/>
                      <w:bCs/>
                      <w:color w:val="auto"/>
                      <w:sz w:val="18"/>
                      <w:szCs w:val="18"/>
                      <w:lang w:val="en-US" w:eastAsia="zh-CN"/>
                    </w:rPr>
                    <w:t>，目前已全部建设完成</w:t>
                  </w:r>
                </w:p>
              </w:tc>
              <w:tc>
                <w:tcPr>
                  <w:tcW w:w="752" w:type="pct"/>
                  <w:tcBorders>
                    <w:tl2br w:val="nil"/>
                    <w:tr2bl w:val="nil"/>
                  </w:tcBorders>
                  <w:noWrap w:val="0"/>
                  <w:vAlign w:val="center"/>
                </w:tcPr>
                <w:p w14:paraId="5F20DC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Cs/>
                      <w:color w:val="auto"/>
                      <w:sz w:val="18"/>
                      <w:szCs w:val="18"/>
                      <w:lang w:val="en-US" w:eastAsia="zh-CN"/>
                    </w:rPr>
                  </w:pPr>
                  <w:r>
                    <w:rPr>
                      <w:rFonts w:hint="eastAsia"/>
                      <w:bCs/>
                      <w:color w:val="auto"/>
                      <w:sz w:val="18"/>
                      <w:szCs w:val="18"/>
                      <w:lang w:val="en-US" w:eastAsia="zh-CN"/>
                    </w:rPr>
                    <w:t>0</w:t>
                  </w:r>
                </w:p>
              </w:tc>
              <w:tc>
                <w:tcPr>
                  <w:tcW w:w="1153" w:type="pct"/>
                  <w:tcBorders>
                    <w:tl2br w:val="nil"/>
                    <w:tr2bl w:val="nil"/>
                  </w:tcBorders>
                  <w:noWrap w:val="0"/>
                  <w:vAlign w:val="center"/>
                </w:tcPr>
                <w:p w14:paraId="405498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占地面积7672.27</w:t>
                  </w:r>
                  <w:r>
                    <w:rPr>
                      <w:rFonts w:ascii="Times New Roman" w:hAnsi="Times New Roman"/>
                      <w:bCs/>
                      <w:color w:val="auto"/>
                      <w:sz w:val="18"/>
                      <w:szCs w:val="18"/>
                    </w:rPr>
                    <w:t>m</w:t>
                  </w:r>
                  <w:r>
                    <w:rPr>
                      <w:rFonts w:ascii="Times New Roman" w:hAnsi="Times New Roman"/>
                      <w:bCs/>
                      <w:color w:val="auto"/>
                      <w:sz w:val="18"/>
                      <w:szCs w:val="18"/>
                      <w:vertAlign w:val="superscript"/>
                    </w:rPr>
                    <w:t>2</w:t>
                  </w:r>
                  <w:r>
                    <w:rPr>
                      <w:rFonts w:hint="eastAsia"/>
                      <w:bCs/>
                      <w:color w:val="auto"/>
                      <w:sz w:val="18"/>
                      <w:szCs w:val="18"/>
                      <w:lang w:val="en-US" w:eastAsia="zh-CN"/>
                    </w:rPr>
                    <w:t>，设计四条涂布线（即</w:t>
                  </w:r>
                  <w:r>
                    <w:rPr>
                      <w:rFonts w:ascii="Times New Roman" w:hAnsi="Times New Roman"/>
                      <w:color w:val="auto"/>
                      <w:sz w:val="18"/>
                      <w:szCs w:val="18"/>
                    </w:rPr>
                    <w:t>纳米高功能太阳膜</w:t>
                  </w:r>
                  <w:r>
                    <w:rPr>
                      <w:rFonts w:hint="eastAsia" w:ascii="Times New Roman" w:hAnsi="Times New Roman"/>
                      <w:color w:val="auto"/>
                      <w:sz w:val="18"/>
                      <w:szCs w:val="18"/>
                      <w:lang w:val="en-US" w:eastAsia="zh-CN"/>
                    </w:rPr>
                    <w:t>生产线</w:t>
                  </w:r>
                  <w:r>
                    <w:rPr>
                      <w:rFonts w:hint="eastAsia"/>
                      <w:color w:val="auto"/>
                      <w:sz w:val="18"/>
                      <w:szCs w:val="18"/>
                      <w:lang w:val="en-US" w:eastAsia="zh-CN"/>
                    </w:rPr>
                    <w:t>）</w:t>
                  </w:r>
                  <w:r>
                    <w:rPr>
                      <w:rFonts w:hint="eastAsia"/>
                      <w:bCs/>
                      <w:color w:val="auto"/>
                      <w:sz w:val="18"/>
                      <w:szCs w:val="18"/>
                      <w:lang w:val="en-US" w:eastAsia="zh-CN"/>
                    </w:rPr>
                    <w:t>，目前已全部建设完成</w:t>
                  </w:r>
                </w:p>
              </w:tc>
              <w:tc>
                <w:tcPr>
                  <w:tcW w:w="1115" w:type="pct"/>
                  <w:tcBorders>
                    <w:tl2br w:val="nil"/>
                    <w:tr2bl w:val="nil"/>
                  </w:tcBorders>
                  <w:noWrap w:val="0"/>
                  <w:vAlign w:val="center"/>
                </w:tcPr>
                <w:p w14:paraId="55A86877">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hint="eastAsia" w:ascii="Times New Roman" w:hAnsi="Times New Roman"/>
                      <w:b w:val="0"/>
                      <w:bCs/>
                      <w:color w:val="auto"/>
                      <w:sz w:val="18"/>
                      <w:szCs w:val="18"/>
                    </w:rPr>
                    <w:t>涂布车间仅1层，其中分隔一间300</w:t>
                  </w:r>
                  <w:r>
                    <w:rPr>
                      <w:rFonts w:ascii="Times New Roman" w:hAnsi="Times New Roman"/>
                      <w:b w:val="0"/>
                      <w:color w:val="auto"/>
                      <w:sz w:val="18"/>
                      <w:szCs w:val="18"/>
                    </w:rPr>
                    <w:t>m</w:t>
                  </w:r>
                  <w:r>
                    <w:rPr>
                      <w:rFonts w:ascii="Times New Roman" w:hAnsi="Times New Roman"/>
                      <w:b w:val="0"/>
                      <w:color w:val="auto"/>
                      <w:sz w:val="18"/>
                      <w:szCs w:val="18"/>
                      <w:vertAlign w:val="superscript"/>
                    </w:rPr>
                    <w:t>2</w:t>
                  </w:r>
                  <w:r>
                    <w:rPr>
                      <w:rFonts w:hint="eastAsia" w:ascii="Times New Roman" w:hAnsi="Times New Roman"/>
                      <w:b w:val="0"/>
                      <w:color w:val="auto"/>
                      <w:sz w:val="18"/>
                      <w:szCs w:val="18"/>
                    </w:rPr>
                    <w:t>的配胶间，为</w:t>
                  </w:r>
                  <w:r>
                    <w:rPr>
                      <w:rFonts w:ascii="宋体" w:hAnsi="宋体" w:cs="宋体"/>
                      <w:b w:val="0"/>
                      <w:bCs/>
                      <w:color w:val="auto"/>
                      <w:spacing w:val="-4"/>
                      <w:sz w:val="18"/>
                      <w:szCs w:val="18"/>
                    </w:rPr>
                    <w:t>甲</w:t>
                  </w:r>
                  <w:r>
                    <w:rPr>
                      <w:rFonts w:ascii="宋体" w:hAnsi="宋体" w:cs="宋体"/>
                      <w:b w:val="0"/>
                      <w:bCs/>
                      <w:color w:val="auto"/>
                      <w:spacing w:val="-2"/>
                      <w:sz w:val="18"/>
                      <w:szCs w:val="18"/>
                    </w:rPr>
                    <w:t>类防爆车间，用于涂布胶料的配置</w:t>
                  </w:r>
                  <w:r>
                    <w:rPr>
                      <w:rFonts w:hint="eastAsia" w:ascii="宋体" w:hAnsi="宋体" w:cs="宋体"/>
                      <w:b w:val="0"/>
                      <w:bCs/>
                      <w:color w:val="auto"/>
                      <w:spacing w:val="-2"/>
                      <w:sz w:val="18"/>
                      <w:szCs w:val="18"/>
                    </w:rPr>
                    <w:t>，涂布车间其余区域划分为收放卷间（用于膜的收放卷及膜的复合）、涂布前室和涂布间（涂布）</w:t>
                  </w:r>
                </w:p>
              </w:tc>
            </w:tr>
            <w:tr w14:paraId="2FC81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restart"/>
                  <w:tcBorders>
                    <w:tl2br w:val="nil"/>
                    <w:tr2bl w:val="nil"/>
                  </w:tcBorders>
                  <w:noWrap w:val="0"/>
                  <w:vAlign w:val="center"/>
                </w:tcPr>
                <w:p w14:paraId="43E84B93">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贮运工程</w:t>
                  </w:r>
                </w:p>
              </w:tc>
              <w:tc>
                <w:tcPr>
                  <w:tcW w:w="622" w:type="pct"/>
                  <w:gridSpan w:val="2"/>
                  <w:tcBorders>
                    <w:tl2br w:val="nil"/>
                    <w:tr2bl w:val="nil"/>
                  </w:tcBorders>
                  <w:noWrap w:val="0"/>
                  <w:vAlign w:val="center"/>
                </w:tcPr>
                <w:p w14:paraId="5BC9B7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甲类</w:t>
                  </w:r>
                  <w:r>
                    <w:rPr>
                      <w:rFonts w:ascii="Times New Roman" w:hAnsi="Times New Roman"/>
                      <w:bCs/>
                      <w:color w:val="auto"/>
                      <w:sz w:val="18"/>
                      <w:szCs w:val="18"/>
                    </w:rPr>
                    <w:t>仓库</w:t>
                  </w:r>
                </w:p>
              </w:tc>
              <w:tc>
                <w:tcPr>
                  <w:tcW w:w="967" w:type="pct"/>
                  <w:tcBorders>
                    <w:tl2br w:val="nil"/>
                    <w:tr2bl w:val="nil"/>
                  </w:tcBorders>
                  <w:noWrap w:val="0"/>
                  <w:vAlign w:val="center"/>
                </w:tcPr>
                <w:p w14:paraId="3CF2D2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720</w:t>
                  </w:r>
                  <w:r>
                    <w:rPr>
                      <w:rFonts w:ascii="Times New Roman" w:hAnsi="Times New Roman"/>
                      <w:bCs/>
                      <w:color w:val="auto"/>
                      <w:sz w:val="18"/>
                      <w:szCs w:val="18"/>
                    </w:rPr>
                    <w:t xml:space="preserve"> m</w:t>
                  </w:r>
                  <w:r>
                    <w:rPr>
                      <w:rFonts w:ascii="Times New Roman" w:hAnsi="Times New Roman"/>
                      <w:bCs/>
                      <w:color w:val="auto"/>
                      <w:sz w:val="18"/>
                      <w:szCs w:val="18"/>
                      <w:vertAlign w:val="superscript"/>
                    </w:rPr>
                    <w:t>2</w:t>
                  </w:r>
                </w:p>
              </w:tc>
              <w:tc>
                <w:tcPr>
                  <w:tcW w:w="752" w:type="pct"/>
                  <w:tcBorders>
                    <w:tl2br w:val="nil"/>
                    <w:tr2bl w:val="nil"/>
                  </w:tcBorders>
                  <w:noWrap w:val="0"/>
                  <w:vAlign w:val="center"/>
                </w:tcPr>
                <w:p w14:paraId="71D478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Cs/>
                      <w:color w:val="auto"/>
                      <w:sz w:val="18"/>
                      <w:szCs w:val="18"/>
                      <w:lang w:val="en-US" w:eastAsia="zh-CN"/>
                    </w:rPr>
                  </w:pPr>
                  <w:r>
                    <w:rPr>
                      <w:rFonts w:hint="eastAsia"/>
                      <w:bCs/>
                      <w:color w:val="auto"/>
                      <w:sz w:val="18"/>
                      <w:szCs w:val="18"/>
                      <w:lang w:val="en-US" w:eastAsia="zh-CN"/>
                    </w:rPr>
                    <w:t>0</w:t>
                  </w:r>
                </w:p>
              </w:tc>
              <w:tc>
                <w:tcPr>
                  <w:tcW w:w="1153" w:type="pct"/>
                  <w:tcBorders>
                    <w:tl2br w:val="nil"/>
                    <w:tr2bl w:val="nil"/>
                  </w:tcBorders>
                  <w:noWrap w:val="0"/>
                  <w:vAlign w:val="center"/>
                </w:tcPr>
                <w:p w14:paraId="2A4C12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p>
              </w:tc>
              <w:tc>
                <w:tcPr>
                  <w:tcW w:w="1115" w:type="pct"/>
                  <w:tcBorders>
                    <w:tl2br w:val="nil"/>
                    <w:tr2bl w:val="nil"/>
                  </w:tcBorders>
                  <w:noWrap w:val="0"/>
                  <w:vAlign w:val="center"/>
                </w:tcPr>
                <w:p w14:paraId="09DBF43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ascii="Times New Roman" w:hAnsi="Times New Roman"/>
                      <w:b w:val="0"/>
                      <w:bCs/>
                      <w:color w:val="auto"/>
                      <w:sz w:val="18"/>
                      <w:szCs w:val="18"/>
                    </w:rPr>
                    <w:t>乙酸乙酯、甲苯、丁酮等危险化学品放在甲类仓库、其余原料放在1#丙类仓库</w:t>
                  </w:r>
                </w:p>
              </w:tc>
            </w:tr>
            <w:tr w14:paraId="72254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27D303A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6DD5BC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1#丙类仓库</w:t>
                  </w:r>
                </w:p>
              </w:tc>
              <w:tc>
                <w:tcPr>
                  <w:tcW w:w="967" w:type="pct"/>
                  <w:tcBorders>
                    <w:tl2br w:val="nil"/>
                    <w:tr2bl w:val="nil"/>
                  </w:tcBorders>
                  <w:noWrap w:val="0"/>
                  <w:vAlign w:val="center"/>
                </w:tcPr>
                <w:p w14:paraId="714542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1577</w:t>
                  </w:r>
                  <w:r>
                    <w:rPr>
                      <w:rFonts w:ascii="Times New Roman" w:hAnsi="Times New Roman"/>
                      <w:bCs/>
                      <w:color w:val="auto"/>
                      <w:sz w:val="18"/>
                      <w:szCs w:val="18"/>
                    </w:rPr>
                    <w:t xml:space="preserve"> m</w:t>
                  </w:r>
                  <w:r>
                    <w:rPr>
                      <w:rFonts w:ascii="Times New Roman" w:hAnsi="Times New Roman"/>
                      <w:bCs/>
                      <w:color w:val="auto"/>
                      <w:sz w:val="18"/>
                      <w:szCs w:val="18"/>
                      <w:vertAlign w:val="superscript"/>
                    </w:rPr>
                    <w:t>2</w:t>
                  </w:r>
                </w:p>
              </w:tc>
              <w:tc>
                <w:tcPr>
                  <w:tcW w:w="752" w:type="pct"/>
                  <w:tcBorders>
                    <w:tl2br w:val="nil"/>
                    <w:tr2bl w:val="nil"/>
                  </w:tcBorders>
                  <w:noWrap w:val="0"/>
                  <w:vAlign w:val="center"/>
                </w:tcPr>
                <w:p w14:paraId="0E09C2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Cs/>
                      <w:color w:val="auto"/>
                      <w:sz w:val="18"/>
                      <w:szCs w:val="18"/>
                      <w:lang w:val="en-US" w:eastAsia="zh-CN"/>
                    </w:rPr>
                  </w:pPr>
                  <w:r>
                    <w:rPr>
                      <w:rFonts w:hint="eastAsia"/>
                      <w:bCs/>
                      <w:color w:val="auto"/>
                      <w:sz w:val="18"/>
                      <w:szCs w:val="18"/>
                      <w:lang w:val="en-US" w:eastAsia="zh-CN"/>
                    </w:rPr>
                    <w:t>0</w:t>
                  </w:r>
                </w:p>
              </w:tc>
              <w:tc>
                <w:tcPr>
                  <w:tcW w:w="1153" w:type="pct"/>
                  <w:tcBorders>
                    <w:tl2br w:val="nil"/>
                    <w:tr2bl w:val="nil"/>
                  </w:tcBorders>
                  <w:noWrap w:val="0"/>
                  <w:vAlign w:val="center"/>
                </w:tcPr>
                <w:p w14:paraId="5E1965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1577</w:t>
                  </w:r>
                  <w:r>
                    <w:rPr>
                      <w:rFonts w:ascii="Times New Roman" w:hAnsi="Times New Roman"/>
                      <w:bCs/>
                      <w:color w:val="auto"/>
                      <w:sz w:val="18"/>
                      <w:szCs w:val="18"/>
                    </w:rPr>
                    <w:t xml:space="preserve"> m</w:t>
                  </w:r>
                  <w:r>
                    <w:rPr>
                      <w:rFonts w:ascii="Times New Roman" w:hAnsi="Times New Roman"/>
                      <w:bCs/>
                      <w:color w:val="auto"/>
                      <w:sz w:val="18"/>
                      <w:szCs w:val="18"/>
                      <w:vertAlign w:val="superscript"/>
                    </w:rPr>
                    <w:t>2</w:t>
                  </w:r>
                </w:p>
              </w:tc>
              <w:tc>
                <w:tcPr>
                  <w:tcW w:w="1115" w:type="pct"/>
                  <w:tcBorders>
                    <w:tl2br w:val="nil"/>
                    <w:tr2bl w:val="nil"/>
                  </w:tcBorders>
                  <w:noWrap w:val="0"/>
                  <w:vAlign w:val="center"/>
                </w:tcPr>
                <w:p w14:paraId="0D126C35">
                  <w:pPr>
                    <w:pStyle w:val="185"/>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ascii="Times New Roman" w:hAnsi="Times New Roman"/>
                      <w:b w:val="0"/>
                      <w:color w:val="auto"/>
                      <w:sz w:val="18"/>
                      <w:szCs w:val="18"/>
                    </w:rPr>
                    <w:t>用于原辅料及TPU 原膜、PET 基材原膜、离型膜、保护膜原料的存储</w:t>
                  </w:r>
                </w:p>
              </w:tc>
            </w:tr>
            <w:tr w14:paraId="2302A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continue"/>
                  <w:tcBorders>
                    <w:tl2br w:val="nil"/>
                    <w:tr2bl w:val="nil"/>
                  </w:tcBorders>
                  <w:noWrap w:val="0"/>
                  <w:vAlign w:val="center"/>
                </w:tcPr>
                <w:p w14:paraId="112F05C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shd w:val="clear" w:color="auto" w:fill="FBE5D6" w:themeFill="accent2" w:themeFillTint="32"/>
                  <w:noWrap w:val="0"/>
                  <w:vAlign w:val="center"/>
                </w:tcPr>
                <w:p w14:paraId="6FB92C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2#丙类仓库</w:t>
                  </w:r>
                </w:p>
              </w:tc>
              <w:tc>
                <w:tcPr>
                  <w:tcW w:w="967" w:type="pct"/>
                  <w:tcBorders>
                    <w:tl2br w:val="nil"/>
                    <w:tr2bl w:val="nil"/>
                  </w:tcBorders>
                  <w:shd w:val="clear" w:color="auto" w:fill="FBE5D6" w:themeFill="accent2" w:themeFillTint="32"/>
                  <w:noWrap w:val="0"/>
                  <w:vAlign w:val="center"/>
                </w:tcPr>
                <w:p w14:paraId="5FAADE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5088</w:t>
                  </w:r>
                  <w:r>
                    <w:rPr>
                      <w:rFonts w:ascii="Times New Roman" w:hAnsi="Times New Roman"/>
                      <w:bCs/>
                      <w:color w:val="auto"/>
                      <w:sz w:val="18"/>
                      <w:szCs w:val="18"/>
                    </w:rPr>
                    <w:t xml:space="preserve"> m</w:t>
                  </w:r>
                  <w:r>
                    <w:rPr>
                      <w:rFonts w:ascii="Times New Roman" w:hAnsi="Times New Roman"/>
                      <w:bCs/>
                      <w:color w:val="auto"/>
                      <w:sz w:val="18"/>
                      <w:szCs w:val="18"/>
                      <w:vertAlign w:val="superscript"/>
                    </w:rPr>
                    <w:t>2</w:t>
                  </w:r>
                </w:p>
              </w:tc>
              <w:tc>
                <w:tcPr>
                  <w:tcW w:w="752" w:type="pct"/>
                  <w:tcBorders>
                    <w:tl2br w:val="nil"/>
                    <w:tr2bl w:val="nil"/>
                  </w:tcBorders>
                  <w:shd w:val="clear" w:color="auto" w:fill="FBE5D6" w:themeFill="accent2" w:themeFillTint="32"/>
                  <w:noWrap w:val="0"/>
                  <w:vAlign w:val="center"/>
                </w:tcPr>
                <w:p w14:paraId="1DCBFB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Cs/>
                      <w:color w:val="auto"/>
                      <w:sz w:val="18"/>
                      <w:szCs w:val="18"/>
                      <w:lang w:val="en-US" w:eastAsia="zh-CN"/>
                    </w:rPr>
                  </w:pPr>
                  <w:r>
                    <w:rPr>
                      <w:rFonts w:hint="eastAsia" w:ascii="Times New Roman" w:hAnsi="Times New Roman"/>
                      <w:bCs/>
                      <w:color w:val="auto"/>
                      <w:sz w:val="18"/>
                      <w:szCs w:val="18"/>
                      <w:lang w:val="en-US" w:eastAsia="zh-CN"/>
                    </w:rPr>
                    <w:t>-3355.88</w:t>
                  </w:r>
                  <w:r>
                    <w:rPr>
                      <w:rFonts w:ascii="Times New Roman" w:hAnsi="Times New Roman"/>
                      <w:bCs/>
                      <w:color w:val="auto"/>
                      <w:sz w:val="18"/>
                      <w:szCs w:val="18"/>
                    </w:rPr>
                    <w:t>m</w:t>
                  </w:r>
                  <w:r>
                    <w:rPr>
                      <w:rFonts w:ascii="Times New Roman" w:hAnsi="Times New Roman"/>
                      <w:bCs/>
                      <w:color w:val="auto"/>
                      <w:sz w:val="18"/>
                      <w:szCs w:val="18"/>
                      <w:vertAlign w:val="superscript"/>
                    </w:rPr>
                    <w:t>2</w:t>
                  </w:r>
                </w:p>
              </w:tc>
              <w:tc>
                <w:tcPr>
                  <w:tcW w:w="1153" w:type="pct"/>
                  <w:tcBorders>
                    <w:tl2br w:val="nil"/>
                    <w:tr2bl w:val="nil"/>
                  </w:tcBorders>
                  <w:shd w:val="clear" w:color="auto" w:fill="FBE5D6" w:themeFill="accent2" w:themeFillTint="32"/>
                  <w:noWrap w:val="0"/>
                  <w:vAlign w:val="center"/>
                </w:tcPr>
                <w:p w14:paraId="122F13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Cs/>
                      <w:color w:val="auto"/>
                      <w:sz w:val="18"/>
                      <w:szCs w:val="18"/>
                      <w:lang w:val="en-US" w:eastAsia="zh-CN"/>
                    </w:rPr>
                  </w:pPr>
                  <w:r>
                    <w:rPr>
                      <w:rFonts w:hint="eastAsia" w:ascii="Times New Roman" w:hAnsi="Times New Roman"/>
                      <w:bCs/>
                      <w:color w:val="auto"/>
                      <w:sz w:val="18"/>
                      <w:szCs w:val="18"/>
                      <w:lang w:val="en-US" w:eastAsia="zh-CN"/>
                    </w:rPr>
                    <w:t>1732.12</w:t>
                  </w:r>
                </w:p>
              </w:tc>
              <w:tc>
                <w:tcPr>
                  <w:tcW w:w="1115" w:type="pct"/>
                  <w:tcBorders>
                    <w:tl2br w:val="nil"/>
                    <w:tr2bl w:val="nil"/>
                  </w:tcBorders>
                  <w:shd w:val="clear" w:color="auto" w:fill="FBE5D6" w:themeFill="accent2" w:themeFillTint="32"/>
                  <w:noWrap w:val="0"/>
                  <w:vAlign w:val="center"/>
                </w:tcPr>
                <w:p w14:paraId="58F0C4D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b w:val="0"/>
                      <w:bCs/>
                      <w:color w:val="auto"/>
                      <w:sz w:val="18"/>
                      <w:szCs w:val="18"/>
                      <w:lang w:val="en-US" w:eastAsia="zh-CN"/>
                    </w:rPr>
                  </w:pPr>
                  <w:r>
                    <w:rPr>
                      <w:rFonts w:ascii="宋体" w:hAnsi="宋体" w:cs="宋体"/>
                      <w:b w:val="0"/>
                      <w:bCs/>
                      <w:color w:val="auto"/>
                      <w:spacing w:val="-1"/>
                      <w:sz w:val="18"/>
                      <w:szCs w:val="18"/>
                    </w:rPr>
                    <w:t>用于</w:t>
                  </w:r>
                  <w:r>
                    <w:rPr>
                      <w:rFonts w:ascii="宋体" w:hAnsi="宋体" w:cs="宋体"/>
                      <w:b w:val="0"/>
                      <w:bCs/>
                      <w:color w:val="auto"/>
                      <w:sz w:val="18"/>
                      <w:szCs w:val="18"/>
                    </w:rPr>
                    <w:t>成</w:t>
                  </w:r>
                  <w:r>
                    <w:rPr>
                      <w:rFonts w:ascii="宋体" w:hAnsi="宋体" w:cs="宋体"/>
                      <w:b w:val="0"/>
                      <w:bCs/>
                      <w:color w:val="auto"/>
                      <w:spacing w:val="-8"/>
                      <w:sz w:val="18"/>
                      <w:szCs w:val="18"/>
                    </w:rPr>
                    <w:t>品</w:t>
                  </w:r>
                  <w:r>
                    <w:rPr>
                      <w:rFonts w:ascii="宋体" w:hAnsi="宋体" w:cs="宋体"/>
                      <w:b w:val="0"/>
                      <w:bCs/>
                      <w:color w:val="auto"/>
                      <w:spacing w:val="-4"/>
                      <w:sz w:val="18"/>
                      <w:szCs w:val="18"/>
                    </w:rPr>
                    <w:t>的存储</w:t>
                  </w:r>
                  <w:r>
                    <w:rPr>
                      <w:rFonts w:hint="eastAsia" w:ascii="宋体" w:hAnsi="宋体" w:cs="宋体"/>
                      <w:b w:val="0"/>
                      <w:bCs/>
                      <w:color w:val="auto"/>
                      <w:spacing w:val="-4"/>
                      <w:sz w:val="18"/>
                      <w:szCs w:val="18"/>
                      <w:lang w:eastAsia="zh-CN"/>
                    </w:rPr>
                    <w:t>，</w:t>
                  </w:r>
                  <w:r>
                    <w:rPr>
                      <w:rFonts w:hint="eastAsia" w:ascii="宋体" w:hAnsi="宋体" w:cs="宋体"/>
                      <w:b w:val="0"/>
                      <w:bCs/>
                      <w:color w:val="auto"/>
                      <w:spacing w:val="-4"/>
                      <w:sz w:val="18"/>
                      <w:szCs w:val="18"/>
                      <w:lang w:val="en-US" w:eastAsia="zh-CN"/>
                    </w:rPr>
                    <w:t>实际运行过程中此区域面积富余，</w:t>
                  </w:r>
                  <w:r>
                    <w:rPr>
                      <w:rFonts w:hint="eastAsia" w:ascii="宋体" w:hAnsi="宋体" w:cs="宋体"/>
                      <w:b/>
                      <w:bCs w:val="0"/>
                      <w:color w:val="auto"/>
                      <w:spacing w:val="-4"/>
                      <w:sz w:val="18"/>
                      <w:szCs w:val="18"/>
                      <w:lang w:val="en-US" w:eastAsia="zh-CN"/>
                    </w:rPr>
                    <w:t>本项目利用</w:t>
                  </w:r>
                  <w:r>
                    <w:rPr>
                      <w:rFonts w:hint="eastAsia" w:ascii="Times New Roman" w:hAnsi="Times New Roman"/>
                      <w:b/>
                      <w:bCs w:val="0"/>
                      <w:color w:val="auto"/>
                      <w:sz w:val="18"/>
                      <w:szCs w:val="18"/>
                    </w:rPr>
                    <w:t>2#丙类仓库</w:t>
                  </w:r>
                  <w:r>
                    <w:rPr>
                      <w:rFonts w:hint="eastAsia"/>
                      <w:b/>
                      <w:bCs w:val="0"/>
                      <w:color w:val="auto"/>
                      <w:sz w:val="18"/>
                      <w:szCs w:val="18"/>
                      <w:lang w:val="en-US" w:eastAsia="zh-CN"/>
                    </w:rPr>
                    <w:t>闲置区域作为</w:t>
                  </w:r>
                  <w:r>
                    <w:rPr>
                      <w:rFonts w:hint="eastAsia" w:ascii="Times New Roman" w:hAnsi="Times New Roman"/>
                      <w:bCs/>
                      <w:color w:val="auto"/>
                      <w:sz w:val="18"/>
                      <w:szCs w:val="18"/>
                      <w:lang w:val="en-US" w:eastAsia="zh-CN"/>
                    </w:rPr>
                    <w:t>磁控溅射车间</w:t>
                  </w:r>
                </w:p>
              </w:tc>
            </w:tr>
            <w:tr w14:paraId="40A43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continue"/>
                  <w:tcBorders>
                    <w:tl2br w:val="nil"/>
                    <w:tr2bl w:val="nil"/>
                  </w:tcBorders>
                  <w:noWrap w:val="0"/>
                  <w:vAlign w:val="center"/>
                </w:tcPr>
                <w:p w14:paraId="085D44D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shd w:val="clear" w:color="auto" w:fill="FBE5D6" w:themeFill="accent2" w:themeFillTint="32"/>
                  <w:noWrap w:val="0"/>
                  <w:vAlign w:val="center"/>
                </w:tcPr>
                <w:p w14:paraId="4CE765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Cs/>
                      <w:color w:val="auto"/>
                      <w:sz w:val="18"/>
                      <w:szCs w:val="18"/>
                      <w:lang w:val="en-US" w:eastAsia="zh-CN"/>
                    </w:rPr>
                  </w:pPr>
                  <w:r>
                    <w:rPr>
                      <w:rFonts w:hint="eastAsia" w:ascii="Times New Roman" w:hAnsi="Times New Roman"/>
                      <w:bCs/>
                      <w:color w:val="auto"/>
                      <w:sz w:val="18"/>
                      <w:szCs w:val="18"/>
                      <w:lang w:val="en-US" w:eastAsia="zh-CN"/>
                    </w:rPr>
                    <w:t>磁控溅射车间</w:t>
                  </w:r>
                </w:p>
              </w:tc>
              <w:tc>
                <w:tcPr>
                  <w:tcW w:w="967" w:type="pct"/>
                  <w:tcBorders>
                    <w:tl2br w:val="nil"/>
                    <w:tr2bl w:val="nil"/>
                  </w:tcBorders>
                  <w:shd w:val="clear" w:color="auto" w:fill="FBE5D6" w:themeFill="accent2" w:themeFillTint="32"/>
                  <w:noWrap w:val="0"/>
                  <w:vAlign w:val="center"/>
                </w:tcPr>
                <w:p w14:paraId="49EB52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Cs/>
                      <w:color w:val="auto"/>
                      <w:sz w:val="18"/>
                      <w:szCs w:val="18"/>
                      <w:lang w:val="en-US" w:eastAsia="zh-CN"/>
                    </w:rPr>
                  </w:pPr>
                  <w:r>
                    <w:rPr>
                      <w:rFonts w:hint="eastAsia" w:ascii="Times New Roman" w:hAnsi="Times New Roman"/>
                      <w:bCs/>
                      <w:color w:val="auto"/>
                      <w:sz w:val="18"/>
                      <w:szCs w:val="18"/>
                      <w:lang w:val="en-US" w:eastAsia="zh-CN"/>
                    </w:rPr>
                    <w:t>0</w:t>
                  </w:r>
                </w:p>
              </w:tc>
              <w:tc>
                <w:tcPr>
                  <w:tcW w:w="752" w:type="pct"/>
                  <w:tcBorders>
                    <w:tl2br w:val="nil"/>
                    <w:tr2bl w:val="nil"/>
                  </w:tcBorders>
                  <w:shd w:val="clear" w:color="auto" w:fill="FBE5D6" w:themeFill="accent2" w:themeFillTint="32"/>
                  <w:noWrap w:val="0"/>
                  <w:vAlign w:val="center"/>
                </w:tcPr>
                <w:p w14:paraId="481943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Cs/>
                      <w:color w:val="auto"/>
                      <w:sz w:val="18"/>
                      <w:szCs w:val="18"/>
                      <w:lang w:val="en-US" w:eastAsia="zh-CN"/>
                    </w:rPr>
                  </w:pPr>
                  <w:r>
                    <w:rPr>
                      <w:rFonts w:hint="eastAsia"/>
                      <w:bCs/>
                      <w:color w:val="auto"/>
                      <w:sz w:val="18"/>
                      <w:szCs w:val="18"/>
                      <w:lang w:val="en-US" w:eastAsia="zh-CN"/>
                    </w:rPr>
                    <w:t>+</w:t>
                  </w:r>
                  <w:r>
                    <w:rPr>
                      <w:rFonts w:hint="eastAsia" w:ascii="Times New Roman" w:hAnsi="Times New Roman"/>
                      <w:bCs/>
                      <w:color w:val="auto"/>
                      <w:sz w:val="18"/>
                      <w:szCs w:val="18"/>
                      <w:lang w:val="en-US" w:eastAsia="zh-CN"/>
                    </w:rPr>
                    <w:t>3355.88</w:t>
                  </w:r>
                  <w:r>
                    <w:rPr>
                      <w:rFonts w:ascii="Times New Roman" w:hAnsi="Times New Roman"/>
                      <w:bCs/>
                      <w:color w:val="auto"/>
                      <w:sz w:val="18"/>
                      <w:szCs w:val="18"/>
                    </w:rPr>
                    <w:t>m</w:t>
                  </w:r>
                  <w:r>
                    <w:rPr>
                      <w:rFonts w:ascii="Times New Roman" w:hAnsi="Times New Roman"/>
                      <w:bCs/>
                      <w:color w:val="auto"/>
                      <w:sz w:val="18"/>
                      <w:szCs w:val="18"/>
                      <w:vertAlign w:val="superscript"/>
                    </w:rPr>
                    <w:t>2</w:t>
                  </w:r>
                  <w:r>
                    <w:rPr>
                      <w:rFonts w:hint="eastAsia"/>
                      <w:bCs/>
                      <w:color w:val="auto"/>
                      <w:sz w:val="18"/>
                      <w:szCs w:val="18"/>
                      <w:lang w:val="en-US" w:eastAsia="zh-CN"/>
                    </w:rPr>
                    <w:t>，本项目拟在此区域增设一条</w:t>
                  </w:r>
                  <w:r>
                    <w:rPr>
                      <w:rFonts w:hint="eastAsia"/>
                      <w:color w:val="auto"/>
                      <w:spacing w:val="-1"/>
                      <w:sz w:val="18"/>
                      <w:szCs w:val="18"/>
                      <w:lang w:val="en-US" w:eastAsia="zh-CN"/>
                    </w:rPr>
                    <w:t>磁控溅射生产线</w:t>
                  </w:r>
                </w:p>
              </w:tc>
              <w:tc>
                <w:tcPr>
                  <w:tcW w:w="1153" w:type="pct"/>
                  <w:tcBorders>
                    <w:tl2br w:val="nil"/>
                    <w:tr2bl w:val="nil"/>
                  </w:tcBorders>
                  <w:shd w:val="clear" w:color="auto" w:fill="FBE5D6" w:themeFill="accent2" w:themeFillTint="32"/>
                  <w:noWrap w:val="0"/>
                  <w:vAlign w:val="center"/>
                </w:tcPr>
                <w:p w14:paraId="7FE216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lang w:val="en-US" w:eastAsia="zh-CN"/>
                    </w:rPr>
                    <w:t>3355.88</w:t>
                  </w:r>
                  <w:r>
                    <w:rPr>
                      <w:rFonts w:ascii="Times New Roman" w:hAnsi="Times New Roman"/>
                      <w:bCs/>
                      <w:color w:val="auto"/>
                      <w:sz w:val="18"/>
                      <w:szCs w:val="18"/>
                    </w:rPr>
                    <w:t>m</w:t>
                  </w:r>
                  <w:r>
                    <w:rPr>
                      <w:rFonts w:ascii="Times New Roman" w:hAnsi="Times New Roman"/>
                      <w:bCs/>
                      <w:color w:val="auto"/>
                      <w:sz w:val="18"/>
                      <w:szCs w:val="18"/>
                      <w:vertAlign w:val="superscript"/>
                    </w:rPr>
                    <w:t>2</w:t>
                  </w:r>
                  <w:r>
                    <w:rPr>
                      <w:rFonts w:hint="eastAsia"/>
                      <w:bCs/>
                      <w:color w:val="auto"/>
                      <w:sz w:val="18"/>
                      <w:szCs w:val="18"/>
                      <w:lang w:val="en-US" w:eastAsia="zh-CN"/>
                    </w:rPr>
                    <w:t>，本项目拟在此区域增设一条</w:t>
                  </w:r>
                  <w:r>
                    <w:rPr>
                      <w:rFonts w:hint="eastAsia"/>
                      <w:color w:val="auto"/>
                      <w:spacing w:val="-1"/>
                      <w:sz w:val="18"/>
                      <w:szCs w:val="18"/>
                      <w:lang w:val="en-US" w:eastAsia="zh-CN"/>
                    </w:rPr>
                    <w:t>磁控溅射生产线</w:t>
                  </w:r>
                </w:p>
              </w:tc>
              <w:tc>
                <w:tcPr>
                  <w:tcW w:w="1115" w:type="pct"/>
                  <w:tcBorders>
                    <w:tl2br w:val="nil"/>
                    <w:tr2bl w:val="nil"/>
                  </w:tcBorders>
                  <w:shd w:val="clear" w:color="auto" w:fill="FBE5D6" w:themeFill="accent2" w:themeFillTint="32"/>
                  <w:noWrap w:val="0"/>
                  <w:vAlign w:val="center"/>
                </w:tcPr>
                <w:p w14:paraId="7E8777AF">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宋体" w:hAnsi="宋体" w:eastAsia="宋体" w:cs="宋体"/>
                      <w:b w:val="0"/>
                      <w:bCs/>
                      <w:color w:val="auto"/>
                      <w:spacing w:val="-1"/>
                      <w:sz w:val="18"/>
                      <w:szCs w:val="18"/>
                      <w:lang w:val="en-US" w:eastAsia="zh-CN"/>
                    </w:rPr>
                  </w:pPr>
                  <w:r>
                    <w:rPr>
                      <w:rFonts w:ascii="宋体" w:hAnsi="宋体" w:cs="宋体"/>
                      <w:b w:val="0"/>
                      <w:bCs/>
                      <w:color w:val="auto"/>
                      <w:spacing w:val="-1"/>
                      <w:sz w:val="18"/>
                      <w:szCs w:val="18"/>
                    </w:rPr>
                    <w:t>用于</w:t>
                  </w:r>
                  <w:r>
                    <w:rPr>
                      <w:rFonts w:ascii="宋体" w:hAnsi="宋体" w:cs="宋体"/>
                      <w:b w:val="0"/>
                      <w:bCs/>
                      <w:color w:val="auto"/>
                      <w:spacing w:val="-1"/>
                      <w:sz w:val="18"/>
                      <w:szCs w:val="18"/>
                      <w:lang w:val="en-US" w:eastAsia="zh-CN"/>
                    </w:rPr>
                    <w:t>特种纳米新材料薄膜</w:t>
                  </w:r>
                  <w:r>
                    <w:rPr>
                      <w:rFonts w:hint="eastAsia" w:ascii="宋体" w:hAnsi="宋体" w:cs="宋体"/>
                      <w:b w:val="0"/>
                      <w:bCs/>
                      <w:color w:val="auto"/>
                      <w:spacing w:val="-1"/>
                      <w:sz w:val="18"/>
                      <w:szCs w:val="18"/>
                      <w:lang w:val="en-US" w:eastAsia="zh-CN"/>
                    </w:rPr>
                    <w:t>生产</w:t>
                  </w:r>
                </w:p>
              </w:tc>
            </w:tr>
            <w:tr w14:paraId="651A9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restart"/>
                  <w:tcBorders>
                    <w:tl2br w:val="nil"/>
                    <w:tr2bl w:val="nil"/>
                  </w:tcBorders>
                  <w:noWrap w:val="0"/>
                  <w:vAlign w:val="center"/>
                </w:tcPr>
                <w:p w14:paraId="3727069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公用工程</w:t>
                  </w:r>
                </w:p>
              </w:tc>
              <w:tc>
                <w:tcPr>
                  <w:tcW w:w="622" w:type="pct"/>
                  <w:gridSpan w:val="2"/>
                  <w:tcBorders>
                    <w:tl2br w:val="nil"/>
                    <w:tr2bl w:val="nil"/>
                  </w:tcBorders>
                  <w:noWrap w:val="0"/>
                  <w:vAlign w:val="center"/>
                </w:tcPr>
                <w:p w14:paraId="2E4E8B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ascii="Times New Roman" w:hAnsi="Times New Roman"/>
                      <w:bCs/>
                      <w:color w:val="auto"/>
                      <w:sz w:val="18"/>
                      <w:szCs w:val="18"/>
                    </w:rPr>
                    <w:t>给水</w:t>
                  </w:r>
                </w:p>
              </w:tc>
              <w:tc>
                <w:tcPr>
                  <w:tcW w:w="967" w:type="pct"/>
                  <w:tcBorders>
                    <w:tl2br w:val="nil"/>
                    <w:tr2bl w:val="nil"/>
                  </w:tcBorders>
                  <w:noWrap w:val="0"/>
                  <w:vAlign w:val="center"/>
                </w:tcPr>
                <w:p w14:paraId="2D755E7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13744t/a</w:t>
                  </w:r>
                </w:p>
              </w:tc>
              <w:tc>
                <w:tcPr>
                  <w:tcW w:w="752" w:type="pct"/>
                  <w:tcBorders>
                    <w:tl2br w:val="nil"/>
                    <w:tr2bl w:val="nil"/>
                  </w:tcBorders>
                  <w:noWrap w:val="0"/>
                  <w:vAlign w:val="center"/>
                </w:tcPr>
                <w:p w14:paraId="07CDC71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b w:val="0"/>
                      <w:bCs/>
                      <w:color w:val="auto"/>
                      <w:sz w:val="18"/>
                      <w:szCs w:val="18"/>
                      <w:lang w:val="en-US" w:eastAsia="zh-CN"/>
                    </w:rPr>
                  </w:pPr>
                  <w:r>
                    <w:rPr>
                      <w:rFonts w:hint="eastAsia"/>
                      <w:b w:val="0"/>
                      <w:bCs/>
                      <w:color w:val="auto"/>
                      <w:sz w:val="18"/>
                      <w:szCs w:val="18"/>
                      <w:lang w:val="en-US" w:eastAsia="zh-CN"/>
                    </w:rPr>
                    <w:t>0</w:t>
                  </w:r>
                </w:p>
              </w:tc>
              <w:tc>
                <w:tcPr>
                  <w:tcW w:w="1153" w:type="pct"/>
                  <w:tcBorders>
                    <w:tl2br w:val="nil"/>
                    <w:tr2bl w:val="nil"/>
                  </w:tcBorders>
                  <w:noWrap w:val="0"/>
                  <w:vAlign w:val="center"/>
                </w:tcPr>
                <w:p w14:paraId="75A0F70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13744t/a</w:t>
                  </w:r>
                </w:p>
              </w:tc>
              <w:tc>
                <w:tcPr>
                  <w:tcW w:w="1115" w:type="pct"/>
                  <w:tcBorders>
                    <w:tl2br w:val="nil"/>
                    <w:tr2bl w:val="nil"/>
                  </w:tcBorders>
                  <w:noWrap w:val="0"/>
                  <w:vAlign w:val="center"/>
                </w:tcPr>
                <w:p w14:paraId="597534B5">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ascii="Times New Roman" w:hAnsi="Times New Roman"/>
                      <w:b w:val="0"/>
                      <w:bCs/>
                      <w:color w:val="auto"/>
                      <w:sz w:val="18"/>
                      <w:szCs w:val="18"/>
                    </w:rPr>
                    <w:t>市政供水管网提供</w:t>
                  </w:r>
                </w:p>
              </w:tc>
            </w:tr>
            <w:tr w14:paraId="5010A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745ED21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3B3903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ascii="Times New Roman" w:hAnsi="Times New Roman"/>
                      <w:bCs/>
                      <w:color w:val="auto"/>
                      <w:sz w:val="18"/>
                      <w:szCs w:val="18"/>
                    </w:rPr>
                    <w:t>排水</w:t>
                  </w:r>
                </w:p>
              </w:tc>
              <w:tc>
                <w:tcPr>
                  <w:tcW w:w="967" w:type="pct"/>
                  <w:tcBorders>
                    <w:tl2br w:val="nil"/>
                    <w:tr2bl w:val="nil"/>
                  </w:tcBorders>
                  <w:noWrap w:val="0"/>
                  <w:vAlign w:val="center"/>
                </w:tcPr>
                <w:p w14:paraId="158A321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生活污水</w:t>
                  </w:r>
                  <w:r>
                    <w:rPr>
                      <w:rFonts w:hint="eastAsia" w:ascii="Times New Roman" w:hAnsi="Times New Roman"/>
                      <w:b w:val="0"/>
                      <w:bCs/>
                      <w:color w:val="auto"/>
                      <w:sz w:val="18"/>
                      <w:szCs w:val="18"/>
                    </w:rPr>
                    <w:t>3600t/a、</w:t>
                  </w:r>
                  <w:r>
                    <w:rPr>
                      <w:rFonts w:ascii="Times New Roman" w:hAnsi="Times New Roman"/>
                      <w:b w:val="0"/>
                      <w:bCs/>
                      <w:color w:val="auto"/>
                      <w:sz w:val="18"/>
                      <w:szCs w:val="18"/>
                    </w:rPr>
                    <w:t>清洗废水</w:t>
                  </w:r>
                  <w:r>
                    <w:rPr>
                      <w:rFonts w:hint="eastAsia" w:ascii="Times New Roman" w:hAnsi="Times New Roman"/>
                      <w:b w:val="0"/>
                      <w:bCs/>
                      <w:color w:val="auto"/>
                      <w:sz w:val="18"/>
                      <w:szCs w:val="18"/>
                    </w:rPr>
                    <w:t>288t/a、食堂废水360t/a、初期雨水11048</w:t>
                  </w:r>
                  <w:r>
                    <w:rPr>
                      <w:rFonts w:ascii="Times New Roman" w:hAnsi="Times New Roman"/>
                      <w:b w:val="0"/>
                      <w:bCs/>
                      <w:color w:val="auto"/>
                      <w:sz w:val="18"/>
                      <w:szCs w:val="18"/>
                    </w:rPr>
                    <w:t>t/a，</w:t>
                  </w:r>
                  <w:r>
                    <w:rPr>
                      <w:rFonts w:hint="eastAsia" w:ascii="Times New Roman" w:hAnsi="Times New Roman"/>
                      <w:b w:val="0"/>
                      <w:bCs/>
                      <w:color w:val="auto"/>
                      <w:sz w:val="18"/>
                      <w:szCs w:val="18"/>
                    </w:rPr>
                    <w:t>纯水制备浓水78</w:t>
                  </w:r>
                  <w:r>
                    <w:rPr>
                      <w:rFonts w:ascii="Times New Roman" w:hAnsi="Times New Roman"/>
                      <w:b w:val="0"/>
                      <w:bCs/>
                      <w:color w:val="auto"/>
                      <w:sz w:val="18"/>
                      <w:szCs w:val="18"/>
                    </w:rPr>
                    <w:t>t/a</w:t>
                  </w:r>
                </w:p>
              </w:tc>
              <w:tc>
                <w:tcPr>
                  <w:tcW w:w="752" w:type="pct"/>
                  <w:tcBorders>
                    <w:tl2br w:val="nil"/>
                    <w:tr2bl w:val="nil"/>
                  </w:tcBorders>
                  <w:noWrap w:val="0"/>
                  <w:vAlign w:val="center"/>
                </w:tcPr>
                <w:p w14:paraId="43626AB3">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b w:val="0"/>
                      <w:bCs/>
                      <w:color w:val="auto"/>
                      <w:sz w:val="18"/>
                      <w:szCs w:val="18"/>
                      <w:lang w:val="en-US" w:eastAsia="zh-CN"/>
                    </w:rPr>
                  </w:pPr>
                  <w:r>
                    <w:rPr>
                      <w:rFonts w:hint="eastAsia"/>
                      <w:b w:val="0"/>
                      <w:bCs/>
                      <w:color w:val="auto"/>
                      <w:sz w:val="18"/>
                      <w:szCs w:val="18"/>
                      <w:lang w:val="en-US" w:eastAsia="zh-CN"/>
                    </w:rPr>
                    <w:t>0</w:t>
                  </w:r>
                </w:p>
              </w:tc>
              <w:tc>
                <w:tcPr>
                  <w:tcW w:w="1153" w:type="pct"/>
                  <w:tcBorders>
                    <w:tl2br w:val="nil"/>
                    <w:tr2bl w:val="nil"/>
                  </w:tcBorders>
                  <w:noWrap w:val="0"/>
                  <w:vAlign w:val="center"/>
                </w:tcPr>
                <w:p w14:paraId="613694E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ascii="Times New Roman" w:hAnsi="Times New Roman"/>
                      <w:b w:val="0"/>
                      <w:bCs/>
                      <w:color w:val="auto"/>
                      <w:sz w:val="18"/>
                      <w:szCs w:val="18"/>
                    </w:rPr>
                    <w:t>生活污水</w:t>
                  </w:r>
                  <w:r>
                    <w:rPr>
                      <w:rFonts w:hint="eastAsia" w:ascii="Times New Roman" w:hAnsi="Times New Roman"/>
                      <w:b w:val="0"/>
                      <w:bCs/>
                      <w:color w:val="auto"/>
                      <w:sz w:val="18"/>
                      <w:szCs w:val="18"/>
                    </w:rPr>
                    <w:t>3600t/a、</w:t>
                  </w:r>
                  <w:r>
                    <w:rPr>
                      <w:rFonts w:ascii="Times New Roman" w:hAnsi="Times New Roman"/>
                      <w:b w:val="0"/>
                      <w:bCs/>
                      <w:color w:val="auto"/>
                      <w:sz w:val="18"/>
                      <w:szCs w:val="18"/>
                    </w:rPr>
                    <w:t>清洗废水</w:t>
                  </w:r>
                  <w:r>
                    <w:rPr>
                      <w:rFonts w:hint="eastAsia" w:ascii="Times New Roman" w:hAnsi="Times New Roman"/>
                      <w:b w:val="0"/>
                      <w:bCs/>
                      <w:color w:val="auto"/>
                      <w:sz w:val="18"/>
                      <w:szCs w:val="18"/>
                    </w:rPr>
                    <w:t>288t/a、食堂废水360t/a、初期雨水11048</w:t>
                  </w:r>
                  <w:r>
                    <w:rPr>
                      <w:rFonts w:ascii="Times New Roman" w:hAnsi="Times New Roman"/>
                      <w:b w:val="0"/>
                      <w:bCs/>
                      <w:color w:val="auto"/>
                      <w:sz w:val="18"/>
                      <w:szCs w:val="18"/>
                    </w:rPr>
                    <w:t>t/a，</w:t>
                  </w:r>
                  <w:r>
                    <w:rPr>
                      <w:rFonts w:hint="eastAsia" w:ascii="Times New Roman" w:hAnsi="Times New Roman"/>
                      <w:b w:val="0"/>
                      <w:bCs/>
                      <w:color w:val="auto"/>
                      <w:sz w:val="18"/>
                      <w:szCs w:val="18"/>
                    </w:rPr>
                    <w:t>纯水制备浓水78</w:t>
                  </w:r>
                  <w:r>
                    <w:rPr>
                      <w:rFonts w:ascii="Times New Roman" w:hAnsi="Times New Roman"/>
                      <w:b w:val="0"/>
                      <w:bCs/>
                      <w:color w:val="auto"/>
                      <w:sz w:val="18"/>
                      <w:szCs w:val="18"/>
                    </w:rPr>
                    <w:t>t/a</w:t>
                  </w:r>
                </w:p>
              </w:tc>
              <w:tc>
                <w:tcPr>
                  <w:tcW w:w="1115" w:type="pct"/>
                  <w:tcBorders>
                    <w:tl2br w:val="nil"/>
                    <w:tr2bl w:val="nil"/>
                  </w:tcBorders>
                  <w:noWrap w:val="0"/>
                  <w:vAlign w:val="center"/>
                </w:tcPr>
                <w:p w14:paraId="203FFD08">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ascii="Times New Roman" w:hAnsi="Times New Roman"/>
                      <w:b w:val="0"/>
                      <w:bCs/>
                      <w:color w:val="auto"/>
                      <w:sz w:val="18"/>
                      <w:szCs w:val="18"/>
                    </w:rPr>
                    <w:t>接管海门经济技术开发区污水处理厂处理。</w:t>
                  </w:r>
                </w:p>
              </w:tc>
            </w:tr>
            <w:tr w14:paraId="556AC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53B2655E">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775DC6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ascii="Times New Roman" w:hAnsi="Times New Roman"/>
                      <w:bCs/>
                      <w:color w:val="auto"/>
                      <w:sz w:val="18"/>
                      <w:szCs w:val="18"/>
                    </w:rPr>
                    <w:t>供电</w:t>
                  </w:r>
                </w:p>
              </w:tc>
              <w:tc>
                <w:tcPr>
                  <w:tcW w:w="967" w:type="pct"/>
                  <w:tcBorders>
                    <w:tl2br w:val="nil"/>
                    <w:tr2bl w:val="nil"/>
                  </w:tcBorders>
                  <w:noWrap w:val="0"/>
                  <w:vAlign w:val="center"/>
                </w:tcPr>
                <w:p w14:paraId="7BBCE0B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2000kVA/1</w:t>
                  </w:r>
                  <w:r>
                    <w:rPr>
                      <w:rFonts w:hint="eastAsia" w:ascii="Times New Roman" w:hAnsi="Times New Roman"/>
                      <w:b w:val="0"/>
                      <w:bCs/>
                      <w:color w:val="auto"/>
                      <w:sz w:val="18"/>
                      <w:szCs w:val="18"/>
                    </w:rPr>
                    <w:t>0</w:t>
                  </w:r>
                  <w:r>
                    <w:rPr>
                      <w:rFonts w:ascii="Times New Roman" w:hAnsi="Times New Roman"/>
                      <w:b w:val="0"/>
                      <w:bCs/>
                      <w:color w:val="auto"/>
                      <w:sz w:val="18"/>
                      <w:szCs w:val="18"/>
                    </w:rPr>
                    <w:t>-0.4kV变压器3台、1250kVA/10-0.4kV型变压器2台、1000kVA/10-0.4kV型变压器1台</w:t>
                  </w:r>
                </w:p>
              </w:tc>
              <w:tc>
                <w:tcPr>
                  <w:tcW w:w="752" w:type="pct"/>
                  <w:tcBorders>
                    <w:tl2br w:val="nil"/>
                    <w:tr2bl w:val="nil"/>
                  </w:tcBorders>
                  <w:noWrap w:val="0"/>
                  <w:vAlign w:val="center"/>
                </w:tcPr>
                <w:p w14:paraId="54925B9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b w:val="0"/>
                      <w:bCs/>
                      <w:color w:val="auto"/>
                      <w:sz w:val="18"/>
                      <w:szCs w:val="18"/>
                      <w:lang w:val="en-US" w:eastAsia="zh-CN"/>
                    </w:rPr>
                  </w:pPr>
                  <w:r>
                    <w:rPr>
                      <w:rFonts w:hint="eastAsia" w:ascii="Times New Roman" w:hAnsi="Times New Roman"/>
                      <w:b w:val="0"/>
                      <w:bCs/>
                      <w:color w:val="auto"/>
                      <w:sz w:val="18"/>
                      <w:szCs w:val="18"/>
                      <w:lang w:val="en-US" w:eastAsia="zh-CN"/>
                    </w:rPr>
                    <w:t>0</w:t>
                  </w:r>
                </w:p>
              </w:tc>
              <w:tc>
                <w:tcPr>
                  <w:tcW w:w="1153" w:type="pct"/>
                  <w:tcBorders>
                    <w:tl2br w:val="nil"/>
                    <w:tr2bl w:val="nil"/>
                  </w:tcBorders>
                  <w:noWrap w:val="0"/>
                  <w:vAlign w:val="center"/>
                </w:tcPr>
                <w:p w14:paraId="47145345">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ascii="Times New Roman" w:hAnsi="Times New Roman"/>
                      <w:b w:val="0"/>
                      <w:bCs/>
                      <w:color w:val="auto"/>
                      <w:sz w:val="18"/>
                      <w:szCs w:val="18"/>
                    </w:rPr>
                    <w:t>2000kVA/1</w:t>
                  </w:r>
                  <w:r>
                    <w:rPr>
                      <w:rFonts w:hint="eastAsia" w:ascii="Times New Roman" w:hAnsi="Times New Roman"/>
                      <w:b w:val="0"/>
                      <w:bCs/>
                      <w:color w:val="auto"/>
                      <w:sz w:val="18"/>
                      <w:szCs w:val="18"/>
                    </w:rPr>
                    <w:t>0</w:t>
                  </w:r>
                  <w:r>
                    <w:rPr>
                      <w:rFonts w:ascii="Times New Roman" w:hAnsi="Times New Roman"/>
                      <w:b w:val="0"/>
                      <w:bCs/>
                      <w:color w:val="auto"/>
                      <w:sz w:val="18"/>
                      <w:szCs w:val="18"/>
                    </w:rPr>
                    <w:t>-0.4kV变压器3台、1250kVA/10-0.4kV型变压器2台、1000kVA/10-0.4kV型变压器1台</w:t>
                  </w:r>
                </w:p>
              </w:tc>
              <w:tc>
                <w:tcPr>
                  <w:tcW w:w="1115" w:type="pct"/>
                  <w:tcBorders>
                    <w:tl2br w:val="nil"/>
                    <w:tr2bl w:val="nil"/>
                  </w:tcBorders>
                  <w:noWrap w:val="0"/>
                  <w:vAlign w:val="center"/>
                </w:tcPr>
                <w:p w14:paraId="01D6E0C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eastAsia="宋体"/>
                      <w:b w:val="0"/>
                      <w:bCs/>
                      <w:color w:val="auto"/>
                      <w:sz w:val="18"/>
                      <w:szCs w:val="18"/>
                      <w:lang w:val="en-US" w:eastAsia="zh-CN"/>
                    </w:rPr>
                  </w:pPr>
                  <w:r>
                    <w:rPr>
                      <w:rFonts w:ascii="Times New Roman" w:hAnsi="Times New Roman"/>
                      <w:b w:val="0"/>
                      <w:bCs/>
                      <w:color w:val="auto"/>
                      <w:sz w:val="18"/>
                      <w:szCs w:val="18"/>
                    </w:rPr>
                    <w:t>市政电网</w:t>
                  </w:r>
                  <w:r>
                    <w:rPr>
                      <w:rFonts w:hint="eastAsia" w:ascii="Times New Roman" w:hAnsi="Times New Roman"/>
                      <w:b w:val="0"/>
                      <w:bCs/>
                      <w:color w:val="auto"/>
                      <w:sz w:val="18"/>
                      <w:szCs w:val="18"/>
                    </w:rPr>
                    <w:t>提供</w:t>
                  </w:r>
                  <w:r>
                    <w:rPr>
                      <w:rFonts w:hint="eastAsia" w:ascii="Times New Roman" w:hAnsi="Times New Roman"/>
                      <w:b w:val="0"/>
                      <w:bCs/>
                      <w:color w:val="auto"/>
                      <w:sz w:val="18"/>
                      <w:szCs w:val="18"/>
                      <w:lang w:eastAsia="zh-CN"/>
                    </w:rPr>
                    <w:t>（</w:t>
                  </w:r>
                  <w:r>
                    <w:rPr>
                      <w:rFonts w:hint="eastAsia" w:ascii="Times New Roman" w:hAnsi="Times New Roman"/>
                      <w:b w:val="0"/>
                      <w:bCs/>
                      <w:color w:val="auto"/>
                      <w:sz w:val="18"/>
                      <w:szCs w:val="18"/>
                      <w:lang w:val="en-US" w:eastAsia="zh-CN"/>
                    </w:rPr>
                    <w:t>本次</w:t>
                  </w:r>
                  <w:r>
                    <w:rPr>
                      <w:rFonts w:hint="eastAsia"/>
                      <w:b w:val="0"/>
                      <w:bCs/>
                      <w:color w:val="auto"/>
                      <w:sz w:val="18"/>
                      <w:szCs w:val="18"/>
                      <w:lang w:val="en-US" w:eastAsia="zh-CN"/>
                    </w:rPr>
                    <w:t>改建</w:t>
                  </w:r>
                  <w:r>
                    <w:rPr>
                      <w:rFonts w:hint="eastAsia" w:ascii="Times New Roman" w:hAnsi="Times New Roman"/>
                      <w:b w:val="0"/>
                      <w:bCs/>
                      <w:color w:val="auto"/>
                      <w:sz w:val="18"/>
                      <w:szCs w:val="18"/>
                      <w:lang w:val="en-US" w:eastAsia="zh-CN"/>
                    </w:rPr>
                    <w:t>后增加20.34</w:t>
                  </w:r>
                  <w:r>
                    <w:rPr>
                      <w:rFonts w:hint="eastAsia"/>
                      <w:b w:val="0"/>
                      <w:bCs/>
                      <w:color w:val="auto"/>
                      <w:sz w:val="18"/>
                      <w:szCs w:val="18"/>
                      <w:lang w:val="en-US" w:eastAsia="zh-CN"/>
                    </w:rPr>
                    <w:t>万kW·h用电量，不超过现有变电设施负荷</w:t>
                  </w:r>
                  <w:r>
                    <w:rPr>
                      <w:rFonts w:hint="eastAsia"/>
                      <w:b w:val="0"/>
                      <w:bCs/>
                      <w:color w:val="auto"/>
                      <w:sz w:val="18"/>
                      <w:szCs w:val="18"/>
                      <w:lang w:val="en-US" w:eastAsia="zh-CN"/>
                    </w:rPr>
                    <w:t>）</w:t>
                  </w:r>
                </w:p>
              </w:tc>
            </w:tr>
            <w:tr w14:paraId="63530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2AF7935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31E130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供气</w:t>
                  </w:r>
                </w:p>
              </w:tc>
              <w:tc>
                <w:tcPr>
                  <w:tcW w:w="967" w:type="pct"/>
                  <w:tcBorders>
                    <w:tl2br w:val="nil"/>
                    <w:tr2bl w:val="nil"/>
                  </w:tcBorders>
                  <w:noWrap w:val="0"/>
                  <w:vAlign w:val="center"/>
                </w:tcPr>
                <w:p w14:paraId="50C2DE3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hint="eastAsia" w:ascii="Times New Roman" w:hAnsi="Times New Roman"/>
                      <w:b w:val="0"/>
                      <w:bCs/>
                      <w:color w:val="auto"/>
                      <w:sz w:val="18"/>
                      <w:szCs w:val="18"/>
                    </w:rPr>
                    <w:t>天然气使用量为30万m</w:t>
                  </w:r>
                  <w:r>
                    <w:rPr>
                      <w:rFonts w:hint="eastAsia" w:ascii="Times New Roman" w:hAnsi="Times New Roman"/>
                      <w:b w:val="0"/>
                      <w:bCs/>
                      <w:color w:val="auto"/>
                      <w:sz w:val="18"/>
                      <w:szCs w:val="18"/>
                      <w:vertAlign w:val="superscript"/>
                    </w:rPr>
                    <w:t>3</w:t>
                  </w:r>
                  <w:r>
                    <w:rPr>
                      <w:rFonts w:hint="eastAsia" w:ascii="Times New Roman" w:hAnsi="Times New Roman"/>
                      <w:b w:val="0"/>
                      <w:bCs/>
                      <w:color w:val="auto"/>
                      <w:sz w:val="18"/>
                      <w:szCs w:val="18"/>
                    </w:rPr>
                    <w:t>/a</w:t>
                  </w:r>
                </w:p>
              </w:tc>
              <w:tc>
                <w:tcPr>
                  <w:tcW w:w="752" w:type="pct"/>
                  <w:tcBorders>
                    <w:tl2br w:val="nil"/>
                    <w:tr2bl w:val="nil"/>
                  </w:tcBorders>
                  <w:noWrap w:val="0"/>
                  <w:vAlign w:val="center"/>
                </w:tcPr>
                <w:p w14:paraId="2828CF37">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b w:val="0"/>
                      <w:bCs/>
                      <w:color w:val="auto"/>
                      <w:sz w:val="18"/>
                      <w:szCs w:val="18"/>
                      <w:lang w:val="en-US" w:eastAsia="zh-CN"/>
                    </w:rPr>
                  </w:pPr>
                  <w:r>
                    <w:rPr>
                      <w:rFonts w:hint="eastAsia"/>
                      <w:b w:val="0"/>
                      <w:bCs/>
                      <w:color w:val="auto"/>
                      <w:sz w:val="18"/>
                      <w:szCs w:val="18"/>
                      <w:lang w:val="en-US" w:eastAsia="zh-CN"/>
                    </w:rPr>
                    <w:t>不涉及</w:t>
                  </w:r>
                </w:p>
              </w:tc>
              <w:tc>
                <w:tcPr>
                  <w:tcW w:w="1153" w:type="pct"/>
                  <w:tcBorders>
                    <w:tl2br w:val="nil"/>
                    <w:tr2bl w:val="nil"/>
                  </w:tcBorders>
                  <w:noWrap w:val="0"/>
                  <w:vAlign w:val="center"/>
                </w:tcPr>
                <w:p w14:paraId="05607C1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b w:val="0"/>
                      <w:bCs/>
                      <w:color w:val="auto"/>
                      <w:sz w:val="18"/>
                      <w:szCs w:val="18"/>
                    </w:rPr>
                  </w:pPr>
                  <w:r>
                    <w:rPr>
                      <w:rFonts w:hint="eastAsia" w:ascii="Times New Roman" w:hAnsi="Times New Roman"/>
                      <w:b w:val="0"/>
                      <w:bCs/>
                      <w:color w:val="auto"/>
                      <w:sz w:val="18"/>
                      <w:szCs w:val="18"/>
                    </w:rPr>
                    <w:t>天然气使用量为30万m</w:t>
                  </w:r>
                  <w:r>
                    <w:rPr>
                      <w:rFonts w:hint="eastAsia" w:ascii="Times New Roman" w:hAnsi="Times New Roman"/>
                      <w:b w:val="0"/>
                      <w:bCs/>
                      <w:color w:val="auto"/>
                      <w:sz w:val="18"/>
                      <w:szCs w:val="18"/>
                      <w:vertAlign w:val="superscript"/>
                    </w:rPr>
                    <w:t>3</w:t>
                  </w:r>
                  <w:r>
                    <w:rPr>
                      <w:rFonts w:hint="eastAsia" w:ascii="Times New Roman" w:hAnsi="Times New Roman"/>
                      <w:b w:val="0"/>
                      <w:bCs/>
                      <w:color w:val="auto"/>
                      <w:sz w:val="18"/>
                      <w:szCs w:val="18"/>
                    </w:rPr>
                    <w:t>/a</w:t>
                  </w:r>
                </w:p>
              </w:tc>
              <w:tc>
                <w:tcPr>
                  <w:tcW w:w="1115" w:type="pct"/>
                  <w:tcBorders>
                    <w:tl2br w:val="nil"/>
                    <w:tr2bl w:val="nil"/>
                  </w:tcBorders>
                  <w:noWrap w:val="0"/>
                  <w:vAlign w:val="center"/>
                </w:tcPr>
                <w:p w14:paraId="4E228852">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hint="eastAsia" w:ascii="Times New Roman" w:hAnsi="Times New Roman"/>
                      <w:b w:val="0"/>
                      <w:bCs/>
                      <w:color w:val="auto"/>
                      <w:sz w:val="18"/>
                      <w:szCs w:val="18"/>
                    </w:rPr>
                    <w:t>市政供气管网提供</w:t>
                  </w:r>
                </w:p>
              </w:tc>
            </w:tr>
            <w:tr w14:paraId="61B89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162C9FCF">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1D8EB9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宋体" w:hAnsi="宋体" w:cs="宋体"/>
                      <w:color w:val="auto"/>
                      <w:kern w:val="0"/>
                      <w:sz w:val="18"/>
                      <w:szCs w:val="18"/>
                      <w:lang w:bidi="ar"/>
                    </w:rPr>
                    <w:t>压缩空气</w:t>
                  </w:r>
                </w:p>
              </w:tc>
              <w:tc>
                <w:tcPr>
                  <w:tcW w:w="967" w:type="pct"/>
                  <w:tcBorders>
                    <w:tl2br w:val="nil"/>
                    <w:tr2bl w:val="nil"/>
                  </w:tcBorders>
                  <w:noWrap w:val="0"/>
                  <w:vAlign w:val="center"/>
                </w:tcPr>
                <w:p w14:paraId="4B0DFCB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ascii="Times New Roman" w:hAnsi="Times New Roman"/>
                      <w:b w:val="0"/>
                      <w:bCs/>
                      <w:color w:val="auto"/>
                      <w:sz w:val="18"/>
                      <w:szCs w:val="18"/>
                    </w:rPr>
                    <w:t xml:space="preserve">BD-15EPM </w:t>
                  </w:r>
                  <w:r>
                    <w:rPr>
                      <w:rFonts w:hint="eastAsia" w:ascii="Times New Roman" w:hAnsi="Times New Roman"/>
                      <w:b w:val="0"/>
                      <w:bCs/>
                      <w:color w:val="auto"/>
                      <w:sz w:val="18"/>
                      <w:szCs w:val="18"/>
                    </w:rPr>
                    <w:t>型螺杆式空压机，</w:t>
                  </w:r>
                  <w:r>
                    <w:rPr>
                      <w:rFonts w:ascii="Times New Roman" w:hAnsi="Times New Roman"/>
                      <w:b w:val="0"/>
                      <w:bCs/>
                      <w:color w:val="auto"/>
                      <w:sz w:val="18"/>
                      <w:szCs w:val="18"/>
                    </w:rPr>
                    <w:t>1.04~2.6m</w:t>
                  </w:r>
                  <w:r>
                    <w:rPr>
                      <w:rFonts w:hint="eastAsia" w:ascii="Times New Roman" w:hAnsi="Times New Roman"/>
                      <w:b w:val="0"/>
                      <w:bCs/>
                      <w:color w:val="auto"/>
                      <w:sz w:val="18"/>
                      <w:szCs w:val="18"/>
                      <w:vertAlign w:val="superscript"/>
                    </w:rPr>
                    <w:t>3</w:t>
                  </w:r>
                  <w:r>
                    <w:rPr>
                      <w:rFonts w:ascii="Times New Roman" w:hAnsi="Times New Roman"/>
                      <w:b w:val="0"/>
                      <w:bCs/>
                      <w:color w:val="auto"/>
                      <w:sz w:val="18"/>
                      <w:szCs w:val="18"/>
                    </w:rPr>
                    <w:t xml:space="preserve"> /min</w:t>
                  </w:r>
                  <w:r>
                    <w:rPr>
                      <w:rFonts w:hint="eastAsia" w:ascii="Times New Roman" w:hAnsi="Times New Roman"/>
                      <w:b w:val="0"/>
                      <w:bCs/>
                      <w:color w:val="auto"/>
                      <w:sz w:val="18"/>
                      <w:szCs w:val="18"/>
                    </w:rPr>
                    <w:t>，排气压力</w:t>
                  </w:r>
                  <w:r>
                    <w:rPr>
                      <w:rFonts w:ascii="Times New Roman" w:hAnsi="Times New Roman"/>
                      <w:b w:val="0"/>
                      <w:bCs/>
                      <w:color w:val="auto"/>
                      <w:sz w:val="18"/>
                      <w:szCs w:val="18"/>
                    </w:rPr>
                    <w:t>0.8Mpa</w:t>
                  </w:r>
                  <w:r>
                    <w:rPr>
                      <w:rFonts w:hint="eastAsia" w:ascii="Times New Roman" w:hAnsi="Times New Roman"/>
                      <w:b w:val="0"/>
                      <w:bCs/>
                      <w:color w:val="auto"/>
                      <w:sz w:val="18"/>
                      <w:szCs w:val="18"/>
                    </w:rPr>
                    <w:t xml:space="preserve">；配备冷冻式干燥机及吸附式干燥机各 </w:t>
                  </w:r>
                  <w:r>
                    <w:rPr>
                      <w:rFonts w:ascii="Times New Roman" w:hAnsi="Times New Roman"/>
                      <w:b w:val="0"/>
                      <w:bCs/>
                      <w:color w:val="auto"/>
                      <w:sz w:val="18"/>
                      <w:szCs w:val="18"/>
                    </w:rPr>
                    <w:t xml:space="preserve">1 </w:t>
                  </w:r>
                  <w:r>
                    <w:rPr>
                      <w:rFonts w:hint="eastAsia" w:ascii="Times New Roman" w:hAnsi="Times New Roman"/>
                      <w:b w:val="0"/>
                      <w:bCs/>
                      <w:color w:val="auto"/>
                      <w:sz w:val="18"/>
                      <w:szCs w:val="18"/>
                    </w:rPr>
                    <w:t>台（处理风量：</w:t>
                  </w:r>
                  <w:r>
                    <w:rPr>
                      <w:rFonts w:ascii="Times New Roman" w:hAnsi="Times New Roman"/>
                      <w:b w:val="0"/>
                      <w:bCs/>
                      <w:color w:val="auto"/>
                      <w:sz w:val="18"/>
                      <w:szCs w:val="18"/>
                    </w:rPr>
                    <w:t>2.8m</w:t>
                  </w:r>
                  <w:r>
                    <w:rPr>
                      <w:rFonts w:ascii="Times New Roman" w:hAnsi="Times New Roman"/>
                      <w:b w:val="0"/>
                      <w:bCs/>
                      <w:color w:val="auto"/>
                      <w:sz w:val="18"/>
                      <w:szCs w:val="18"/>
                      <w:vertAlign w:val="superscript"/>
                    </w:rPr>
                    <w:t xml:space="preserve">3 </w:t>
                  </w:r>
                  <w:r>
                    <w:rPr>
                      <w:rFonts w:ascii="Times New Roman" w:hAnsi="Times New Roman"/>
                      <w:b w:val="0"/>
                      <w:bCs/>
                      <w:color w:val="auto"/>
                      <w:sz w:val="18"/>
                      <w:szCs w:val="18"/>
                    </w:rPr>
                    <w:t>/min</w:t>
                  </w:r>
                  <w:r>
                    <w:rPr>
                      <w:rFonts w:hint="eastAsia" w:ascii="Times New Roman" w:hAnsi="Times New Roman"/>
                      <w:b w:val="0"/>
                      <w:bCs/>
                      <w:color w:val="auto"/>
                      <w:sz w:val="18"/>
                      <w:szCs w:val="18"/>
                    </w:rPr>
                    <w:t>），同时配备</w:t>
                  </w:r>
                  <w:r>
                    <w:rPr>
                      <w:rFonts w:ascii="Times New Roman" w:hAnsi="Times New Roman"/>
                      <w:b w:val="0"/>
                      <w:bCs/>
                      <w:color w:val="auto"/>
                      <w:sz w:val="18"/>
                      <w:szCs w:val="18"/>
                    </w:rPr>
                    <w:t>1m</w:t>
                  </w:r>
                  <w:r>
                    <w:rPr>
                      <w:rFonts w:ascii="Times New Roman" w:hAnsi="Times New Roman"/>
                      <w:b w:val="0"/>
                      <w:bCs/>
                      <w:color w:val="auto"/>
                      <w:sz w:val="18"/>
                      <w:szCs w:val="18"/>
                      <w:vertAlign w:val="superscript"/>
                    </w:rPr>
                    <w:t>3</w:t>
                  </w:r>
                  <w:r>
                    <w:rPr>
                      <w:rFonts w:ascii="Times New Roman" w:hAnsi="Times New Roman"/>
                      <w:b w:val="0"/>
                      <w:bCs/>
                      <w:color w:val="auto"/>
                      <w:sz w:val="18"/>
                      <w:szCs w:val="18"/>
                    </w:rPr>
                    <w:t xml:space="preserve"> </w:t>
                  </w:r>
                  <w:r>
                    <w:rPr>
                      <w:rFonts w:hint="eastAsia" w:ascii="Times New Roman" w:hAnsi="Times New Roman"/>
                      <w:b w:val="0"/>
                      <w:bCs/>
                      <w:color w:val="auto"/>
                      <w:sz w:val="18"/>
                      <w:szCs w:val="18"/>
                    </w:rPr>
                    <w:t>压缩空气储罐</w:t>
                  </w:r>
                </w:p>
              </w:tc>
              <w:tc>
                <w:tcPr>
                  <w:tcW w:w="752" w:type="pct"/>
                  <w:tcBorders>
                    <w:tl2br w:val="nil"/>
                    <w:tr2bl w:val="nil"/>
                  </w:tcBorders>
                  <w:noWrap w:val="0"/>
                  <w:vAlign w:val="center"/>
                </w:tcPr>
                <w:p w14:paraId="1936734F">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b w:val="0"/>
                      <w:bCs/>
                      <w:color w:val="auto"/>
                      <w:sz w:val="18"/>
                      <w:szCs w:val="18"/>
                      <w:lang w:val="en-US" w:eastAsia="zh-CN"/>
                    </w:rPr>
                  </w:pPr>
                  <w:r>
                    <w:rPr>
                      <w:rFonts w:hint="eastAsia"/>
                      <w:b w:val="0"/>
                      <w:bCs/>
                      <w:color w:val="auto"/>
                      <w:sz w:val="18"/>
                      <w:szCs w:val="18"/>
                      <w:lang w:val="en-US" w:eastAsia="zh-CN"/>
                    </w:rPr>
                    <w:t>不涉及</w:t>
                  </w:r>
                </w:p>
              </w:tc>
              <w:tc>
                <w:tcPr>
                  <w:tcW w:w="1153" w:type="pct"/>
                  <w:tcBorders>
                    <w:tl2br w:val="nil"/>
                    <w:tr2bl w:val="nil"/>
                  </w:tcBorders>
                  <w:noWrap w:val="0"/>
                  <w:vAlign w:val="center"/>
                </w:tcPr>
                <w:p w14:paraId="758C6E43">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ascii="Times New Roman" w:hAnsi="Times New Roman"/>
                      <w:b w:val="0"/>
                      <w:bCs/>
                      <w:color w:val="auto"/>
                      <w:sz w:val="18"/>
                      <w:szCs w:val="18"/>
                    </w:rPr>
                    <w:t xml:space="preserve">BD-15EPM </w:t>
                  </w:r>
                  <w:r>
                    <w:rPr>
                      <w:rFonts w:hint="eastAsia" w:ascii="Times New Roman" w:hAnsi="Times New Roman"/>
                      <w:b w:val="0"/>
                      <w:bCs/>
                      <w:color w:val="auto"/>
                      <w:sz w:val="18"/>
                      <w:szCs w:val="18"/>
                    </w:rPr>
                    <w:t>型螺杆式空压机，</w:t>
                  </w:r>
                  <w:r>
                    <w:rPr>
                      <w:rFonts w:ascii="Times New Roman" w:hAnsi="Times New Roman"/>
                      <w:b w:val="0"/>
                      <w:bCs/>
                      <w:color w:val="auto"/>
                      <w:sz w:val="18"/>
                      <w:szCs w:val="18"/>
                    </w:rPr>
                    <w:t>1.04~2.6m</w:t>
                  </w:r>
                  <w:r>
                    <w:rPr>
                      <w:rFonts w:hint="eastAsia" w:ascii="Times New Roman" w:hAnsi="Times New Roman"/>
                      <w:b w:val="0"/>
                      <w:bCs/>
                      <w:color w:val="auto"/>
                      <w:sz w:val="18"/>
                      <w:szCs w:val="18"/>
                      <w:vertAlign w:val="superscript"/>
                    </w:rPr>
                    <w:t>3</w:t>
                  </w:r>
                  <w:r>
                    <w:rPr>
                      <w:rFonts w:ascii="Times New Roman" w:hAnsi="Times New Roman"/>
                      <w:b w:val="0"/>
                      <w:bCs/>
                      <w:color w:val="auto"/>
                      <w:sz w:val="18"/>
                      <w:szCs w:val="18"/>
                    </w:rPr>
                    <w:t xml:space="preserve"> /min</w:t>
                  </w:r>
                  <w:r>
                    <w:rPr>
                      <w:rFonts w:hint="eastAsia" w:ascii="Times New Roman" w:hAnsi="Times New Roman"/>
                      <w:b w:val="0"/>
                      <w:bCs/>
                      <w:color w:val="auto"/>
                      <w:sz w:val="18"/>
                      <w:szCs w:val="18"/>
                    </w:rPr>
                    <w:t>，排气压力</w:t>
                  </w:r>
                  <w:r>
                    <w:rPr>
                      <w:rFonts w:ascii="Times New Roman" w:hAnsi="Times New Roman"/>
                      <w:b w:val="0"/>
                      <w:bCs/>
                      <w:color w:val="auto"/>
                      <w:sz w:val="18"/>
                      <w:szCs w:val="18"/>
                    </w:rPr>
                    <w:t>0.8Mpa</w:t>
                  </w:r>
                  <w:r>
                    <w:rPr>
                      <w:rFonts w:hint="eastAsia" w:ascii="Times New Roman" w:hAnsi="Times New Roman"/>
                      <w:b w:val="0"/>
                      <w:bCs/>
                      <w:color w:val="auto"/>
                      <w:sz w:val="18"/>
                      <w:szCs w:val="18"/>
                    </w:rPr>
                    <w:t xml:space="preserve">；配备冷冻式干燥机及吸附式干燥机各 </w:t>
                  </w:r>
                  <w:r>
                    <w:rPr>
                      <w:rFonts w:ascii="Times New Roman" w:hAnsi="Times New Roman"/>
                      <w:b w:val="0"/>
                      <w:bCs/>
                      <w:color w:val="auto"/>
                      <w:sz w:val="18"/>
                      <w:szCs w:val="18"/>
                    </w:rPr>
                    <w:t xml:space="preserve">1 </w:t>
                  </w:r>
                  <w:r>
                    <w:rPr>
                      <w:rFonts w:hint="eastAsia" w:ascii="Times New Roman" w:hAnsi="Times New Roman"/>
                      <w:b w:val="0"/>
                      <w:bCs/>
                      <w:color w:val="auto"/>
                      <w:sz w:val="18"/>
                      <w:szCs w:val="18"/>
                    </w:rPr>
                    <w:t>台（处理风量：</w:t>
                  </w:r>
                  <w:r>
                    <w:rPr>
                      <w:rFonts w:ascii="Times New Roman" w:hAnsi="Times New Roman"/>
                      <w:b w:val="0"/>
                      <w:bCs/>
                      <w:color w:val="auto"/>
                      <w:sz w:val="18"/>
                      <w:szCs w:val="18"/>
                    </w:rPr>
                    <w:t>2.8m</w:t>
                  </w:r>
                  <w:r>
                    <w:rPr>
                      <w:rFonts w:ascii="Times New Roman" w:hAnsi="Times New Roman"/>
                      <w:b w:val="0"/>
                      <w:bCs/>
                      <w:color w:val="auto"/>
                      <w:sz w:val="18"/>
                      <w:szCs w:val="18"/>
                      <w:vertAlign w:val="superscript"/>
                    </w:rPr>
                    <w:t xml:space="preserve">3 </w:t>
                  </w:r>
                  <w:r>
                    <w:rPr>
                      <w:rFonts w:ascii="Times New Roman" w:hAnsi="Times New Roman"/>
                      <w:b w:val="0"/>
                      <w:bCs/>
                      <w:color w:val="auto"/>
                      <w:sz w:val="18"/>
                      <w:szCs w:val="18"/>
                    </w:rPr>
                    <w:t>/min</w:t>
                  </w:r>
                  <w:r>
                    <w:rPr>
                      <w:rFonts w:hint="eastAsia" w:ascii="Times New Roman" w:hAnsi="Times New Roman"/>
                      <w:b w:val="0"/>
                      <w:bCs/>
                      <w:color w:val="auto"/>
                      <w:sz w:val="18"/>
                      <w:szCs w:val="18"/>
                    </w:rPr>
                    <w:t>），同时配备</w:t>
                  </w:r>
                  <w:r>
                    <w:rPr>
                      <w:rFonts w:ascii="Times New Roman" w:hAnsi="Times New Roman"/>
                      <w:b w:val="0"/>
                      <w:bCs/>
                      <w:color w:val="auto"/>
                      <w:sz w:val="18"/>
                      <w:szCs w:val="18"/>
                    </w:rPr>
                    <w:t>1m</w:t>
                  </w:r>
                  <w:r>
                    <w:rPr>
                      <w:rFonts w:ascii="Times New Roman" w:hAnsi="Times New Roman"/>
                      <w:b w:val="0"/>
                      <w:bCs/>
                      <w:color w:val="auto"/>
                      <w:sz w:val="18"/>
                      <w:szCs w:val="18"/>
                      <w:vertAlign w:val="superscript"/>
                    </w:rPr>
                    <w:t>3</w:t>
                  </w:r>
                  <w:r>
                    <w:rPr>
                      <w:rFonts w:ascii="Times New Roman" w:hAnsi="Times New Roman"/>
                      <w:b w:val="0"/>
                      <w:bCs/>
                      <w:color w:val="auto"/>
                      <w:sz w:val="18"/>
                      <w:szCs w:val="18"/>
                    </w:rPr>
                    <w:t xml:space="preserve"> </w:t>
                  </w:r>
                  <w:r>
                    <w:rPr>
                      <w:rFonts w:hint="eastAsia" w:ascii="Times New Roman" w:hAnsi="Times New Roman"/>
                      <w:b w:val="0"/>
                      <w:bCs/>
                      <w:color w:val="auto"/>
                      <w:sz w:val="18"/>
                      <w:szCs w:val="18"/>
                    </w:rPr>
                    <w:t>压缩空气储罐</w:t>
                  </w:r>
                </w:p>
              </w:tc>
              <w:tc>
                <w:tcPr>
                  <w:tcW w:w="1115" w:type="pct"/>
                  <w:tcBorders>
                    <w:tl2br w:val="nil"/>
                    <w:tr2bl w:val="nil"/>
                  </w:tcBorders>
                  <w:noWrap w:val="0"/>
                  <w:vAlign w:val="center"/>
                </w:tcPr>
                <w:p w14:paraId="7335822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b w:val="0"/>
                      <w:bCs/>
                      <w:color w:val="auto"/>
                      <w:sz w:val="18"/>
                      <w:szCs w:val="18"/>
                      <w:lang w:eastAsia="zh-CN"/>
                    </w:rPr>
                  </w:pPr>
                  <w:r>
                    <w:rPr>
                      <w:rFonts w:hint="eastAsia"/>
                      <w:b w:val="0"/>
                      <w:bCs/>
                      <w:color w:val="auto"/>
                      <w:sz w:val="18"/>
                      <w:szCs w:val="18"/>
                      <w:lang w:val="en-US" w:eastAsia="zh-CN"/>
                    </w:rPr>
                    <w:t>/</w:t>
                  </w:r>
                </w:p>
              </w:tc>
            </w:tr>
            <w:tr w14:paraId="7D1F1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7C097672">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5B8C3A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导热油炉</w:t>
                  </w:r>
                </w:p>
              </w:tc>
              <w:tc>
                <w:tcPr>
                  <w:tcW w:w="967" w:type="pct"/>
                  <w:tcBorders>
                    <w:tl2br w:val="nil"/>
                    <w:tr2bl w:val="nil"/>
                  </w:tcBorders>
                  <w:noWrap w:val="0"/>
                  <w:vAlign w:val="center"/>
                </w:tcPr>
                <w:p w14:paraId="7146E74E">
                  <w:pPr>
                    <w:pStyle w:val="185"/>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eastAsia="宋体"/>
                      <w:b w:val="0"/>
                      <w:bCs/>
                      <w:color w:val="auto"/>
                      <w:sz w:val="18"/>
                      <w:szCs w:val="18"/>
                      <w:lang w:eastAsia="zh-CN"/>
                    </w:rPr>
                  </w:pPr>
                  <w:r>
                    <w:rPr>
                      <w:rFonts w:ascii="Times New Roman" w:hAnsi="Times New Roman"/>
                      <w:b w:val="0"/>
                      <w:bCs/>
                      <w:color w:val="auto"/>
                      <w:sz w:val="18"/>
                      <w:szCs w:val="18"/>
                    </w:rPr>
                    <w:t xml:space="preserve">Q10/830- 1.8-0.8-320/305  </w:t>
                  </w:r>
                  <w:r>
                    <w:rPr>
                      <w:rFonts w:hint="eastAsia"/>
                      <w:b w:val="0"/>
                      <w:bCs/>
                      <w:color w:val="auto"/>
                      <w:sz w:val="18"/>
                      <w:szCs w:val="18"/>
                      <w:lang w:eastAsia="zh-CN"/>
                    </w:rPr>
                    <w:t>（</w:t>
                  </w:r>
                  <w:r>
                    <w:rPr>
                      <w:rFonts w:ascii="Times New Roman" w:hAnsi="Times New Roman"/>
                      <w:b w:val="0"/>
                      <w:bCs/>
                      <w:color w:val="auto"/>
                      <w:sz w:val="18"/>
                      <w:szCs w:val="18"/>
                    </w:rPr>
                    <w:t>100万大卡</w:t>
                  </w:r>
                  <w:r>
                    <w:rPr>
                      <w:rFonts w:hint="eastAsia"/>
                      <w:b w:val="0"/>
                      <w:bCs/>
                      <w:color w:val="auto"/>
                      <w:sz w:val="18"/>
                      <w:szCs w:val="18"/>
                      <w:lang w:eastAsia="zh-CN"/>
                    </w:rPr>
                    <w:t>）</w:t>
                  </w:r>
                </w:p>
              </w:tc>
              <w:tc>
                <w:tcPr>
                  <w:tcW w:w="752" w:type="pct"/>
                  <w:tcBorders>
                    <w:tl2br w:val="nil"/>
                    <w:tr2bl w:val="nil"/>
                  </w:tcBorders>
                  <w:noWrap w:val="0"/>
                  <w:vAlign w:val="center"/>
                </w:tcPr>
                <w:p w14:paraId="4C33C4CC">
                  <w:pPr>
                    <w:pStyle w:val="185"/>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b w:val="0"/>
                      <w:bCs/>
                      <w:color w:val="auto"/>
                      <w:sz w:val="18"/>
                      <w:szCs w:val="18"/>
                      <w:lang w:val="en-US" w:eastAsia="zh-CN"/>
                    </w:rPr>
                  </w:pPr>
                  <w:r>
                    <w:rPr>
                      <w:rFonts w:hint="eastAsia"/>
                      <w:b w:val="0"/>
                      <w:bCs/>
                      <w:color w:val="auto"/>
                      <w:sz w:val="18"/>
                      <w:szCs w:val="18"/>
                      <w:lang w:val="en-US" w:eastAsia="zh-CN"/>
                    </w:rPr>
                    <w:t>不涉及</w:t>
                  </w:r>
                </w:p>
              </w:tc>
              <w:tc>
                <w:tcPr>
                  <w:tcW w:w="1153" w:type="pct"/>
                  <w:tcBorders>
                    <w:tl2br w:val="nil"/>
                    <w:tr2bl w:val="nil"/>
                  </w:tcBorders>
                  <w:noWrap w:val="0"/>
                  <w:vAlign w:val="center"/>
                </w:tcPr>
                <w:p w14:paraId="7C947C3A">
                  <w:pPr>
                    <w:pStyle w:val="185"/>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b w:val="0"/>
                      <w:bCs/>
                      <w:color w:val="auto"/>
                      <w:sz w:val="18"/>
                      <w:szCs w:val="18"/>
                      <w:lang w:eastAsia="zh-CN"/>
                    </w:rPr>
                  </w:pPr>
                  <w:r>
                    <w:rPr>
                      <w:rFonts w:ascii="Times New Roman" w:hAnsi="Times New Roman"/>
                      <w:b w:val="0"/>
                      <w:bCs/>
                      <w:color w:val="auto"/>
                      <w:sz w:val="18"/>
                      <w:szCs w:val="18"/>
                    </w:rPr>
                    <w:t xml:space="preserve">Q10/830- 1.8-0.8-320/305  </w:t>
                  </w:r>
                  <w:r>
                    <w:rPr>
                      <w:rFonts w:hint="eastAsia"/>
                      <w:b w:val="0"/>
                      <w:bCs/>
                      <w:color w:val="auto"/>
                      <w:sz w:val="18"/>
                      <w:szCs w:val="18"/>
                      <w:lang w:eastAsia="zh-CN"/>
                    </w:rPr>
                    <w:t>（</w:t>
                  </w:r>
                  <w:r>
                    <w:rPr>
                      <w:rFonts w:ascii="Times New Roman" w:hAnsi="Times New Roman"/>
                      <w:b w:val="0"/>
                      <w:bCs/>
                      <w:color w:val="auto"/>
                      <w:sz w:val="18"/>
                      <w:szCs w:val="18"/>
                    </w:rPr>
                    <w:t>100 万大卡</w:t>
                  </w:r>
                  <w:r>
                    <w:rPr>
                      <w:rFonts w:hint="eastAsia"/>
                      <w:b w:val="0"/>
                      <w:bCs/>
                      <w:color w:val="auto"/>
                      <w:sz w:val="18"/>
                      <w:szCs w:val="18"/>
                      <w:lang w:eastAsia="zh-CN"/>
                    </w:rPr>
                    <w:t>）</w:t>
                  </w:r>
                </w:p>
              </w:tc>
              <w:tc>
                <w:tcPr>
                  <w:tcW w:w="1115" w:type="pct"/>
                  <w:tcBorders>
                    <w:tl2br w:val="nil"/>
                    <w:tr2bl w:val="nil"/>
                  </w:tcBorders>
                  <w:noWrap w:val="0"/>
                  <w:vAlign w:val="center"/>
                </w:tcPr>
                <w:p w14:paraId="18C6979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ascii="Times New Roman" w:hAnsi="Times New Roman" w:eastAsia="Times New Roman"/>
                      <w:b w:val="0"/>
                      <w:bCs/>
                      <w:color w:val="auto"/>
                      <w:spacing w:val="-1"/>
                      <w:sz w:val="18"/>
                      <w:szCs w:val="18"/>
                    </w:rPr>
                    <w:t>RTO</w:t>
                  </w:r>
                  <w:r>
                    <w:rPr>
                      <w:rFonts w:ascii="Times New Roman" w:hAnsi="Times New Roman" w:eastAsia="Times New Roman"/>
                      <w:b w:val="0"/>
                      <w:bCs/>
                      <w:color w:val="auto"/>
                      <w:spacing w:val="-2"/>
                      <w:sz w:val="18"/>
                      <w:szCs w:val="18"/>
                    </w:rPr>
                    <w:t xml:space="preserve"> </w:t>
                  </w:r>
                  <w:r>
                    <w:rPr>
                      <w:rFonts w:ascii="宋体" w:hAnsi="宋体" w:cs="宋体"/>
                      <w:b w:val="0"/>
                      <w:bCs/>
                      <w:color w:val="auto"/>
                      <w:spacing w:val="-2"/>
                      <w:sz w:val="18"/>
                      <w:szCs w:val="18"/>
                    </w:rPr>
                    <w:t>炉余热烟气供热</w:t>
                  </w:r>
                </w:p>
              </w:tc>
            </w:tr>
            <w:tr w14:paraId="62CCA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245E504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7AAD6F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纯水系统</w:t>
                  </w:r>
                </w:p>
              </w:tc>
              <w:tc>
                <w:tcPr>
                  <w:tcW w:w="967" w:type="pct"/>
                  <w:tcBorders>
                    <w:tl2br w:val="nil"/>
                    <w:tr2bl w:val="nil"/>
                  </w:tcBorders>
                  <w:noWrap w:val="0"/>
                  <w:vAlign w:val="center"/>
                </w:tcPr>
                <w:p w14:paraId="381FB545">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纯水180</w:t>
                  </w:r>
                  <w:r>
                    <w:rPr>
                      <w:rFonts w:eastAsia="Times New Roman"/>
                      <w:b w:val="0"/>
                      <w:bCs/>
                      <w:color w:val="auto"/>
                      <w:sz w:val="18"/>
                      <w:szCs w:val="18"/>
                    </w:rPr>
                    <w:t>m</w:t>
                  </w:r>
                  <w:r>
                    <w:rPr>
                      <w:rFonts w:eastAsia="Times New Roman"/>
                      <w:b w:val="0"/>
                      <w:bCs/>
                      <w:color w:val="auto"/>
                      <w:sz w:val="18"/>
                      <w:szCs w:val="18"/>
                      <w:vertAlign w:val="superscript"/>
                    </w:rPr>
                    <w:t>3</w:t>
                  </w:r>
                  <w:r>
                    <w:rPr>
                      <w:rFonts w:eastAsia="Times New Roman"/>
                      <w:b w:val="0"/>
                      <w:bCs/>
                      <w:color w:val="auto"/>
                      <w:sz w:val="18"/>
                      <w:szCs w:val="18"/>
                    </w:rPr>
                    <w:t>/a</w:t>
                  </w:r>
                </w:p>
              </w:tc>
              <w:tc>
                <w:tcPr>
                  <w:tcW w:w="752" w:type="pct"/>
                  <w:tcBorders>
                    <w:tl2br w:val="nil"/>
                    <w:tr2bl w:val="nil"/>
                  </w:tcBorders>
                  <w:noWrap w:val="0"/>
                  <w:vAlign w:val="center"/>
                </w:tcPr>
                <w:p w14:paraId="747403D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b w:val="0"/>
                      <w:bCs/>
                      <w:color w:val="auto"/>
                      <w:sz w:val="18"/>
                      <w:szCs w:val="18"/>
                      <w:lang w:val="en-US" w:eastAsia="zh-CN"/>
                    </w:rPr>
                  </w:pPr>
                  <w:r>
                    <w:rPr>
                      <w:rFonts w:hint="eastAsia"/>
                      <w:b w:val="0"/>
                      <w:bCs/>
                      <w:color w:val="auto"/>
                      <w:sz w:val="18"/>
                      <w:szCs w:val="18"/>
                      <w:lang w:val="en-US" w:eastAsia="zh-CN"/>
                    </w:rPr>
                    <w:t>不涉及</w:t>
                  </w:r>
                </w:p>
              </w:tc>
              <w:tc>
                <w:tcPr>
                  <w:tcW w:w="1153" w:type="pct"/>
                  <w:tcBorders>
                    <w:tl2br w:val="nil"/>
                    <w:tr2bl w:val="nil"/>
                  </w:tcBorders>
                  <w:noWrap w:val="0"/>
                  <w:vAlign w:val="center"/>
                </w:tcPr>
                <w:p w14:paraId="21128CA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纯水180</w:t>
                  </w:r>
                  <w:r>
                    <w:rPr>
                      <w:rFonts w:eastAsia="Times New Roman"/>
                      <w:b w:val="0"/>
                      <w:bCs/>
                      <w:color w:val="auto"/>
                      <w:sz w:val="18"/>
                      <w:szCs w:val="18"/>
                    </w:rPr>
                    <w:t>m</w:t>
                  </w:r>
                  <w:r>
                    <w:rPr>
                      <w:rFonts w:eastAsia="Times New Roman"/>
                      <w:b w:val="0"/>
                      <w:bCs/>
                      <w:color w:val="auto"/>
                      <w:sz w:val="18"/>
                      <w:szCs w:val="18"/>
                      <w:vertAlign w:val="superscript"/>
                    </w:rPr>
                    <w:t>3</w:t>
                  </w:r>
                  <w:r>
                    <w:rPr>
                      <w:rFonts w:eastAsia="Times New Roman"/>
                      <w:b w:val="0"/>
                      <w:bCs/>
                      <w:color w:val="auto"/>
                      <w:sz w:val="18"/>
                      <w:szCs w:val="18"/>
                    </w:rPr>
                    <w:t>/a</w:t>
                  </w:r>
                </w:p>
              </w:tc>
              <w:tc>
                <w:tcPr>
                  <w:tcW w:w="1115" w:type="pct"/>
                  <w:tcBorders>
                    <w:tl2br w:val="nil"/>
                    <w:tr2bl w:val="nil"/>
                  </w:tcBorders>
                  <w:noWrap w:val="0"/>
                  <w:vAlign w:val="center"/>
                </w:tcPr>
                <w:p w14:paraId="159AD315">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自制、</w:t>
                  </w:r>
                  <w:r>
                    <w:rPr>
                      <w:b w:val="0"/>
                      <w:bCs/>
                      <w:color w:val="auto"/>
                      <w:sz w:val="18"/>
                      <w:szCs w:val="18"/>
                    </w:rPr>
                    <w:t>纯水得水率</w:t>
                  </w:r>
                  <w:r>
                    <w:rPr>
                      <w:rFonts w:hint="eastAsia"/>
                      <w:b w:val="0"/>
                      <w:bCs/>
                      <w:color w:val="auto"/>
                      <w:sz w:val="18"/>
                      <w:szCs w:val="18"/>
                    </w:rPr>
                    <w:t>为70%，电导率为5us/cm，供水能力为30L/h</w:t>
                  </w:r>
                </w:p>
              </w:tc>
            </w:tr>
            <w:tr w14:paraId="5D49B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restart"/>
                  <w:tcBorders>
                    <w:tl2br w:val="nil"/>
                    <w:tr2bl w:val="nil"/>
                  </w:tcBorders>
                  <w:noWrap w:val="0"/>
                  <w:vAlign w:val="center"/>
                </w:tcPr>
                <w:p w14:paraId="66487C6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环保工程</w:t>
                  </w:r>
                </w:p>
              </w:tc>
              <w:tc>
                <w:tcPr>
                  <w:tcW w:w="622" w:type="pct"/>
                  <w:gridSpan w:val="2"/>
                  <w:tcBorders>
                    <w:tl2br w:val="nil"/>
                    <w:tr2bl w:val="nil"/>
                  </w:tcBorders>
                  <w:noWrap w:val="0"/>
                  <w:vAlign w:val="center"/>
                </w:tcPr>
                <w:p w14:paraId="3FDA1F4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废水</w:t>
                  </w:r>
                </w:p>
              </w:tc>
              <w:tc>
                <w:tcPr>
                  <w:tcW w:w="967" w:type="pct"/>
                  <w:tcBorders>
                    <w:tl2br w:val="nil"/>
                    <w:tr2bl w:val="nil"/>
                  </w:tcBorders>
                  <w:noWrap w:val="0"/>
                  <w:vAlign w:val="center"/>
                </w:tcPr>
                <w:p w14:paraId="0EF8A52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bookmarkStart w:id="8" w:name="OLE_LINK7"/>
                  <w:r>
                    <w:rPr>
                      <w:rFonts w:hint="eastAsia" w:ascii="Times New Roman" w:hAnsi="Times New Roman"/>
                      <w:b w:val="0"/>
                      <w:bCs/>
                      <w:color w:val="auto"/>
                      <w:sz w:val="18"/>
                      <w:szCs w:val="18"/>
                    </w:rPr>
                    <w:t>“调节池+初沉池+水解酸化池+接触氧化池+二沉池”</w:t>
                  </w:r>
                  <w:bookmarkEnd w:id="8"/>
                  <w:r>
                    <w:rPr>
                      <w:rFonts w:hint="eastAsia" w:ascii="Times New Roman" w:hAnsi="Times New Roman"/>
                      <w:b w:val="0"/>
                      <w:bCs/>
                      <w:color w:val="auto"/>
                      <w:sz w:val="18"/>
                      <w:szCs w:val="18"/>
                    </w:rPr>
                    <w:t>工艺处理；规模：35m</w:t>
                  </w:r>
                  <w:r>
                    <w:rPr>
                      <w:rFonts w:hint="eastAsia" w:ascii="Times New Roman" w:hAnsi="Times New Roman"/>
                      <w:b w:val="0"/>
                      <w:bCs/>
                      <w:color w:val="auto"/>
                      <w:sz w:val="18"/>
                      <w:szCs w:val="18"/>
                      <w:vertAlign w:val="superscript"/>
                    </w:rPr>
                    <w:t>3</w:t>
                  </w:r>
                  <w:r>
                    <w:rPr>
                      <w:rFonts w:hint="eastAsia" w:ascii="Times New Roman" w:hAnsi="Times New Roman"/>
                      <w:b w:val="0"/>
                      <w:bCs/>
                      <w:color w:val="auto"/>
                      <w:sz w:val="18"/>
                      <w:szCs w:val="18"/>
                    </w:rPr>
                    <w:t>/d</w:t>
                  </w:r>
                </w:p>
              </w:tc>
              <w:tc>
                <w:tcPr>
                  <w:tcW w:w="752" w:type="pct"/>
                  <w:tcBorders>
                    <w:tl2br w:val="nil"/>
                    <w:tr2bl w:val="nil"/>
                  </w:tcBorders>
                  <w:noWrap w:val="0"/>
                  <w:vAlign w:val="center"/>
                </w:tcPr>
                <w:p w14:paraId="46BF93A2">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b w:val="0"/>
                      <w:bCs/>
                      <w:color w:val="auto"/>
                      <w:sz w:val="18"/>
                      <w:szCs w:val="18"/>
                      <w:lang w:val="en-US" w:eastAsia="zh-CN"/>
                    </w:rPr>
                  </w:pPr>
                  <w:r>
                    <w:rPr>
                      <w:rFonts w:hint="eastAsia"/>
                      <w:b w:val="0"/>
                      <w:bCs/>
                      <w:color w:val="auto"/>
                      <w:sz w:val="18"/>
                      <w:szCs w:val="18"/>
                      <w:lang w:val="en-US" w:eastAsia="zh-CN"/>
                    </w:rPr>
                    <w:t>不涉及</w:t>
                  </w:r>
                </w:p>
              </w:tc>
              <w:tc>
                <w:tcPr>
                  <w:tcW w:w="1153" w:type="pct"/>
                  <w:tcBorders>
                    <w:tl2br w:val="nil"/>
                    <w:tr2bl w:val="nil"/>
                  </w:tcBorders>
                  <w:noWrap w:val="0"/>
                  <w:vAlign w:val="center"/>
                </w:tcPr>
                <w:p w14:paraId="19E26543">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b w:val="0"/>
                      <w:bCs/>
                      <w:color w:val="auto"/>
                      <w:sz w:val="18"/>
                      <w:szCs w:val="18"/>
                    </w:rPr>
                  </w:pPr>
                  <w:r>
                    <w:rPr>
                      <w:rFonts w:hint="eastAsia" w:ascii="Times New Roman" w:hAnsi="Times New Roman"/>
                      <w:b w:val="0"/>
                      <w:bCs/>
                      <w:color w:val="auto"/>
                      <w:sz w:val="18"/>
                      <w:szCs w:val="18"/>
                    </w:rPr>
                    <w:t>“调节池+初沉池+水解酸化池+接触氧化池+二沉池”工艺处理；规模：35m</w:t>
                  </w:r>
                  <w:r>
                    <w:rPr>
                      <w:rFonts w:hint="eastAsia" w:ascii="Times New Roman" w:hAnsi="Times New Roman"/>
                      <w:b w:val="0"/>
                      <w:bCs/>
                      <w:color w:val="auto"/>
                      <w:sz w:val="18"/>
                      <w:szCs w:val="18"/>
                      <w:vertAlign w:val="superscript"/>
                    </w:rPr>
                    <w:t>3</w:t>
                  </w:r>
                  <w:r>
                    <w:rPr>
                      <w:rFonts w:hint="eastAsia" w:ascii="Times New Roman" w:hAnsi="Times New Roman"/>
                      <w:b w:val="0"/>
                      <w:bCs/>
                      <w:color w:val="auto"/>
                      <w:sz w:val="18"/>
                      <w:szCs w:val="18"/>
                    </w:rPr>
                    <w:t>/d</w:t>
                  </w:r>
                </w:p>
              </w:tc>
              <w:tc>
                <w:tcPr>
                  <w:tcW w:w="1115" w:type="pct"/>
                  <w:tcBorders>
                    <w:tl2br w:val="nil"/>
                    <w:tr2bl w:val="nil"/>
                  </w:tcBorders>
                  <w:noWrap w:val="0"/>
                  <w:vAlign w:val="center"/>
                </w:tcPr>
                <w:p w14:paraId="76EAF5B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达标排放</w:t>
                  </w:r>
                </w:p>
              </w:tc>
            </w:tr>
            <w:tr w14:paraId="107BE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78842B22">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70F1624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废气</w:t>
                  </w:r>
                </w:p>
              </w:tc>
              <w:tc>
                <w:tcPr>
                  <w:tcW w:w="967" w:type="pct"/>
                  <w:tcBorders>
                    <w:tl2br w:val="nil"/>
                    <w:tr2bl w:val="nil"/>
                  </w:tcBorders>
                  <w:noWrap w:val="0"/>
                  <w:vAlign w:val="center"/>
                </w:tcPr>
                <w:p w14:paraId="18A231DA">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ascii="Times New Roman" w:hAnsi="Times New Roman"/>
                      <w:b w:val="0"/>
                      <w:bCs/>
                      <w:color w:val="auto"/>
                      <w:sz w:val="18"/>
                      <w:szCs w:val="18"/>
                      <w:lang w:val="en-US" w:eastAsia="zh-CN"/>
                    </w:rPr>
                    <w:t>降温喷淋塔+干式过滤（除雾器）+二级活性炭吸附</w:t>
                  </w:r>
                  <w:r>
                    <w:rPr>
                      <w:rFonts w:hint="eastAsia"/>
                      <w:b w:val="0"/>
                      <w:bCs/>
                      <w:color w:val="auto"/>
                      <w:sz w:val="18"/>
                      <w:szCs w:val="18"/>
                      <w:lang w:val="en-US" w:eastAsia="zh-CN"/>
                    </w:rPr>
                    <w:t>+25m排气筒</w:t>
                  </w:r>
                  <w:r>
                    <w:rPr>
                      <w:rFonts w:hint="eastAsia" w:ascii="Times New Roman" w:hAnsi="Times New Roman"/>
                      <w:b w:val="0"/>
                      <w:bCs/>
                      <w:color w:val="auto"/>
                      <w:sz w:val="18"/>
                      <w:szCs w:val="18"/>
                    </w:rPr>
                    <w:t>一套；</w:t>
                  </w:r>
                  <w:r>
                    <w:rPr>
                      <w:rFonts w:ascii="Times New Roman" w:hAnsi="Times New Roman"/>
                      <w:b w:val="0"/>
                      <w:bCs/>
                      <w:color w:val="auto"/>
                      <w:sz w:val="18"/>
                      <w:szCs w:val="18"/>
                    </w:rPr>
                    <w:t>RTO</w:t>
                  </w:r>
                  <w:r>
                    <w:rPr>
                      <w:rFonts w:hint="eastAsia" w:ascii="Times New Roman" w:hAnsi="Times New Roman"/>
                      <w:b w:val="0"/>
                      <w:bCs/>
                      <w:color w:val="auto"/>
                      <w:sz w:val="18"/>
                      <w:szCs w:val="18"/>
                    </w:rPr>
                    <w:t>焚烧</w:t>
                  </w:r>
                  <w:r>
                    <w:rPr>
                      <w:rFonts w:ascii="Times New Roman" w:hAnsi="Times New Roman"/>
                      <w:b w:val="0"/>
                      <w:bCs/>
                      <w:color w:val="auto"/>
                      <w:sz w:val="18"/>
                      <w:szCs w:val="18"/>
                    </w:rPr>
                    <w:t>装置</w:t>
                  </w:r>
                  <w:r>
                    <w:rPr>
                      <w:rFonts w:hint="eastAsia"/>
                      <w:b w:val="0"/>
                      <w:bCs/>
                      <w:color w:val="auto"/>
                      <w:sz w:val="18"/>
                      <w:szCs w:val="18"/>
                      <w:lang w:val="en-US" w:eastAsia="zh-CN"/>
                    </w:rPr>
                    <w:t>+25m排气筒</w:t>
                  </w:r>
                  <w:r>
                    <w:rPr>
                      <w:rFonts w:hint="eastAsia" w:ascii="Times New Roman" w:hAnsi="Times New Roman"/>
                      <w:b w:val="0"/>
                      <w:bCs/>
                      <w:color w:val="auto"/>
                      <w:sz w:val="18"/>
                      <w:szCs w:val="18"/>
                      <w:lang w:val="en-US" w:eastAsia="zh-CN"/>
                    </w:rPr>
                    <w:t>1</w:t>
                  </w:r>
                  <w:r>
                    <w:rPr>
                      <w:rFonts w:ascii="Times New Roman" w:hAnsi="Times New Roman"/>
                      <w:b w:val="0"/>
                      <w:bCs/>
                      <w:color w:val="auto"/>
                      <w:sz w:val="18"/>
                      <w:szCs w:val="18"/>
                    </w:rPr>
                    <w:t>套；</w:t>
                  </w:r>
                  <w:r>
                    <w:rPr>
                      <w:rFonts w:hint="eastAsia" w:ascii="Times New Roman" w:hAnsi="Times New Roman"/>
                      <w:b w:val="0"/>
                      <w:bCs/>
                      <w:color w:val="auto"/>
                      <w:sz w:val="18"/>
                      <w:szCs w:val="18"/>
                      <w:lang w:val="en-US" w:eastAsia="zh-CN"/>
                    </w:rPr>
                    <w:t>二级活性炭</w:t>
                  </w:r>
                  <w:r>
                    <w:rPr>
                      <w:rFonts w:hint="eastAsia"/>
                      <w:b w:val="0"/>
                      <w:bCs/>
                      <w:color w:val="auto"/>
                      <w:sz w:val="18"/>
                      <w:szCs w:val="18"/>
                      <w:lang w:val="en-US" w:eastAsia="zh-CN"/>
                    </w:rPr>
                    <w:t>装置1套+15m排气筒</w:t>
                  </w:r>
                </w:p>
              </w:tc>
              <w:tc>
                <w:tcPr>
                  <w:tcW w:w="752" w:type="pct"/>
                  <w:tcBorders>
                    <w:tl2br w:val="nil"/>
                    <w:tr2bl w:val="nil"/>
                  </w:tcBorders>
                  <w:noWrap w:val="0"/>
                  <w:vAlign w:val="center"/>
                </w:tcPr>
                <w:p w14:paraId="15655A49">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b w:val="0"/>
                      <w:bCs/>
                      <w:color w:val="auto"/>
                      <w:sz w:val="18"/>
                      <w:szCs w:val="18"/>
                      <w:lang w:val="en-US" w:eastAsia="zh-CN"/>
                    </w:rPr>
                  </w:pPr>
                  <w:r>
                    <w:rPr>
                      <w:rFonts w:hint="eastAsia"/>
                      <w:b w:val="0"/>
                      <w:bCs/>
                      <w:color w:val="auto"/>
                      <w:sz w:val="18"/>
                      <w:szCs w:val="18"/>
                      <w:lang w:val="en-US" w:eastAsia="zh-CN"/>
                    </w:rPr>
                    <w:t>不涉及</w:t>
                  </w:r>
                </w:p>
              </w:tc>
              <w:tc>
                <w:tcPr>
                  <w:tcW w:w="1153" w:type="pct"/>
                  <w:tcBorders>
                    <w:tl2br w:val="nil"/>
                    <w:tr2bl w:val="nil"/>
                  </w:tcBorders>
                  <w:noWrap w:val="0"/>
                  <w:vAlign w:val="center"/>
                </w:tcPr>
                <w:p w14:paraId="22ED7AE8">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hint="eastAsia" w:ascii="Times New Roman" w:hAnsi="Times New Roman"/>
                      <w:b w:val="0"/>
                      <w:bCs/>
                      <w:color w:val="auto"/>
                      <w:sz w:val="18"/>
                      <w:szCs w:val="18"/>
                      <w:lang w:val="en-US" w:eastAsia="zh-CN"/>
                    </w:rPr>
                    <w:t>降温喷淋塔+干式过滤（除雾器）+二级活性炭吸附</w:t>
                  </w:r>
                  <w:r>
                    <w:rPr>
                      <w:rFonts w:hint="eastAsia"/>
                      <w:b w:val="0"/>
                      <w:bCs/>
                      <w:color w:val="auto"/>
                      <w:sz w:val="18"/>
                      <w:szCs w:val="18"/>
                      <w:lang w:val="en-US" w:eastAsia="zh-CN"/>
                    </w:rPr>
                    <w:t>+25m排气筒</w:t>
                  </w:r>
                  <w:r>
                    <w:rPr>
                      <w:rFonts w:hint="eastAsia" w:ascii="Times New Roman" w:hAnsi="Times New Roman"/>
                      <w:b w:val="0"/>
                      <w:bCs/>
                      <w:color w:val="auto"/>
                      <w:sz w:val="18"/>
                      <w:szCs w:val="18"/>
                    </w:rPr>
                    <w:t>一套；</w:t>
                  </w:r>
                  <w:r>
                    <w:rPr>
                      <w:rFonts w:ascii="Times New Roman" w:hAnsi="Times New Roman"/>
                      <w:b w:val="0"/>
                      <w:bCs/>
                      <w:color w:val="auto"/>
                      <w:sz w:val="18"/>
                      <w:szCs w:val="18"/>
                    </w:rPr>
                    <w:t>RTO</w:t>
                  </w:r>
                  <w:r>
                    <w:rPr>
                      <w:rFonts w:hint="eastAsia" w:ascii="Times New Roman" w:hAnsi="Times New Roman"/>
                      <w:b w:val="0"/>
                      <w:bCs/>
                      <w:color w:val="auto"/>
                      <w:sz w:val="18"/>
                      <w:szCs w:val="18"/>
                    </w:rPr>
                    <w:t>焚烧</w:t>
                  </w:r>
                  <w:r>
                    <w:rPr>
                      <w:rFonts w:ascii="Times New Roman" w:hAnsi="Times New Roman"/>
                      <w:b w:val="0"/>
                      <w:bCs/>
                      <w:color w:val="auto"/>
                      <w:sz w:val="18"/>
                      <w:szCs w:val="18"/>
                    </w:rPr>
                    <w:t>装置</w:t>
                  </w:r>
                  <w:r>
                    <w:rPr>
                      <w:rFonts w:hint="eastAsia"/>
                      <w:b w:val="0"/>
                      <w:bCs/>
                      <w:color w:val="auto"/>
                      <w:sz w:val="18"/>
                      <w:szCs w:val="18"/>
                      <w:lang w:val="en-US" w:eastAsia="zh-CN"/>
                    </w:rPr>
                    <w:t>+25m排气筒</w:t>
                  </w:r>
                  <w:r>
                    <w:rPr>
                      <w:rFonts w:hint="eastAsia" w:ascii="Times New Roman" w:hAnsi="Times New Roman"/>
                      <w:b w:val="0"/>
                      <w:bCs/>
                      <w:color w:val="auto"/>
                      <w:sz w:val="18"/>
                      <w:szCs w:val="18"/>
                      <w:lang w:val="en-US" w:eastAsia="zh-CN"/>
                    </w:rPr>
                    <w:t>1</w:t>
                  </w:r>
                  <w:r>
                    <w:rPr>
                      <w:rFonts w:ascii="Times New Roman" w:hAnsi="Times New Roman"/>
                      <w:b w:val="0"/>
                      <w:bCs/>
                      <w:color w:val="auto"/>
                      <w:sz w:val="18"/>
                      <w:szCs w:val="18"/>
                    </w:rPr>
                    <w:t>套；</w:t>
                  </w:r>
                  <w:r>
                    <w:rPr>
                      <w:rFonts w:hint="eastAsia" w:ascii="Times New Roman" w:hAnsi="Times New Roman"/>
                      <w:b w:val="0"/>
                      <w:bCs/>
                      <w:color w:val="auto"/>
                      <w:sz w:val="18"/>
                      <w:szCs w:val="18"/>
                      <w:lang w:val="en-US" w:eastAsia="zh-CN"/>
                    </w:rPr>
                    <w:t>二级活性炭</w:t>
                  </w:r>
                  <w:r>
                    <w:rPr>
                      <w:rFonts w:hint="eastAsia"/>
                      <w:b w:val="0"/>
                      <w:bCs/>
                      <w:color w:val="auto"/>
                      <w:sz w:val="18"/>
                      <w:szCs w:val="18"/>
                      <w:lang w:val="en-US" w:eastAsia="zh-CN"/>
                    </w:rPr>
                    <w:t>装置1套+15m排气筒</w:t>
                  </w:r>
                </w:p>
              </w:tc>
              <w:tc>
                <w:tcPr>
                  <w:tcW w:w="1115" w:type="pct"/>
                  <w:tcBorders>
                    <w:tl2br w:val="nil"/>
                    <w:tr2bl w:val="nil"/>
                  </w:tcBorders>
                  <w:noWrap w:val="0"/>
                  <w:vAlign w:val="center"/>
                </w:tcPr>
                <w:p w14:paraId="0E6FD32A">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各污染物达标排放</w:t>
                  </w:r>
                </w:p>
              </w:tc>
            </w:tr>
            <w:tr w14:paraId="46FC9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70879FA3">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2CD7CE48">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噪声</w:t>
                  </w:r>
                </w:p>
              </w:tc>
              <w:tc>
                <w:tcPr>
                  <w:tcW w:w="967" w:type="pct"/>
                  <w:tcBorders>
                    <w:tl2br w:val="nil"/>
                    <w:tr2bl w:val="nil"/>
                  </w:tcBorders>
                  <w:noWrap w:val="0"/>
                  <w:vAlign w:val="center"/>
                </w:tcPr>
                <w:p w14:paraId="50CEE35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采用低噪声设备、隔声减振等措施</w:t>
                  </w:r>
                </w:p>
              </w:tc>
              <w:tc>
                <w:tcPr>
                  <w:tcW w:w="752" w:type="pct"/>
                  <w:tcBorders>
                    <w:tl2br w:val="nil"/>
                    <w:tr2bl w:val="nil"/>
                  </w:tcBorders>
                  <w:noWrap w:val="0"/>
                  <w:vAlign w:val="center"/>
                </w:tcPr>
                <w:p w14:paraId="3EE38C6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b w:val="0"/>
                      <w:bCs/>
                      <w:color w:val="auto"/>
                      <w:sz w:val="18"/>
                      <w:szCs w:val="18"/>
                      <w:lang w:val="en-US" w:eastAsia="zh-CN"/>
                    </w:rPr>
                  </w:pPr>
                  <w:r>
                    <w:rPr>
                      <w:rFonts w:ascii="Times New Roman" w:hAnsi="Times New Roman"/>
                      <w:b w:val="0"/>
                      <w:bCs/>
                      <w:color w:val="auto"/>
                      <w:sz w:val="18"/>
                      <w:szCs w:val="18"/>
                    </w:rPr>
                    <w:t>采用低噪声设备、隔声减振等措施</w:t>
                  </w:r>
                </w:p>
              </w:tc>
              <w:tc>
                <w:tcPr>
                  <w:tcW w:w="1153" w:type="pct"/>
                  <w:tcBorders>
                    <w:tl2br w:val="nil"/>
                    <w:tr2bl w:val="nil"/>
                  </w:tcBorders>
                  <w:noWrap w:val="0"/>
                  <w:vAlign w:val="center"/>
                </w:tcPr>
                <w:p w14:paraId="42818FA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ascii="Times New Roman" w:hAnsi="Times New Roman"/>
                      <w:b w:val="0"/>
                      <w:bCs/>
                      <w:color w:val="auto"/>
                      <w:sz w:val="18"/>
                      <w:szCs w:val="18"/>
                    </w:rPr>
                    <w:t>采用低噪声设备、隔声减振等措施</w:t>
                  </w:r>
                </w:p>
              </w:tc>
              <w:tc>
                <w:tcPr>
                  <w:tcW w:w="1115" w:type="pct"/>
                  <w:tcBorders>
                    <w:tl2br w:val="nil"/>
                    <w:tr2bl w:val="nil"/>
                  </w:tcBorders>
                  <w:noWrap w:val="0"/>
                  <w:vAlign w:val="center"/>
                </w:tcPr>
                <w:p w14:paraId="407B341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满足GB12348-2008中3类</w:t>
                  </w:r>
                  <w:r>
                    <w:rPr>
                      <w:rFonts w:hint="eastAsia" w:ascii="Times New Roman" w:hAnsi="Times New Roman"/>
                      <w:b w:val="0"/>
                      <w:bCs/>
                      <w:color w:val="auto"/>
                      <w:sz w:val="18"/>
                      <w:szCs w:val="18"/>
                    </w:rPr>
                    <w:t>和4a类</w:t>
                  </w:r>
                  <w:r>
                    <w:rPr>
                      <w:rFonts w:ascii="Times New Roman" w:hAnsi="Times New Roman"/>
                      <w:b w:val="0"/>
                      <w:bCs/>
                      <w:color w:val="auto"/>
                      <w:sz w:val="18"/>
                      <w:szCs w:val="18"/>
                    </w:rPr>
                    <w:t>标准</w:t>
                  </w:r>
                </w:p>
              </w:tc>
            </w:tr>
            <w:tr w14:paraId="7C875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388" w:type="pct"/>
                  <w:vMerge w:val="continue"/>
                  <w:tcBorders>
                    <w:tl2br w:val="nil"/>
                    <w:tr2bl w:val="nil"/>
                  </w:tcBorders>
                  <w:noWrap w:val="0"/>
                  <w:vAlign w:val="center"/>
                </w:tcPr>
                <w:p w14:paraId="651AF7C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367" w:type="pct"/>
                  <w:vMerge w:val="restart"/>
                  <w:tcBorders>
                    <w:tl2br w:val="nil"/>
                    <w:tr2bl w:val="nil"/>
                  </w:tcBorders>
                  <w:noWrap w:val="0"/>
                  <w:vAlign w:val="center"/>
                </w:tcPr>
                <w:p w14:paraId="5927EDA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固废</w:t>
                  </w:r>
                </w:p>
              </w:tc>
              <w:tc>
                <w:tcPr>
                  <w:tcW w:w="255" w:type="pct"/>
                  <w:tcBorders>
                    <w:tl2br w:val="nil"/>
                    <w:tr2bl w:val="nil"/>
                  </w:tcBorders>
                  <w:shd w:val="clear" w:color="auto" w:fill="FBE5D6" w:themeFill="accent2" w:themeFillTint="32"/>
                  <w:noWrap w:val="0"/>
                  <w:vAlign w:val="center"/>
                </w:tcPr>
                <w:p w14:paraId="6E92D969">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一般固废</w:t>
                  </w:r>
                </w:p>
              </w:tc>
              <w:tc>
                <w:tcPr>
                  <w:tcW w:w="967" w:type="pct"/>
                  <w:tcBorders>
                    <w:tl2br w:val="nil"/>
                    <w:tr2bl w:val="nil"/>
                  </w:tcBorders>
                  <w:shd w:val="clear" w:color="auto" w:fill="FBE5D6" w:themeFill="accent2" w:themeFillTint="32"/>
                  <w:noWrap w:val="0"/>
                  <w:vAlign w:val="center"/>
                </w:tcPr>
                <w:p w14:paraId="6778548F">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一般固废堆场504m</w:t>
                  </w:r>
                  <w:r>
                    <w:rPr>
                      <w:rFonts w:hint="eastAsia"/>
                      <w:b w:val="0"/>
                      <w:bCs/>
                      <w:color w:val="auto"/>
                      <w:sz w:val="18"/>
                      <w:szCs w:val="18"/>
                      <w:vertAlign w:val="superscript"/>
                    </w:rPr>
                    <w:t>2</w:t>
                  </w:r>
                </w:p>
              </w:tc>
              <w:tc>
                <w:tcPr>
                  <w:tcW w:w="752" w:type="pct"/>
                  <w:tcBorders>
                    <w:tl2br w:val="nil"/>
                    <w:tr2bl w:val="nil"/>
                  </w:tcBorders>
                  <w:shd w:val="clear" w:color="auto" w:fill="FBE5D6" w:themeFill="accent2" w:themeFillTint="32"/>
                  <w:noWrap w:val="0"/>
                  <w:vAlign w:val="center"/>
                </w:tcPr>
                <w:p w14:paraId="03694F6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auto"/>
                      <w:sz w:val="18"/>
                      <w:szCs w:val="18"/>
                      <w:lang w:val="en-US" w:eastAsia="zh-CN"/>
                    </w:rPr>
                  </w:pPr>
                  <w:r>
                    <w:rPr>
                      <w:rFonts w:hint="eastAsia"/>
                      <w:b w:val="0"/>
                      <w:bCs/>
                      <w:color w:val="auto"/>
                      <w:sz w:val="18"/>
                      <w:szCs w:val="18"/>
                      <w:lang w:val="en-US" w:eastAsia="zh-CN"/>
                    </w:rPr>
                    <w:t>0</w:t>
                  </w:r>
                </w:p>
              </w:tc>
              <w:tc>
                <w:tcPr>
                  <w:tcW w:w="1153" w:type="pct"/>
                  <w:tcBorders>
                    <w:tl2br w:val="nil"/>
                    <w:tr2bl w:val="nil"/>
                  </w:tcBorders>
                  <w:shd w:val="clear" w:color="auto" w:fill="FBE5D6" w:themeFill="accent2" w:themeFillTint="32"/>
                  <w:noWrap w:val="0"/>
                  <w:vAlign w:val="center"/>
                </w:tcPr>
                <w:p w14:paraId="4012705E">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一般固废堆场504m</w:t>
                  </w:r>
                  <w:r>
                    <w:rPr>
                      <w:rFonts w:hint="eastAsia"/>
                      <w:b w:val="0"/>
                      <w:bCs/>
                      <w:color w:val="auto"/>
                      <w:sz w:val="18"/>
                      <w:szCs w:val="18"/>
                      <w:vertAlign w:val="superscript"/>
                    </w:rPr>
                    <w:t>2</w:t>
                  </w:r>
                </w:p>
              </w:tc>
              <w:tc>
                <w:tcPr>
                  <w:tcW w:w="1115" w:type="pct"/>
                  <w:tcBorders>
                    <w:tl2br w:val="nil"/>
                    <w:tr2bl w:val="nil"/>
                  </w:tcBorders>
                  <w:shd w:val="clear" w:color="auto" w:fill="FBE5D6" w:themeFill="accent2" w:themeFillTint="32"/>
                  <w:noWrap w:val="0"/>
                  <w:vAlign w:val="center"/>
                </w:tcPr>
                <w:p w14:paraId="00590E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yellow"/>
                      <w:lang w:val="en-US" w:eastAsia="zh-CN"/>
                    </w:rPr>
                  </w:pPr>
                  <w:r>
                    <w:rPr>
                      <w:rFonts w:hint="eastAsia" w:ascii="Times New Roman" w:hAnsi="Times New Roman"/>
                      <w:color w:val="auto"/>
                      <w:sz w:val="18"/>
                      <w:szCs w:val="18"/>
                      <w:lang w:val="en-US" w:eastAsia="zh-CN"/>
                    </w:rPr>
                    <w:t>依托现有</w:t>
                  </w:r>
                  <w:r>
                    <w:rPr>
                      <w:rFonts w:hint="eastAsia"/>
                      <w:b w:val="0"/>
                      <w:bCs/>
                      <w:color w:val="auto"/>
                      <w:sz w:val="18"/>
                      <w:szCs w:val="18"/>
                    </w:rPr>
                    <w:t>一般固废堆场</w:t>
                  </w:r>
                </w:p>
              </w:tc>
            </w:tr>
            <w:tr w14:paraId="351B0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tcBorders>
                    <w:tl2br w:val="nil"/>
                    <w:tr2bl w:val="nil"/>
                  </w:tcBorders>
                  <w:noWrap w:val="0"/>
                  <w:vAlign w:val="center"/>
                </w:tcPr>
                <w:p w14:paraId="39BBFA8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367" w:type="pct"/>
                  <w:vMerge w:val="continue"/>
                  <w:tcBorders>
                    <w:tl2br w:val="nil"/>
                    <w:tr2bl w:val="nil"/>
                  </w:tcBorders>
                  <w:noWrap w:val="0"/>
                  <w:vAlign w:val="center"/>
                </w:tcPr>
                <w:p w14:paraId="7CEB28C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255" w:type="pct"/>
                  <w:tcBorders>
                    <w:tl2br w:val="nil"/>
                    <w:tr2bl w:val="nil"/>
                  </w:tcBorders>
                  <w:shd w:val="clear" w:color="auto" w:fill="auto"/>
                  <w:noWrap w:val="0"/>
                  <w:vAlign w:val="center"/>
                </w:tcPr>
                <w:p w14:paraId="58F42BD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危险固废</w:t>
                  </w:r>
                </w:p>
              </w:tc>
              <w:tc>
                <w:tcPr>
                  <w:tcW w:w="967" w:type="pct"/>
                  <w:tcBorders>
                    <w:tl2br w:val="nil"/>
                    <w:tr2bl w:val="nil"/>
                  </w:tcBorders>
                  <w:shd w:val="clear" w:color="auto" w:fill="auto"/>
                  <w:noWrap w:val="0"/>
                  <w:vAlign w:val="center"/>
                </w:tcPr>
                <w:p w14:paraId="71A6B75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危险固废堆场160m</w:t>
                  </w:r>
                  <w:r>
                    <w:rPr>
                      <w:rFonts w:hint="eastAsia"/>
                      <w:b w:val="0"/>
                      <w:bCs/>
                      <w:color w:val="auto"/>
                      <w:sz w:val="18"/>
                      <w:szCs w:val="18"/>
                      <w:vertAlign w:val="superscript"/>
                    </w:rPr>
                    <w:t>2</w:t>
                  </w:r>
                </w:p>
              </w:tc>
              <w:tc>
                <w:tcPr>
                  <w:tcW w:w="752" w:type="pct"/>
                  <w:tcBorders>
                    <w:tl2br w:val="nil"/>
                    <w:tr2bl w:val="nil"/>
                  </w:tcBorders>
                  <w:shd w:val="clear" w:color="auto" w:fill="auto"/>
                  <w:noWrap w:val="0"/>
                  <w:vAlign w:val="center"/>
                </w:tcPr>
                <w:p w14:paraId="5FFBF53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val="0"/>
                      <w:bCs/>
                      <w:color w:val="auto"/>
                      <w:sz w:val="18"/>
                      <w:szCs w:val="18"/>
                      <w:lang w:val="en-US" w:eastAsia="zh-CN"/>
                    </w:rPr>
                  </w:pPr>
                  <w:r>
                    <w:rPr>
                      <w:rFonts w:hint="eastAsia"/>
                      <w:b w:val="0"/>
                      <w:bCs/>
                      <w:color w:val="auto"/>
                      <w:sz w:val="18"/>
                      <w:szCs w:val="18"/>
                      <w:lang w:val="en-US" w:eastAsia="zh-CN"/>
                    </w:rPr>
                    <w:t>不涉及</w:t>
                  </w:r>
                </w:p>
              </w:tc>
              <w:tc>
                <w:tcPr>
                  <w:tcW w:w="1153" w:type="pct"/>
                  <w:tcBorders>
                    <w:tl2br w:val="nil"/>
                    <w:tr2bl w:val="nil"/>
                  </w:tcBorders>
                  <w:shd w:val="clear" w:color="auto" w:fill="auto"/>
                  <w:noWrap w:val="0"/>
                  <w:vAlign w:val="center"/>
                </w:tcPr>
                <w:p w14:paraId="68925E7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危险固废堆场160m</w:t>
                  </w:r>
                  <w:r>
                    <w:rPr>
                      <w:rFonts w:hint="eastAsia"/>
                      <w:b w:val="0"/>
                      <w:bCs/>
                      <w:color w:val="auto"/>
                      <w:sz w:val="18"/>
                      <w:szCs w:val="18"/>
                      <w:vertAlign w:val="superscript"/>
                    </w:rPr>
                    <w:t>2</w:t>
                  </w:r>
                </w:p>
              </w:tc>
              <w:tc>
                <w:tcPr>
                  <w:tcW w:w="1115" w:type="pct"/>
                  <w:tcBorders>
                    <w:tl2br w:val="nil"/>
                    <w:tr2bl w:val="nil"/>
                  </w:tcBorders>
                  <w:shd w:val="clear" w:color="auto" w:fill="auto"/>
                  <w:noWrap w:val="0"/>
                  <w:vAlign w:val="center"/>
                </w:tcPr>
                <w:p w14:paraId="68EF26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18"/>
                      <w:szCs w:val="18"/>
                    </w:rPr>
                  </w:pPr>
                  <w:r>
                    <w:rPr>
                      <w:rFonts w:hint="eastAsia"/>
                      <w:color w:val="auto"/>
                      <w:sz w:val="18"/>
                      <w:szCs w:val="18"/>
                      <w:lang w:val="en-US" w:eastAsia="zh-CN"/>
                    </w:rPr>
                    <w:t>/</w:t>
                  </w:r>
                </w:p>
              </w:tc>
            </w:tr>
            <w:tr w14:paraId="46665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388" w:type="pct"/>
                  <w:vMerge w:val="continue"/>
                  <w:tcBorders>
                    <w:tl2br w:val="nil"/>
                    <w:tr2bl w:val="nil"/>
                  </w:tcBorders>
                  <w:noWrap w:val="0"/>
                  <w:vAlign w:val="center"/>
                </w:tcPr>
                <w:p w14:paraId="159A0A0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622" w:type="pct"/>
                  <w:gridSpan w:val="2"/>
                  <w:tcBorders>
                    <w:tl2br w:val="nil"/>
                    <w:tr2bl w:val="nil"/>
                  </w:tcBorders>
                  <w:noWrap w:val="0"/>
                  <w:vAlign w:val="center"/>
                </w:tcPr>
                <w:p w14:paraId="2A4E3B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18"/>
                      <w:szCs w:val="18"/>
                    </w:rPr>
                  </w:pPr>
                  <w:r>
                    <w:rPr>
                      <w:rFonts w:ascii="Times New Roman" w:hAnsi="Times New Roman"/>
                      <w:bCs/>
                      <w:color w:val="auto"/>
                      <w:sz w:val="18"/>
                      <w:szCs w:val="18"/>
                    </w:rPr>
                    <w:t>事故应急池</w:t>
                  </w:r>
                </w:p>
              </w:tc>
              <w:tc>
                <w:tcPr>
                  <w:tcW w:w="967" w:type="pct"/>
                  <w:tcBorders>
                    <w:tl2br w:val="nil"/>
                    <w:tr2bl w:val="nil"/>
                  </w:tcBorders>
                  <w:noWrap w:val="0"/>
                  <w:vAlign w:val="center"/>
                </w:tcPr>
                <w:p w14:paraId="535EBE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color w:val="auto"/>
                      <w:sz w:val="18"/>
                      <w:szCs w:val="18"/>
                    </w:rPr>
                    <w:t>310</w:t>
                  </w:r>
                  <w:r>
                    <w:rPr>
                      <w:rFonts w:ascii="Times New Roman" w:hAnsi="Times New Roman"/>
                      <w:color w:val="auto"/>
                      <w:sz w:val="18"/>
                      <w:szCs w:val="18"/>
                    </w:rPr>
                    <w:t>m</w:t>
                  </w:r>
                  <w:r>
                    <w:rPr>
                      <w:rFonts w:ascii="Times New Roman" w:hAnsi="Times New Roman"/>
                      <w:color w:val="auto"/>
                      <w:sz w:val="18"/>
                      <w:szCs w:val="18"/>
                      <w:vertAlign w:val="superscript"/>
                    </w:rPr>
                    <w:t>3</w:t>
                  </w:r>
                </w:p>
              </w:tc>
              <w:tc>
                <w:tcPr>
                  <w:tcW w:w="752" w:type="pct"/>
                  <w:tcBorders>
                    <w:tl2br w:val="nil"/>
                    <w:tr2bl w:val="nil"/>
                  </w:tcBorders>
                  <w:noWrap w:val="0"/>
                  <w:vAlign w:val="center"/>
                </w:tcPr>
                <w:p w14:paraId="077F992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bCs/>
                      <w:color w:val="auto"/>
                      <w:sz w:val="18"/>
                      <w:szCs w:val="18"/>
                    </w:rPr>
                  </w:pPr>
                  <w:r>
                    <w:rPr>
                      <w:rFonts w:hint="eastAsia"/>
                      <w:b w:val="0"/>
                      <w:bCs/>
                      <w:color w:val="auto"/>
                      <w:sz w:val="18"/>
                      <w:szCs w:val="18"/>
                      <w:lang w:val="en-US" w:eastAsia="zh-CN"/>
                    </w:rPr>
                    <w:t>0</w:t>
                  </w:r>
                </w:p>
              </w:tc>
              <w:tc>
                <w:tcPr>
                  <w:tcW w:w="1153" w:type="pct"/>
                  <w:tcBorders>
                    <w:tl2br w:val="nil"/>
                    <w:tr2bl w:val="nil"/>
                  </w:tcBorders>
                  <w:noWrap w:val="0"/>
                  <w:vAlign w:val="center"/>
                </w:tcPr>
                <w:p w14:paraId="6078B8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color w:val="auto"/>
                      <w:sz w:val="18"/>
                      <w:szCs w:val="18"/>
                    </w:rPr>
                    <w:t>310</w:t>
                  </w:r>
                  <w:r>
                    <w:rPr>
                      <w:rFonts w:ascii="Times New Roman" w:hAnsi="Times New Roman"/>
                      <w:color w:val="auto"/>
                      <w:sz w:val="18"/>
                      <w:szCs w:val="18"/>
                    </w:rPr>
                    <w:t>m</w:t>
                  </w:r>
                  <w:r>
                    <w:rPr>
                      <w:rFonts w:ascii="Times New Roman" w:hAnsi="Times New Roman"/>
                      <w:color w:val="auto"/>
                      <w:sz w:val="18"/>
                      <w:szCs w:val="18"/>
                      <w:vertAlign w:val="superscript"/>
                    </w:rPr>
                    <w:t>3</w:t>
                  </w:r>
                </w:p>
              </w:tc>
              <w:tc>
                <w:tcPr>
                  <w:tcW w:w="1115" w:type="pct"/>
                  <w:tcBorders>
                    <w:tl2br w:val="nil"/>
                    <w:tr2bl w:val="nil"/>
                  </w:tcBorders>
                  <w:noWrap w:val="0"/>
                  <w:vAlign w:val="center"/>
                </w:tcPr>
                <w:p w14:paraId="1C852B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lang w:eastAsia="zh-CN"/>
                    </w:rPr>
                  </w:pPr>
                  <w:r>
                    <w:rPr>
                      <w:rFonts w:hint="eastAsia"/>
                      <w:color w:val="auto"/>
                      <w:sz w:val="18"/>
                      <w:szCs w:val="18"/>
                      <w:lang w:val="en-US" w:eastAsia="zh-CN"/>
                    </w:rPr>
                    <w:t>不新增事故废水，依托现有</w:t>
                  </w:r>
                </w:p>
              </w:tc>
            </w:tr>
            <w:tr w14:paraId="5A0BB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388" w:type="pct"/>
                  <w:vMerge w:val="continue"/>
                  <w:tcBorders>
                    <w:tl2br w:val="nil"/>
                    <w:tr2bl w:val="nil"/>
                  </w:tcBorders>
                  <w:noWrap w:val="0"/>
                  <w:vAlign w:val="center"/>
                </w:tcPr>
                <w:p w14:paraId="4C268F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c>
                <w:tcPr>
                  <w:tcW w:w="622" w:type="pct"/>
                  <w:gridSpan w:val="2"/>
                  <w:tcBorders>
                    <w:tl2br w:val="nil"/>
                    <w:tr2bl w:val="nil"/>
                  </w:tcBorders>
                  <w:noWrap w:val="0"/>
                  <w:vAlign w:val="center"/>
                </w:tcPr>
                <w:p w14:paraId="2D1CB2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ascii="Times New Roman" w:hAnsi="Times New Roman"/>
                      <w:bCs/>
                      <w:color w:val="auto"/>
                      <w:sz w:val="18"/>
                      <w:szCs w:val="18"/>
                    </w:rPr>
                    <w:t>初期雨水池</w:t>
                  </w:r>
                </w:p>
              </w:tc>
              <w:tc>
                <w:tcPr>
                  <w:tcW w:w="967" w:type="pct"/>
                  <w:tcBorders>
                    <w:tl2br w:val="nil"/>
                    <w:tr2bl w:val="nil"/>
                  </w:tcBorders>
                  <w:noWrap w:val="0"/>
                  <w:vAlign w:val="center"/>
                </w:tcPr>
                <w:p w14:paraId="349F70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color w:val="auto"/>
                      <w:sz w:val="18"/>
                      <w:szCs w:val="18"/>
                    </w:rPr>
                    <w:t>1385</w:t>
                  </w:r>
                  <w:r>
                    <w:rPr>
                      <w:rFonts w:ascii="Times New Roman" w:hAnsi="Times New Roman"/>
                      <w:color w:val="auto"/>
                      <w:sz w:val="18"/>
                      <w:szCs w:val="18"/>
                    </w:rPr>
                    <w:t>m</w:t>
                  </w:r>
                  <w:r>
                    <w:rPr>
                      <w:rFonts w:ascii="Times New Roman" w:hAnsi="Times New Roman"/>
                      <w:color w:val="auto"/>
                      <w:sz w:val="18"/>
                      <w:szCs w:val="18"/>
                      <w:vertAlign w:val="superscript"/>
                    </w:rPr>
                    <w:t>3</w:t>
                  </w:r>
                </w:p>
              </w:tc>
              <w:tc>
                <w:tcPr>
                  <w:tcW w:w="752" w:type="pct"/>
                  <w:tcBorders>
                    <w:tl2br w:val="nil"/>
                    <w:tr2bl w:val="nil"/>
                  </w:tcBorders>
                  <w:noWrap w:val="0"/>
                  <w:vAlign w:val="center"/>
                </w:tcPr>
                <w:p w14:paraId="44D3409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bCs/>
                      <w:color w:val="auto"/>
                      <w:sz w:val="18"/>
                      <w:szCs w:val="18"/>
                    </w:rPr>
                  </w:pPr>
                  <w:r>
                    <w:rPr>
                      <w:rFonts w:hint="eastAsia"/>
                      <w:b w:val="0"/>
                      <w:bCs/>
                      <w:color w:val="auto"/>
                      <w:sz w:val="18"/>
                      <w:szCs w:val="18"/>
                      <w:lang w:val="en-US" w:eastAsia="zh-CN"/>
                    </w:rPr>
                    <w:t>0</w:t>
                  </w:r>
                </w:p>
              </w:tc>
              <w:tc>
                <w:tcPr>
                  <w:tcW w:w="1153" w:type="pct"/>
                  <w:tcBorders>
                    <w:tl2br w:val="nil"/>
                    <w:tr2bl w:val="nil"/>
                  </w:tcBorders>
                  <w:noWrap w:val="0"/>
                  <w:vAlign w:val="center"/>
                </w:tcPr>
                <w:p w14:paraId="5D32B7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color w:val="auto"/>
                      <w:sz w:val="18"/>
                      <w:szCs w:val="18"/>
                    </w:rPr>
                    <w:t>1385</w:t>
                  </w:r>
                  <w:r>
                    <w:rPr>
                      <w:rFonts w:ascii="Times New Roman" w:hAnsi="Times New Roman"/>
                      <w:color w:val="auto"/>
                      <w:sz w:val="18"/>
                      <w:szCs w:val="18"/>
                    </w:rPr>
                    <w:t>m</w:t>
                  </w:r>
                  <w:r>
                    <w:rPr>
                      <w:rFonts w:ascii="Times New Roman" w:hAnsi="Times New Roman"/>
                      <w:color w:val="auto"/>
                      <w:sz w:val="18"/>
                      <w:szCs w:val="18"/>
                      <w:vertAlign w:val="superscript"/>
                    </w:rPr>
                    <w:t>3</w:t>
                  </w:r>
                </w:p>
              </w:tc>
              <w:tc>
                <w:tcPr>
                  <w:tcW w:w="1115" w:type="pct"/>
                  <w:tcBorders>
                    <w:tl2br w:val="nil"/>
                    <w:tr2bl w:val="nil"/>
                  </w:tcBorders>
                  <w:noWrap w:val="0"/>
                  <w:vAlign w:val="center"/>
                </w:tcPr>
                <w:p w14:paraId="0AB17DE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color w:val="auto"/>
                      <w:sz w:val="18"/>
                      <w:szCs w:val="18"/>
                    </w:rPr>
                  </w:pPr>
                  <w:r>
                    <w:rPr>
                      <w:rFonts w:hint="eastAsia"/>
                      <w:color w:val="auto"/>
                      <w:sz w:val="18"/>
                      <w:szCs w:val="18"/>
                      <w:lang w:val="en-US" w:eastAsia="zh-CN"/>
                    </w:rPr>
                    <w:t>不新增用地及初期雨水量，依托现有</w:t>
                  </w:r>
                </w:p>
              </w:tc>
            </w:tr>
          </w:tbl>
          <w:p w14:paraId="1417F218">
            <w:pPr>
              <w:ind w:firstLine="422"/>
              <w:rPr>
                <w:b/>
                <w:color w:val="auto"/>
              </w:rPr>
            </w:pPr>
            <w:r>
              <w:rPr>
                <w:b/>
                <w:color w:val="auto"/>
              </w:rPr>
              <w:t>6、项目用排水平衡</w:t>
            </w:r>
          </w:p>
          <w:p w14:paraId="75AF3A76">
            <w:pPr>
              <w:ind w:firstLine="420"/>
              <w:rPr>
                <w:color w:val="auto"/>
              </w:rPr>
            </w:pPr>
            <w:r>
              <w:rPr>
                <w:color w:val="auto"/>
              </w:rPr>
              <w:t>建设项目</w:t>
            </w:r>
            <w:r>
              <w:rPr>
                <w:rFonts w:hint="eastAsia"/>
                <w:color w:val="auto"/>
                <w:lang w:val="en-US" w:eastAsia="zh-CN"/>
              </w:rPr>
              <w:t>不新增用水，所需少量员工从现有项目调配</w:t>
            </w:r>
            <w:r>
              <w:rPr>
                <w:color w:val="auto"/>
              </w:rPr>
              <w:t>。</w:t>
            </w:r>
          </w:p>
          <w:p w14:paraId="7A036888">
            <w:pPr>
              <w:ind w:firstLine="422"/>
              <w:rPr>
                <w:b/>
                <w:color w:val="auto"/>
              </w:rPr>
            </w:pPr>
            <w:r>
              <w:rPr>
                <w:rFonts w:hint="eastAsia"/>
                <w:b/>
                <w:color w:val="auto"/>
                <w:lang w:val="en-US" w:eastAsia="zh-CN"/>
              </w:rPr>
              <w:t>7</w:t>
            </w:r>
            <w:r>
              <w:rPr>
                <w:rFonts w:hint="eastAsia"/>
                <w:b/>
                <w:color w:val="auto"/>
              </w:rPr>
              <w:t>、</w:t>
            </w:r>
            <w:r>
              <w:rPr>
                <w:b/>
                <w:color w:val="auto"/>
              </w:rPr>
              <w:t>劳动定员及工作制度</w:t>
            </w:r>
          </w:p>
          <w:p w14:paraId="6FCE2C61">
            <w:pPr>
              <w:ind w:firstLine="420"/>
              <w:rPr>
                <w:color w:val="auto"/>
              </w:rPr>
            </w:pPr>
            <w:r>
              <w:rPr>
                <w:color w:val="auto"/>
              </w:rPr>
              <w:t>本项目</w:t>
            </w:r>
            <w:r>
              <w:rPr>
                <w:rFonts w:hint="eastAsia"/>
                <w:color w:val="auto"/>
              </w:rPr>
              <w:t>不新增员工，从现有员工中调配</w:t>
            </w:r>
            <w:r>
              <w:rPr>
                <w:color w:val="auto"/>
              </w:rPr>
              <w:t>，</w:t>
            </w:r>
            <w:r>
              <w:rPr>
                <w:rFonts w:hint="eastAsia"/>
                <w:color w:val="auto"/>
              </w:rPr>
              <w:t>年工作300天，三班制，每班8小时，年工作7200h</w:t>
            </w:r>
            <w:r>
              <w:rPr>
                <w:color w:val="auto"/>
              </w:rPr>
              <w:t>。</w:t>
            </w:r>
          </w:p>
          <w:p w14:paraId="5389728F">
            <w:pPr>
              <w:ind w:firstLine="422"/>
              <w:rPr>
                <w:b/>
                <w:color w:val="auto"/>
              </w:rPr>
            </w:pPr>
            <w:r>
              <w:rPr>
                <w:rFonts w:hint="eastAsia"/>
                <w:b/>
                <w:color w:val="auto"/>
                <w:lang w:val="en-US" w:eastAsia="zh-CN"/>
              </w:rPr>
              <w:t>8</w:t>
            </w:r>
            <w:r>
              <w:rPr>
                <w:b/>
                <w:color w:val="auto"/>
              </w:rPr>
              <w:t>、厂区平面布置</w:t>
            </w:r>
            <w:r>
              <w:rPr>
                <w:rFonts w:hint="eastAsia"/>
                <w:b/>
                <w:color w:val="auto"/>
              </w:rPr>
              <w:t>及周边</w:t>
            </w:r>
            <w:r>
              <w:rPr>
                <w:b/>
                <w:color w:val="auto"/>
              </w:rPr>
              <w:t>情况</w:t>
            </w:r>
          </w:p>
          <w:p w14:paraId="5AFCB263">
            <w:pPr>
              <w:ind w:firstLine="412"/>
              <w:rPr>
                <w:color w:val="auto"/>
              </w:rPr>
            </w:pPr>
            <w:r>
              <w:rPr>
                <w:rFonts w:hint="eastAsia"/>
                <w:color w:val="auto"/>
                <w:spacing w:val="-2"/>
              </w:rPr>
              <w:t>本项目</w:t>
            </w:r>
            <w:r>
              <w:rPr>
                <w:rFonts w:hint="eastAsia"/>
                <w:color w:val="auto"/>
                <w:spacing w:val="-2"/>
                <w:lang w:val="en-US" w:eastAsia="zh-CN"/>
              </w:rPr>
              <w:t>利用原2#丙类仓库部分闲置区域，</w:t>
            </w:r>
            <w:r>
              <w:rPr>
                <w:rFonts w:hint="eastAsia"/>
                <w:color w:val="auto"/>
                <w:lang w:val="en-US" w:eastAsia="zh-CN"/>
              </w:rPr>
              <w:t>设置1条磁控溅射生产线，详见附图三</w:t>
            </w:r>
            <w:r>
              <w:rPr>
                <w:color w:val="auto"/>
                <w:spacing w:val="-2"/>
              </w:rPr>
              <w:t>。</w:t>
            </w:r>
            <w:r>
              <w:rPr>
                <w:rFonts w:hint="eastAsia"/>
                <w:color w:val="auto"/>
                <w:spacing w:val="-2"/>
              </w:rPr>
              <w:t>本项目位于</w:t>
            </w:r>
            <w:r>
              <w:rPr>
                <w:rFonts w:hint="eastAsia"/>
                <w:b w:val="0"/>
                <w:bCs w:val="0"/>
                <w:color w:val="auto"/>
                <w:kern w:val="0"/>
                <w:szCs w:val="21"/>
                <w:highlight w:val="none"/>
                <w:lang w:val="en-US" w:eastAsia="zh-CN"/>
              </w:rPr>
              <w:t>海门经济技术开发区扬子江路2288号</w:t>
            </w:r>
            <w:r>
              <w:rPr>
                <w:rFonts w:hint="eastAsia"/>
                <w:color w:val="auto"/>
                <w:spacing w:val="-2"/>
              </w:rPr>
              <w:t>，公司北侧为美库海门食品冷链产业园，西侧为扬子江路，隔路为</w:t>
            </w:r>
            <w:r>
              <w:rPr>
                <w:rFonts w:hint="eastAsia"/>
                <w:color w:val="auto"/>
                <w:spacing w:val="-2"/>
                <w:lang w:val="en-US" w:eastAsia="zh-CN"/>
              </w:rPr>
              <w:t>复华高新技术产业园</w:t>
            </w:r>
            <w:r>
              <w:rPr>
                <w:rFonts w:hint="eastAsia"/>
                <w:color w:val="auto"/>
                <w:spacing w:val="-2"/>
              </w:rPr>
              <w:t>，东侧为开发区中小企业科创园，南侧为纳琳科新材料（南通）有限公司二期项目预留空地</w:t>
            </w:r>
            <w:r>
              <w:rPr>
                <w:color w:val="auto"/>
              </w:rPr>
              <w:t>。</w:t>
            </w:r>
          </w:p>
          <w:p w14:paraId="2B546306">
            <w:pPr>
              <w:ind w:firstLine="420"/>
              <w:rPr>
                <w:color w:val="auto"/>
              </w:rPr>
            </w:pPr>
            <w:r>
              <w:rPr>
                <w:color w:val="auto"/>
              </w:rPr>
              <w:t>项目具体地理位置见附图一，厂界500米范围环境周边概况见附图二，项目厂区平面布置具体见附图三。</w:t>
            </w:r>
          </w:p>
          <w:p w14:paraId="15A6C42F">
            <w:pPr>
              <w:pStyle w:val="75"/>
              <w:rPr>
                <w:color w:val="auto"/>
              </w:rPr>
            </w:pPr>
          </w:p>
          <w:p w14:paraId="6844B8AD">
            <w:pPr>
              <w:pStyle w:val="75"/>
              <w:rPr>
                <w:color w:val="auto"/>
              </w:rPr>
            </w:pPr>
          </w:p>
          <w:p w14:paraId="2B8448C5">
            <w:pPr>
              <w:pStyle w:val="75"/>
              <w:rPr>
                <w:color w:val="auto"/>
              </w:rPr>
            </w:pPr>
          </w:p>
          <w:p w14:paraId="0B79ADBD">
            <w:pPr>
              <w:pStyle w:val="75"/>
              <w:rPr>
                <w:color w:val="auto"/>
              </w:rPr>
            </w:pPr>
          </w:p>
          <w:p w14:paraId="463DE6C0">
            <w:pPr>
              <w:pStyle w:val="75"/>
              <w:rPr>
                <w:color w:val="auto"/>
              </w:rPr>
            </w:pPr>
          </w:p>
          <w:p w14:paraId="0DACCF38">
            <w:pPr>
              <w:pStyle w:val="75"/>
              <w:rPr>
                <w:color w:val="auto"/>
              </w:rPr>
            </w:pPr>
          </w:p>
          <w:p w14:paraId="3E2342CE">
            <w:pPr>
              <w:pStyle w:val="75"/>
              <w:rPr>
                <w:color w:val="auto"/>
              </w:rPr>
            </w:pPr>
          </w:p>
          <w:p w14:paraId="0A7715C6">
            <w:pPr>
              <w:pStyle w:val="75"/>
              <w:rPr>
                <w:color w:val="auto"/>
              </w:rPr>
            </w:pPr>
          </w:p>
          <w:p w14:paraId="3950B0DD">
            <w:pPr>
              <w:pStyle w:val="75"/>
              <w:rPr>
                <w:color w:val="auto"/>
              </w:rPr>
            </w:pPr>
          </w:p>
          <w:p w14:paraId="59C44234">
            <w:pPr>
              <w:pStyle w:val="75"/>
              <w:rPr>
                <w:color w:val="auto"/>
              </w:rPr>
            </w:pPr>
          </w:p>
          <w:p w14:paraId="33C1139B">
            <w:pPr>
              <w:pStyle w:val="75"/>
              <w:rPr>
                <w:color w:val="auto"/>
              </w:rPr>
            </w:pPr>
          </w:p>
          <w:p w14:paraId="6F5995CD">
            <w:pPr>
              <w:pStyle w:val="75"/>
              <w:rPr>
                <w:color w:val="auto"/>
              </w:rPr>
            </w:pPr>
          </w:p>
          <w:p w14:paraId="03FFA45E">
            <w:pPr>
              <w:pStyle w:val="75"/>
              <w:rPr>
                <w:color w:val="auto"/>
              </w:rPr>
            </w:pPr>
          </w:p>
          <w:p w14:paraId="49AAC64D">
            <w:pPr>
              <w:pStyle w:val="75"/>
              <w:rPr>
                <w:color w:val="auto"/>
              </w:rPr>
            </w:pPr>
          </w:p>
          <w:p w14:paraId="156AC25E">
            <w:pPr>
              <w:pStyle w:val="75"/>
              <w:rPr>
                <w:color w:val="auto"/>
              </w:rPr>
            </w:pPr>
          </w:p>
          <w:p w14:paraId="264376D5">
            <w:pPr>
              <w:pStyle w:val="75"/>
              <w:rPr>
                <w:color w:val="auto"/>
              </w:rPr>
            </w:pPr>
          </w:p>
          <w:p w14:paraId="6D4DD0E2">
            <w:pPr>
              <w:pStyle w:val="75"/>
              <w:rPr>
                <w:color w:val="auto"/>
              </w:rPr>
            </w:pPr>
          </w:p>
          <w:p w14:paraId="349AED32">
            <w:pPr>
              <w:pStyle w:val="75"/>
              <w:rPr>
                <w:color w:val="auto"/>
              </w:rPr>
            </w:pPr>
          </w:p>
          <w:p w14:paraId="05612977">
            <w:pPr>
              <w:pStyle w:val="75"/>
              <w:rPr>
                <w:color w:val="auto"/>
              </w:rPr>
            </w:pPr>
          </w:p>
          <w:p w14:paraId="503BCAC0">
            <w:pPr>
              <w:pStyle w:val="75"/>
              <w:rPr>
                <w:color w:val="auto"/>
              </w:rPr>
            </w:pPr>
          </w:p>
          <w:p w14:paraId="7ED2199B">
            <w:pPr>
              <w:pStyle w:val="75"/>
              <w:rPr>
                <w:color w:val="auto"/>
              </w:rPr>
            </w:pPr>
          </w:p>
        </w:tc>
      </w:tr>
      <w:tr w14:paraId="0EAB8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651A32D8">
            <w:pPr>
              <w:pStyle w:val="75"/>
              <w:rPr>
                <w:color w:val="auto"/>
              </w:rPr>
            </w:pPr>
          </w:p>
          <w:p w14:paraId="391D781D">
            <w:pPr>
              <w:pStyle w:val="75"/>
              <w:rPr>
                <w:color w:val="auto"/>
              </w:rPr>
            </w:pPr>
            <w:r>
              <w:rPr>
                <w:color w:val="auto"/>
              </w:rPr>
              <w:t>工艺流程和产排污环节</w:t>
            </w:r>
          </w:p>
        </w:tc>
        <w:tc>
          <w:tcPr>
            <w:tcW w:w="4745" w:type="pct"/>
          </w:tcPr>
          <w:p w14:paraId="3A95BCBD">
            <w:pPr>
              <w:ind w:firstLine="422"/>
              <w:rPr>
                <w:b/>
                <w:color w:val="auto"/>
              </w:rPr>
            </w:pPr>
            <w:bookmarkStart w:id="9" w:name="_Hlk150963715"/>
            <w:r>
              <w:rPr>
                <w:rFonts w:hint="eastAsia"/>
                <w:b/>
                <w:color w:val="auto"/>
                <w:lang w:val="en-US" w:eastAsia="zh-CN"/>
              </w:rPr>
              <w:t>特种纳米新材料薄膜</w:t>
            </w:r>
            <w:r>
              <w:rPr>
                <w:rFonts w:hint="eastAsia"/>
                <w:b/>
                <w:color w:val="auto"/>
              </w:rPr>
              <w:t>生产</w:t>
            </w:r>
            <w:r>
              <w:rPr>
                <w:b/>
                <w:color w:val="auto"/>
              </w:rPr>
              <w:t>工艺流程简述</w:t>
            </w:r>
          </w:p>
          <w:p w14:paraId="1D766E16">
            <w:pPr>
              <w:pStyle w:val="75"/>
              <w:rPr>
                <w:color w:val="auto"/>
              </w:rPr>
            </w:pPr>
            <w:r>
              <w:rPr>
                <w:color w:val="auto"/>
              </w:rPr>
              <w:object>
                <v:shape id="_x0000_i1025" o:spt="75" type="#_x0000_t75" style="height:245.55pt;width:233.35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14:paraId="636A0A25">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图2-</w:t>
            </w:r>
            <w:r>
              <w:rPr>
                <w:rFonts w:hint="eastAsia" w:cs="Times New Roman"/>
                <w:b/>
                <w:color w:val="auto"/>
                <w:sz w:val="21"/>
                <w:szCs w:val="21"/>
                <w:highlight w:val="none"/>
                <w:lang w:val="en-US" w:eastAsia="zh-CN"/>
              </w:rPr>
              <w:t>1</w:t>
            </w:r>
            <w:r>
              <w:rPr>
                <w:rFonts w:hint="eastAsia" w:ascii="Times New Roman" w:hAnsi="Times New Roman" w:eastAsia="宋体" w:cs="Times New Roman"/>
                <w:b/>
                <w:color w:val="auto"/>
                <w:sz w:val="21"/>
                <w:szCs w:val="21"/>
                <w:highlight w:val="none"/>
                <w:lang w:val="en-US" w:eastAsia="zh-CN"/>
              </w:rPr>
              <w:t xml:space="preserve"> 特种纳米新材料薄膜</w:t>
            </w:r>
            <w:r>
              <w:rPr>
                <w:rFonts w:hint="default" w:ascii="Times New Roman" w:hAnsi="Times New Roman" w:eastAsia="宋体" w:cs="Times New Roman"/>
                <w:b/>
                <w:color w:val="auto"/>
                <w:sz w:val="21"/>
                <w:szCs w:val="21"/>
                <w:highlight w:val="none"/>
              </w:rPr>
              <w:t>生产工艺流程图</w:t>
            </w:r>
          </w:p>
          <w:p w14:paraId="76142A92">
            <w:pPr>
              <w:numPr>
                <w:ilvl w:val="0"/>
                <w:numId w:val="2"/>
              </w:numPr>
              <w:ind w:firstLine="420"/>
              <w:rPr>
                <w:rFonts w:hint="eastAsia"/>
                <w:color w:val="auto"/>
              </w:rPr>
            </w:pPr>
            <w:r>
              <w:rPr>
                <w:rFonts w:hint="eastAsia"/>
                <w:color w:val="auto"/>
                <w:lang w:val="en-US" w:eastAsia="zh-CN"/>
              </w:rPr>
              <w:t>进腔体抽真空</w:t>
            </w:r>
            <w:r>
              <w:rPr>
                <w:rFonts w:hint="eastAsia"/>
                <w:color w:val="auto"/>
              </w:rPr>
              <w:t>：</w:t>
            </w:r>
            <w:r>
              <w:rPr>
                <w:rFonts w:hint="eastAsia"/>
                <w:color w:val="auto"/>
                <w:lang w:val="en-US" w:eastAsia="zh-CN"/>
              </w:rPr>
              <w:t>PET膜无需预处理，</w:t>
            </w:r>
            <w:r>
              <w:rPr>
                <w:rFonts w:hint="eastAsia"/>
                <w:color w:val="auto"/>
              </w:rPr>
              <w:t>将</w:t>
            </w:r>
            <w:r>
              <w:rPr>
                <w:rFonts w:hint="eastAsia"/>
                <w:color w:val="auto"/>
                <w:lang w:val="en-US" w:eastAsia="zh-CN"/>
              </w:rPr>
              <w:t>膜卷放入磁控溅射设备，开启设备自动工作系统，系统自动对腔体进行抽真空，真空度控制在10</w:t>
            </w:r>
            <w:r>
              <w:rPr>
                <w:rFonts w:hint="eastAsia"/>
                <w:color w:val="auto"/>
                <w:vertAlign w:val="superscript"/>
                <w:lang w:val="en-US" w:eastAsia="zh-CN"/>
              </w:rPr>
              <w:t>-3</w:t>
            </w:r>
            <w:r>
              <w:rPr>
                <w:rFonts w:hint="eastAsia"/>
                <w:color w:val="auto"/>
                <w:lang w:val="en-US" w:eastAsia="zh-CN"/>
              </w:rPr>
              <w:t>~10</w:t>
            </w:r>
            <w:r>
              <w:rPr>
                <w:rFonts w:hint="eastAsia"/>
                <w:color w:val="auto"/>
                <w:vertAlign w:val="superscript"/>
                <w:lang w:val="en-US" w:eastAsia="zh-CN"/>
              </w:rPr>
              <w:t>-5</w:t>
            </w:r>
            <w:r>
              <w:rPr>
                <w:rFonts w:hint="eastAsia"/>
                <w:color w:val="auto"/>
                <w:lang w:val="en-US" w:eastAsia="zh-CN"/>
              </w:rPr>
              <w:t>Pa左右，整个过程对洁净度要求较高，采用磁控生产线上配套的无油超洁净真空泵组进行抽真空</w:t>
            </w:r>
            <w:r>
              <w:rPr>
                <w:rFonts w:hint="eastAsia"/>
                <w:color w:val="auto"/>
                <w:lang w:val="en-US" w:eastAsia="zh-CN"/>
              </w:rPr>
              <w:t>，主要采用风冷罗茨干泵+分子泵的组合达到设定的真空度</w:t>
            </w:r>
            <w:r>
              <w:rPr>
                <w:rFonts w:hint="eastAsia"/>
                <w:color w:val="auto"/>
              </w:rPr>
              <w:t>。</w:t>
            </w:r>
          </w:p>
          <w:p w14:paraId="54FBCE4D">
            <w:pPr>
              <w:numPr>
                <w:ilvl w:val="0"/>
                <w:numId w:val="2"/>
              </w:numPr>
              <w:ind w:firstLine="420"/>
              <w:rPr>
                <w:rFonts w:hint="eastAsia"/>
                <w:color w:val="auto"/>
              </w:rPr>
            </w:pPr>
            <w:r>
              <w:rPr>
                <w:rFonts w:hint="eastAsia"/>
                <w:color w:val="auto"/>
                <w:lang w:val="en-US" w:eastAsia="zh-CN"/>
              </w:rPr>
              <w:t>放卷：磁控设备将PET卷铺成平整状态，以便后续进行溅射。</w:t>
            </w:r>
          </w:p>
          <w:p w14:paraId="596A48D3">
            <w:pPr>
              <w:spacing w:line="500" w:lineRule="exact"/>
              <w:ind w:firstLine="420"/>
              <w:jc w:val="left"/>
              <w:rPr>
                <w:rFonts w:hint="eastAsia"/>
                <w:color w:val="auto"/>
                <w:lang w:val="en-US" w:eastAsia="zh-CN"/>
              </w:rPr>
            </w:pP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溅射镀膜</w:t>
            </w:r>
            <w:r>
              <w:rPr>
                <w:rFonts w:hint="eastAsia"/>
                <w:color w:val="auto"/>
              </w:rPr>
              <w:t>：</w:t>
            </w:r>
            <w:r>
              <w:rPr>
                <w:rFonts w:hint="eastAsia"/>
                <w:color w:val="auto"/>
                <w:lang w:val="en-US" w:eastAsia="zh-CN"/>
              </w:rPr>
              <w:t>设备腔体内通入氩气，接通溅射电源，启动卷绕系统，通过磁控溅射原理将靶材中溅射出的原子沉积在卷材上成膜，镀膜厚度将控制在10nm左右。基膜透光率由设备内部的透光率实时测量系统控制。</w:t>
            </w:r>
          </w:p>
          <w:p w14:paraId="4E20E630">
            <w:pPr>
              <w:spacing w:line="500" w:lineRule="exact"/>
              <w:ind w:firstLine="420"/>
              <w:jc w:val="left"/>
              <w:rPr>
                <w:rFonts w:hint="eastAsia"/>
                <w:color w:val="auto"/>
                <w:lang w:val="en-US" w:eastAsia="zh-CN"/>
              </w:rPr>
            </w:pPr>
            <w:r>
              <w:rPr>
                <w:rFonts w:hint="eastAsia"/>
                <w:color w:val="auto"/>
                <w:lang w:val="en-US" w:eastAsia="zh-CN"/>
              </w:rPr>
              <w:t>磁控溅射原理：电了在电场E的作用下，在飞向基片过程中与氩原子发生碰撞使其电离产生出 Ar+和新的电子；新电子飞向基片，Ar+在电场作用下加速飞向阴极靶并以高能量轰击靶表面，使靶材发生溅射。在溅射粒子中，中性的靶原子或分子沉积在基片上形成薄膜，而产生的二次电子会受到电场和磁场作用，产生E（电场）xB（磁场）所指的方向漂移，简称E×B 漂移，其运动轨迹近似于一条摆线。若为环形磁场，则电子就以近似摆线形式在靶表面做圆周运动，它们的运动路径不仅很长，而且被束缚在靠近靶表面的等离子体区域内，并且在该区域中电离出大量的 Ar+来轰击靶材，从而实现了高的沉积速率。</w:t>
            </w:r>
          </w:p>
          <w:p w14:paraId="7ED91426">
            <w:pPr>
              <w:spacing w:line="500" w:lineRule="exact"/>
              <w:ind w:firstLine="420"/>
              <w:jc w:val="left"/>
              <w:rPr>
                <w:rFonts w:hint="eastAsia"/>
                <w:color w:val="auto"/>
                <w:lang w:val="en-US" w:eastAsia="zh-CN"/>
              </w:rPr>
            </w:pPr>
            <w:r>
              <w:rPr>
                <w:rFonts w:hint="eastAsia"/>
                <w:color w:val="auto"/>
                <w:lang w:val="en-US" w:eastAsia="zh-CN"/>
              </w:rPr>
              <w:t>镀膜过程是在真空环境下，利用气体放电，使电离的气体离子在磁控管的约束作用，轰击金属靶材表面，将溅射出的金属原子沉积到柔性基材表面，形成纳米级膜层，完成卷对卷的产品生产过程。</w:t>
            </w:r>
          </w:p>
          <w:p w14:paraId="5FFB664F">
            <w:pPr>
              <w:spacing w:line="500" w:lineRule="exact"/>
              <w:ind w:firstLine="420"/>
              <w:jc w:val="left"/>
              <w:rPr>
                <w:rFonts w:hint="eastAsia"/>
                <w:color w:val="auto"/>
                <w:lang w:val="en-US" w:eastAsia="zh-CN"/>
              </w:rPr>
            </w:pPr>
            <w:r>
              <w:rPr>
                <w:rFonts w:hint="eastAsia"/>
                <w:color w:val="auto"/>
                <w:lang w:val="en-US" w:eastAsia="zh-CN"/>
              </w:rPr>
              <w:t>磁控溅射原理如下图:</w:t>
            </w:r>
          </w:p>
          <w:p w14:paraId="7A340E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lang w:val="en-US" w:eastAsia="zh-CN"/>
              </w:rPr>
            </w:pPr>
            <w:r>
              <w:rPr>
                <w:color w:val="auto"/>
              </w:rPr>
              <w:drawing>
                <wp:inline distT="0" distB="0" distL="114300" distR="114300">
                  <wp:extent cx="4716145" cy="2216150"/>
                  <wp:effectExtent l="0" t="0" r="8255"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8"/>
                          <a:stretch>
                            <a:fillRect/>
                          </a:stretch>
                        </pic:blipFill>
                        <pic:spPr>
                          <a:xfrm>
                            <a:off x="0" y="0"/>
                            <a:ext cx="4716145" cy="2216150"/>
                          </a:xfrm>
                          <a:prstGeom prst="rect">
                            <a:avLst/>
                          </a:prstGeom>
                          <a:noFill/>
                          <a:ln>
                            <a:noFill/>
                          </a:ln>
                        </pic:spPr>
                      </pic:pic>
                    </a:graphicData>
                  </a:graphic>
                </wp:inline>
              </w:drawing>
            </w:r>
          </w:p>
          <w:p w14:paraId="5607BF4B">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图2-</w:t>
            </w:r>
            <w:r>
              <w:rPr>
                <w:rFonts w:hint="eastAsia" w:cs="Times New Roman"/>
                <w:b/>
                <w:color w:val="auto"/>
                <w:sz w:val="21"/>
                <w:szCs w:val="21"/>
                <w:highlight w:val="none"/>
                <w:lang w:val="en-US" w:eastAsia="zh-CN"/>
              </w:rPr>
              <w:t>2</w:t>
            </w:r>
            <w:r>
              <w:rPr>
                <w:rFonts w:hint="eastAsia" w:ascii="Times New Roman" w:hAnsi="Times New Roman" w:eastAsia="宋体" w:cs="Times New Roman"/>
                <w:b/>
                <w:color w:val="auto"/>
                <w:sz w:val="21"/>
                <w:szCs w:val="21"/>
                <w:highlight w:val="none"/>
                <w:lang w:val="en-US" w:eastAsia="zh-CN"/>
              </w:rPr>
              <w:t xml:space="preserve"> 磁控溅射原理</w:t>
            </w:r>
            <w:r>
              <w:rPr>
                <w:rFonts w:hint="default" w:ascii="Times New Roman" w:hAnsi="Times New Roman" w:eastAsia="宋体" w:cs="Times New Roman"/>
                <w:b/>
                <w:color w:val="auto"/>
                <w:sz w:val="21"/>
                <w:szCs w:val="21"/>
                <w:highlight w:val="none"/>
              </w:rPr>
              <w:t>图</w:t>
            </w:r>
          </w:p>
          <w:p w14:paraId="43D9660A">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Nb靶材</w:t>
            </w:r>
            <w:r>
              <w:rPr>
                <w:rFonts w:hint="default" w:ascii="Times New Roman" w:hAnsi="Times New Roman" w:cs="Times New Roman"/>
                <w:b w:val="0"/>
                <w:bCs w:val="0"/>
                <w:i w:val="0"/>
                <w:iCs w:val="0"/>
                <w:color w:val="auto"/>
                <w:kern w:val="0"/>
                <w:sz w:val="21"/>
                <w:szCs w:val="21"/>
                <w:u w:val="none"/>
                <w:lang w:val="en-US" w:eastAsia="zh-CN" w:bidi="ar"/>
              </w:rPr>
              <w:t>：100-120</w:t>
            </w:r>
            <w:r>
              <w:rPr>
                <w:rFonts w:hint="eastAsia"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设备</w:t>
            </w:r>
            <w:r>
              <w:rPr>
                <w:rFonts w:hint="eastAsia" w:ascii="Times New Roman" w:hAnsi="Times New Roman" w:eastAsia="宋体" w:cs="Times New Roman"/>
                <w:b w:val="0"/>
                <w:bCs w:val="0"/>
                <w:i w:val="0"/>
                <w:iCs w:val="0"/>
                <w:caps w:val="0"/>
                <w:color w:val="auto"/>
                <w:spacing w:val="0"/>
                <w:sz w:val="21"/>
                <w:szCs w:val="21"/>
                <w:shd w:val="clear" w:fill="FFFFFF"/>
                <w:lang w:val="en-US" w:eastAsia="zh-CN"/>
              </w:rPr>
              <w:t>补充</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风</w:t>
            </w:r>
            <w:r>
              <w:rPr>
                <w:rFonts w:hint="default" w:ascii="Times New Roman" w:hAnsi="Times New Roman" w:eastAsia="Segoe UI" w:cs="Times New Roman"/>
                <w:b w:val="0"/>
                <w:bCs w:val="0"/>
                <w:i w:val="0"/>
                <w:iCs w:val="0"/>
                <w:caps w:val="0"/>
                <w:color w:val="auto"/>
                <w:spacing w:val="0"/>
                <w:sz w:val="21"/>
                <w:szCs w:val="21"/>
                <w:shd w:val="clear" w:fill="FFFFFF"/>
              </w:rPr>
              <w:t>冷</w:t>
            </w:r>
            <w:r>
              <w:rPr>
                <w:rFonts w:hint="default" w:ascii="Times New Roman" w:hAnsi="Times New Roman" w:eastAsia="宋体" w:cs="Times New Roman"/>
                <w:b w:val="0"/>
                <w:bCs w:val="0"/>
                <w:i w:val="0"/>
                <w:iCs w:val="0"/>
                <w:caps w:val="0"/>
                <w:color w:val="auto"/>
                <w:spacing w:val="0"/>
                <w:sz w:val="21"/>
                <w:szCs w:val="21"/>
                <w:shd w:val="clear" w:fill="FFFFFF"/>
                <w:lang w:eastAsia="zh-CN"/>
              </w:rPr>
              <w:t>，</w:t>
            </w:r>
            <w:r>
              <w:rPr>
                <w:rFonts w:hint="default" w:ascii="Times New Roman" w:hAnsi="Times New Roman" w:eastAsia="Segoe UI" w:cs="Times New Roman"/>
                <w:b w:val="0"/>
                <w:bCs w:val="0"/>
                <w:i w:val="0"/>
                <w:iCs w:val="0"/>
                <w:caps w:val="0"/>
                <w:color w:val="auto"/>
                <w:spacing w:val="0"/>
                <w:sz w:val="21"/>
                <w:szCs w:val="21"/>
                <w:shd w:val="clear" w:fill="FFFFFF"/>
              </w:rPr>
              <w:t xml:space="preserve">DC </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电源</w:t>
            </w:r>
            <w:r>
              <w:rPr>
                <w:rFonts w:hint="default" w:ascii="Times New Roman" w:hAnsi="Times New Roman" w:eastAsia="宋体" w:cs="Times New Roman"/>
                <w:b w:val="0"/>
                <w:bCs w:val="0"/>
                <w:i w:val="0"/>
                <w:iCs w:val="0"/>
                <w:caps w:val="0"/>
                <w:color w:val="auto"/>
                <w:spacing w:val="0"/>
                <w:sz w:val="21"/>
                <w:szCs w:val="21"/>
                <w:shd w:val="clear" w:fill="FFFFFF"/>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A</w:t>
            </w:r>
            <w:r>
              <w:rPr>
                <w:rStyle w:val="33"/>
                <w:rFonts w:hint="default" w:ascii="Times New Roman" w:hAnsi="Times New Roman" w:eastAsia="Segoe UI" w:cs="Times New Roman"/>
                <w:b w:val="0"/>
                <w:bCs w:val="0"/>
                <w:i w:val="0"/>
                <w:iCs w:val="0"/>
                <w:caps w:val="0"/>
                <w:color w:val="auto"/>
                <w:spacing w:val="0"/>
                <w:sz w:val="21"/>
                <w:szCs w:val="21"/>
                <w:shd w:val="clear" w:fill="FFFFFF"/>
              </w:rPr>
              <w:t>r⁺ 直接轰击 Nb 靶</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p>
          <w:p w14:paraId="724A9BC2">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NiCr靶材</w:t>
            </w:r>
            <w:r>
              <w:rPr>
                <w:rFonts w:hint="default" w:ascii="Times New Roman" w:hAnsi="Times New Roman" w:cs="Times New Roman"/>
                <w:b w:val="0"/>
                <w:bCs w:val="0"/>
                <w:i w:val="0"/>
                <w:iCs w:val="0"/>
                <w:color w:val="auto"/>
                <w:kern w:val="0"/>
                <w:sz w:val="21"/>
                <w:szCs w:val="21"/>
                <w:u w:val="none"/>
                <w:lang w:val="en-US" w:eastAsia="zh-CN" w:bidi="ar"/>
              </w:rPr>
              <w:t>：50-60</w:t>
            </w:r>
            <w:r>
              <w:rPr>
                <w:rFonts w:hint="eastAsia"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eastAsia="Segoe UI" w:cs="Times New Roman"/>
                <w:b w:val="0"/>
                <w:bCs w:val="0"/>
                <w:i w:val="0"/>
                <w:iCs w:val="0"/>
                <w:caps w:val="0"/>
                <w:color w:val="auto"/>
                <w:spacing w:val="0"/>
                <w:sz w:val="21"/>
                <w:szCs w:val="21"/>
                <w:shd w:val="clear" w:fill="FFFFFF"/>
              </w:rPr>
              <w:t>自然散热</w:t>
            </w:r>
            <w:r>
              <w:rPr>
                <w:rFonts w:hint="default" w:ascii="Times New Roman" w:hAnsi="Times New Roman" w:eastAsia="宋体" w:cs="Times New Roman"/>
                <w:b w:val="0"/>
                <w:bCs w:val="0"/>
                <w:i w:val="0"/>
                <w:iCs w:val="0"/>
                <w:caps w:val="0"/>
                <w:color w:val="auto"/>
                <w:spacing w:val="0"/>
                <w:sz w:val="21"/>
                <w:szCs w:val="21"/>
                <w:shd w:val="clear" w:fill="FFFFFF"/>
                <w:lang w:eastAsia="zh-CN"/>
              </w:rPr>
              <w:t>，</w:t>
            </w:r>
            <w:r>
              <w:rPr>
                <w:rFonts w:hint="default" w:ascii="Times New Roman" w:hAnsi="Times New Roman" w:eastAsia="Segoe UI" w:cs="Times New Roman"/>
                <w:b w:val="0"/>
                <w:bCs w:val="0"/>
                <w:i w:val="0"/>
                <w:iCs w:val="0"/>
                <w:caps w:val="0"/>
                <w:color w:val="auto"/>
                <w:spacing w:val="0"/>
                <w:sz w:val="21"/>
                <w:szCs w:val="21"/>
                <w:shd w:val="clear" w:fill="FFFFFF"/>
              </w:rPr>
              <w:t xml:space="preserve">DC </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电源</w:t>
            </w:r>
            <w:r>
              <w:rPr>
                <w:rFonts w:hint="default" w:ascii="Times New Roman" w:hAnsi="Times New Roman" w:cs="Times New Roman"/>
                <w:b w:val="0"/>
                <w:bCs w:val="0"/>
                <w:i w:val="0"/>
                <w:iCs w:val="0"/>
                <w:caps w:val="0"/>
                <w:color w:val="auto"/>
                <w:spacing w:val="0"/>
                <w:sz w:val="21"/>
                <w:szCs w:val="21"/>
                <w:shd w:val="clear" w:fill="FFFFFF"/>
                <w:lang w:val="en-US"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A</w:t>
            </w:r>
            <w:r>
              <w:rPr>
                <w:rStyle w:val="33"/>
                <w:rFonts w:hint="default" w:ascii="Times New Roman" w:hAnsi="Times New Roman" w:eastAsia="Segoe UI" w:cs="Times New Roman"/>
                <w:b w:val="0"/>
                <w:bCs w:val="0"/>
                <w:i w:val="0"/>
                <w:iCs w:val="0"/>
                <w:caps w:val="0"/>
                <w:color w:val="auto"/>
                <w:spacing w:val="0"/>
                <w:sz w:val="21"/>
                <w:szCs w:val="21"/>
                <w:shd w:val="clear" w:fill="FFFFFF"/>
              </w:rPr>
              <w:t>r⁺ 直接轰击 Nb 靶</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33"/>
                <w:rFonts w:hint="default" w:ascii="Times New Roman" w:hAnsi="Times New Roman" w:eastAsia="宋体" w:cs="Times New Roman"/>
                <w:b w:val="0"/>
                <w:bCs w:val="0"/>
                <w:i w:val="0"/>
                <w:iCs w:val="0"/>
                <w:caps w:val="0"/>
                <w:color w:val="auto"/>
                <w:spacing w:val="0"/>
                <w:sz w:val="21"/>
                <w:szCs w:val="21"/>
                <w:shd w:val="clear" w:fill="FFFFFF"/>
                <w:lang w:val="en-US" w:eastAsia="zh-CN"/>
              </w:rPr>
              <w:t>通入氢气可</w:t>
            </w:r>
            <w:r>
              <w:rPr>
                <w:rFonts w:hint="default" w:ascii="Times New Roman" w:hAnsi="Times New Roman" w:eastAsia="Segoe UI" w:cs="Times New Roman"/>
                <w:b w:val="0"/>
                <w:bCs w:val="0"/>
                <w:i w:val="0"/>
                <w:iCs w:val="0"/>
                <w:caps w:val="0"/>
                <w:color w:val="auto"/>
                <w:spacing w:val="0"/>
                <w:sz w:val="21"/>
                <w:szCs w:val="21"/>
                <w:shd w:val="clear" w:fill="FFFFFF"/>
              </w:rPr>
              <w:t>改变薄膜应力</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p>
          <w:p w14:paraId="18159EC2">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AZO靶材</w:t>
            </w:r>
            <w:r>
              <w:rPr>
                <w:rFonts w:hint="default" w:ascii="Times New Roman" w:hAnsi="Times New Roman" w:cs="Times New Roman"/>
                <w:b w:val="0"/>
                <w:bCs w:val="0"/>
                <w:i w:val="0"/>
                <w:iCs w:val="0"/>
                <w:color w:val="auto"/>
                <w:kern w:val="0"/>
                <w:sz w:val="21"/>
                <w:szCs w:val="21"/>
                <w:u w:val="none"/>
                <w:lang w:val="en-US" w:eastAsia="zh-CN" w:bidi="ar"/>
              </w:rPr>
              <w:t>：150-170</w:t>
            </w:r>
            <w:r>
              <w:rPr>
                <w:rFonts w:hint="eastAsia"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设备</w:t>
            </w:r>
            <w:r>
              <w:rPr>
                <w:rFonts w:hint="eastAsia" w:ascii="Times New Roman" w:hAnsi="Times New Roman" w:cs="Times New Roman"/>
                <w:b w:val="0"/>
                <w:bCs w:val="0"/>
                <w:i w:val="0"/>
                <w:iCs w:val="0"/>
                <w:caps w:val="0"/>
                <w:color w:val="auto"/>
                <w:spacing w:val="0"/>
                <w:sz w:val="21"/>
                <w:szCs w:val="21"/>
                <w:shd w:val="clear" w:fill="FFFFFF"/>
                <w:lang w:val="en-US" w:eastAsia="zh-CN"/>
              </w:rPr>
              <w:t>补充</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风</w:t>
            </w:r>
            <w:r>
              <w:rPr>
                <w:rFonts w:hint="default" w:ascii="Times New Roman" w:hAnsi="Times New Roman" w:eastAsia="Segoe UI" w:cs="Times New Roman"/>
                <w:b w:val="0"/>
                <w:bCs w:val="0"/>
                <w:i w:val="0"/>
                <w:iCs w:val="0"/>
                <w:caps w:val="0"/>
                <w:color w:val="auto"/>
                <w:spacing w:val="0"/>
                <w:sz w:val="21"/>
                <w:szCs w:val="21"/>
                <w:shd w:val="clear" w:fill="FFFFFF"/>
              </w:rPr>
              <w:t>冷</w:t>
            </w:r>
            <w:r>
              <w:rPr>
                <w:rFonts w:hint="default" w:ascii="Times New Roman" w:hAnsi="Times New Roman" w:eastAsia="宋体" w:cs="Times New Roman"/>
                <w:b w:val="0"/>
                <w:bCs w:val="0"/>
                <w:i w:val="0"/>
                <w:iCs w:val="0"/>
                <w:caps w:val="0"/>
                <w:color w:val="auto"/>
                <w:spacing w:val="0"/>
                <w:sz w:val="21"/>
                <w:szCs w:val="21"/>
                <w:shd w:val="clear" w:fill="FFFFFF"/>
                <w:lang w:eastAsia="zh-CN"/>
              </w:rPr>
              <w:t>，</w:t>
            </w:r>
            <w:r>
              <w:rPr>
                <w:rFonts w:hint="default" w:ascii="Times New Roman" w:hAnsi="Times New Roman" w:eastAsia="Segoe UI" w:cs="Times New Roman"/>
                <w:b w:val="0"/>
                <w:bCs w:val="0"/>
                <w:i w:val="0"/>
                <w:iCs w:val="0"/>
                <w:caps w:val="0"/>
                <w:color w:val="auto"/>
                <w:spacing w:val="0"/>
                <w:sz w:val="21"/>
                <w:szCs w:val="21"/>
                <w:shd w:val="clear" w:fill="FFFFFF"/>
              </w:rPr>
              <w:t>RF</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电源，A</w:t>
            </w:r>
            <w:r>
              <w:rPr>
                <w:rStyle w:val="33"/>
                <w:rFonts w:hint="default" w:ascii="Times New Roman" w:hAnsi="Times New Roman" w:eastAsia="Segoe UI" w:cs="Times New Roman"/>
                <w:b w:val="0"/>
                <w:bCs w:val="0"/>
                <w:i w:val="0"/>
                <w:iCs w:val="0"/>
                <w:caps w:val="0"/>
                <w:color w:val="auto"/>
                <w:spacing w:val="0"/>
                <w:sz w:val="21"/>
                <w:szCs w:val="21"/>
                <w:shd w:val="clear" w:fill="FFFFFF"/>
              </w:rPr>
              <w:t>r⁺ 直接轰击 Nb 靶</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33"/>
                <w:rFonts w:hint="default" w:ascii="Times New Roman" w:hAnsi="Times New Roman" w:cs="Times New Roman"/>
                <w:b w:val="0"/>
                <w:bCs w:val="0"/>
                <w:i w:val="0"/>
                <w:iCs w:val="0"/>
                <w:caps w:val="0"/>
                <w:color w:val="auto"/>
                <w:spacing w:val="0"/>
                <w:sz w:val="21"/>
                <w:szCs w:val="21"/>
                <w:shd w:val="clear" w:fill="FFFFFF"/>
                <w:lang w:val="en-US" w:eastAsia="zh-CN"/>
              </w:rPr>
              <w:t>通入氧气，</w:t>
            </w:r>
            <w:r>
              <w:rPr>
                <w:rStyle w:val="33"/>
                <w:rFonts w:hint="default" w:ascii="Times New Roman" w:hAnsi="Times New Roman" w:eastAsia="Segoe UI" w:cs="Times New Roman"/>
                <w:b w:val="0"/>
                <w:bCs w:val="0"/>
                <w:i w:val="0"/>
                <w:iCs w:val="0"/>
                <w:caps w:val="0"/>
                <w:color w:val="auto"/>
                <w:spacing w:val="0"/>
                <w:sz w:val="21"/>
                <w:szCs w:val="21"/>
                <w:shd w:val="clear" w:fill="FFFFFF"/>
              </w:rPr>
              <w:t>修补薄膜生长过程中丢失的氧</w:t>
            </w:r>
            <w:r>
              <w:rPr>
                <w:rFonts w:hint="default" w:ascii="Times New Roman" w:hAnsi="Times New Roman" w:eastAsia="Segoe UI" w:cs="Times New Roman"/>
                <w:b w:val="0"/>
                <w:bCs w:val="0"/>
                <w:i w:val="0"/>
                <w:iCs w:val="0"/>
                <w:caps w:val="0"/>
                <w:color w:val="auto"/>
                <w:spacing w:val="0"/>
                <w:sz w:val="21"/>
                <w:szCs w:val="21"/>
                <w:shd w:val="clear" w:fill="FFFFFF"/>
              </w:rPr>
              <w:t>，从而调控光电性能</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p>
          <w:p w14:paraId="06920964">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合金靶材</w:t>
            </w:r>
            <w:r>
              <w:rPr>
                <w:rFonts w:hint="default" w:ascii="Times New Roman" w:hAnsi="Times New Roman" w:cs="Times New Roman"/>
                <w:b w:val="0"/>
                <w:bCs w:val="0"/>
                <w:i w:val="0"/>
                <w:iCs w:val="0"/>
                <w:color w:val="auto"/>
                <w:kern w:val="0"/>
                <w:sz w:val="21"/>
                <w:szCs w:val="21"/>
                <w:u w:val="none"/>
                <w:lang w:val="en-US" w:eastAsia="zh-CN" w:bidi="ar"/>
              </w:rPr>
              <w:t>：60-90</w:t>
            </w:r>
            <w:r>
              <w:rPr>
                <w:rFonts w:hint="eastAsia"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设备</w:t>
            </w:r>
            <w:r>
              <w:rPr>
                <w:rFonts w:hint="eastAsia" w:ascii="Times New Roman" w:hAnsi="Times New Roman" w:cs="Times New Roman"/>
                <w:b w:val="0"/>
                <w:bCs w:val="0"/>
                <w:i w:val="0"/>
                <w:iCs w:val="0"/>
                <w:caps w:val="0"/>
                <w:color w:val="auto"/>
                <w:spacing w:val="0"/>
                <w:sz w:val="21"/>
                <w:szCs w:val="21"/>
                <w:shd w:val="clear" w:fill="FFFFFF"/>
                <w:lang w:val="en-US" w:eastAsia="zh-CN"/>
              </w:rPr>
              <w:t>补充</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风</w:t>
            </w:r>
            <w:r>
              <w:rPr>
                <w:rFonts w:hint="default" w:ascii="Times New Roman" w:hAnsi="Times New Roman" w:eastAsia="Segoe UI" w:cs="Times New Roman"/>
                <w:b w:val="0"/>
                <w:bCs w:val="0"/>
                <w:i w:val="0"/>
                <w:iCs w:val="0"/>
                <w:caps w:val="0"/>
                <w:color w:val="auto"/>
                <w:spacing w:val="0"/>
                <w:sz w:val="21"/>
                <w:szCs w:val="21"/>
                <w:shd w:val="clear" w:fill="FFFFFF"/>
              </w:rPr>
              <w:t>冷</w:t>
            </w:r>
            <w:r>
              <w:rPr>
                <w:rFonts w:hint="default" w:ascii="Times New Roman" w:hAnsi="Times New Roman" w:eastAsia="宋体" w:cs="Times New Roman"/>
                <w:b w:val="0"/>
                <w:bCs w:val="0"/>
                <w:i w:val="0"/>
                <w:iCs w:val="0"/>
                <w:caps w:val="0"/>
                <w:color w:val="auto"/>
                <w:spacing w:val="0"/>
                <w:sz w:val="21"/>
                <w:szCs w:val="21"/>
                <w:shd w:val="clear" w:fill="FFFFFF"/>
                <w:lang w:eastAsia="zh-CN"/>
              </w:rPr>
              <w:t>，</w:t>
            </w:r>
            <w:r>
              <w:rPr>
                <w:rFonts w:hint="default" w:ascii="Times New Roman" w:hAnsi="Times New Roman" w:eastAsia="Segoe UI" w:cs="Times New Roman"/>
                <w:b w:val="0"/>
                <w:bCs w:val="0"/>
                <w:i w:val="0"/>
                <w:iCs w:val="0"/>
                <w:caps w:val="0"/>
                <w:color w:val="auto"/>
                <w:spacing w:val="0"/>
                <w:sz w:val="21"/>
                <w:szCs w:val="21"/>
                <w:shd w:val="clear" w:fill="FFFFFF"/>
              </w:rPr>
              <w:t xml:space="preserve">DC </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电源</w:t>
            </w:r>
            <w:r>
              <w:rPr>
                <w:rFonts w:hint="default" w:ascii="Times New Roman" w:hAnsi="Times New Roman" w:eastAsia="宋体" w:cs="Times New Roman"/>
                <w:b w:val="0"/>
                <w:bCs w:val="0"/>
                <w:i w:val="0"/>
                <w:iCs w:val="0"/>
                <w:caps w:val="0"/>
                <w:color w:val="auto"/>
                <w:spacing w:val="0"/>
                <w:sz w:val="21"/>
                <w:szCs w:val="21"/>
                <w:shd w:val="clear" w:fill="FFFFFF"/>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A</w:t>
            </w:r>
            <w:r>
              <w:rPr>
                <w:rStyle w:val="33"/>
                <w:rFonts w:hint="default" w:ascii="Times New Roman" w:hAnsi="Times New Roman" w:eastAsia="Segoe UI" w:cs="Times New Roman"/>
                <w:b w:val="0"/>
                <w:bCs w:val="0"/>
                <w:i w:val="0"/>
                <w:iCs w:val="0"/>
                <w:caps w:val="0"/>
                <w:color w:val="auto"/>
                <w:spacing w:val="0"/>
                <w:sz w:val="21"/>
                <w:szCs w:val="21"/>
                <w:shd w:val="clear" w:fill="FFFFFF"/>
              </w:rPr>
              <w:t>r⁺ 直接轰击 Nb 靶</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p>
          <w:p w14:paraId="24A2F2E3">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SiO靶材</w:t>
            </w:r>
            <w:r>
              <w:rPr>
                <w:rFonts w:hint="default" w:ascii="Times New Roman" w:hAnsi="Times New Roman" w:cs="Times New Roman"/>
                <w:b w:val="0"/>
                <w:bCs w:val="0"/>
                <w:i w:val="0"/>
                <w:iCs w:val="0"/>
                <w:color w:val="auto"/>
                <w:kern w:val="0"/>
                <w:sz w:val="21"/>
                <w:szCs w:val="21"/>
                <w:u w:val="none"/>
                <w:lang w:val="en-US" w:eastAsia="zh-CN" w:bidi="ar"/>
              </w:rPr>
              <w:t>：50-80</w:t>
            </w:r>
            <w:r>
              <w:rPr>
                <w:rFonts w:hint="eastAsia"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cs="Times New Roman"/>
                <w:b w:val="0"/>
                <w:bCs w:val="0"/>
                <w:i w:val="0"/>
                <w:iCs w:val="0"/>
                <w:color w:val="auto"/>
                <w:kern w:val="0"/>
                <w:sz w:val="21"/>
                <w:szCs w:val="21"/>
                <w:u w:val="none"/>
                <w:lang w:val="en-US" w:eastAsia="zh-CN" w:bidi="ar"/>
              </w:rPr>
              <w:t>，</w:t>
            </w:r>
            <w:r>
              <w:rPr>
                <w:rFonts w:hint="default" w:ascii="Times New Roman" w:hAnsi="Times New Roman" w:eastAsia="Segoe UI" w:cs="Times New Roman"/>
                <w:b w:val="0"/>
                <w:bCs w:val="0"/>
                <w:i w:val="0"/>
                <w:iCs w:val="0"/>
                <w:caps w:val="0"/>
                <w:color w:val="auto"/>
                <w:spacing w:val="0"/>
                <w:sz w:val="21"/>
                <w:szCs w:val="21"/>
                <w:shd w:val="clear" w:fill="FFFFFF"/>
              </w:rPr>
              <w:t>自然散热</w:t>
            </w:r>
            <w:r>
              <w:rPr>
                <w:rFonts w:hint="default" w:ascii="Times New Roman" w:hAnsi="Times New Roman" w:eastAsia="宋体" w:cs="Times New Roman"/>
                <w:b w:val="0"/>
                <w:bCs w:val="0"/>
                <w:i w:val="0"/>
                <w:iCs w:val="0"/>
                <w:caps w:val="0"/>
                <w:color w:val="auto"/>
                <w:spacing w:val="0"/>
                <w:sz w:val="21"/>
                <w:szCs w:val="21"/>
                <w:shd w:val="clear" w:fill="FFFFFF"/>
                <w:lang w:eastAsia="zh-CN"/>
              </w:rPr>
              <w:t>，</w:t>
            </w:r>
            <w:r>
              <w:rPr>
                <w:rFonts w:hint="default" w:ascii="Times New Roman" w:hAnsi="Times New Roman" w:eastAsia="Segoe UI" w:cs="Times New Roman"/>
                <w:b w:val="0"/>
                <w:bCs w:val="0"/>
                <w:i w:val="0"/>
                <w:iCs w:val="0"/>
                <w:caps w:val="0"/>
                <w:color w:val="auto"/>
                <w:spacing w:val="0"/>
                <w:sz w:val="21"/>
                <w:szCs w:val="21"/>
                <w:shd w:val="clear" w:fill="FFFFFF"/>
              </w:rPr>
              <w:t>RF</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电源</w:t>
            </w:r>
            <w:r>
              <w:rPr>
                <w:rFonts w:hint="default" w:ascii="Times New Roman" w:hAnsi="Times New Roman" w:eastAsia="宋体" w:cs="Times New Roman"/>
                <w:b w:val="0"/>
                <w:bCs w:val="0"/>
                <w:i w:val="0"/>
                <w:iCs w:val="0"/>
                <w:caps w:val="0"/>
                <w:color w:val="auto"/>
                <w:spacing w:val="0"/>
                <w:sz w:val="21"/>
                <w:szCs w:val="21"/>
                <w:shd w:val="clear" w:fill="FFFFFF"/>
                <w:lang w:eastAsia="zh-CN"/>
              </w:rPr>
              <w:t>，</w:t>
            </w:r>
            <w:r>
              <w:rPr>
                <w:rFonts w:hint="default" w:ascii="Times New Roman" w:hAnsi="Times New Roman" w:eastAsia="宋体" w:cs="Times New Roman"/>
                <w:b w:val="0"/>
                <w:bCs w:val="0"/>
                <w:i w:val="0"/>
                <w:iCs w:val="0"/>
                <w:caps w:val="0"/>
                <w:color w:val="auto"/>
                <w:spacing w:val="0"/>
                <w:sz w:val="21"/>
                <w:szCs w:val="21"/>
                <w:shd w:val="clear" w:fill="FFFFFF"/>
                <w:lang w:val="en-US" w:eastAsia="zh-CN"/>
              </w:rPr>
              <w:t>A</w:t>
            </w:r>
            <w:r>
              <w:rPr>
                <w:rStyle w:val="33"/>
                <w:rFonts w:hint="default" w:ascii="Times New Roman" w:hAnsi="Times New Roman" w:eastAsia="Segoe UI" w:cs="Times New Roman"/>
                <w:b w:val="0"/>
                <w:bCs w:val="0"/>
                <w:i w:val="0"/>
                <w:iCs w:val="0"/>
                <w:caps w:val="0"/>
                <w:color w:val="auto"/>
                <w:spacing w:val="0"/>
                <w:sz w:val="21"/>
                <w:szCs w:val="21"/>
                <w:shd w:val="clear" w:fill="FFFFFF"/>
              </w:rPr>
              <w:t>r⁺ 直接轰击 Nb 靶</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33"/>
                <w:rFonts w:hint="default" w:ascii="Times New Roman" w:hAnsi="Times New Roman" w:eastAsia="宋体" w:cs="Times New Roman"/>
                <w:b w:val="0"/>
                <w:bCs w:val="0"/>
                <w:i w:val="0"/>
                <w:iCs w:val="0"/>
                <w:caps w:val="0"/>
                <w:color w:val="auto"/>
                <w:spacing w:val="0"/>
                <w:sz w:val="21"/>
                <w:szCs w:val="21"/>
                <w:shd w:val="clear" w:fill="FFFFFF"/>
                <w:lang w:val="en-US" w:eastAsia="zh-CN"/>
              </w:rPr>
              <w:t>通入氧气，</w:t>
            </w:r>
            <w:r>
              <w:rPr>
                <w:rFonts w:hint="default" w:ascii="Times New Roman" w:hAnsi="Times New Roman" w:cs="Times New Roman"/>
                <w:b w:val="0"/>
                <w:bCs w:val="0"/>
                <w:color w:val="auto"/>
                <w:sz w:val="21"/>
                <w:szCs w:val="21"/>
                <w:lang w:val="en-US" w:eastAsia="zh-CN"/>
              </w:rPr>
              <w:t>使撞击出的一氧化硅氧化为二氧化硅，形成二氧化硅膜层</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p>
          <w:p w14:paraId="7EB209EA">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其中氧气及氢气不会同时通入。</w:t>
            </w:r>
            <w:r>
              <w:rPr>
                <w:rFonts w:hint="default" w:ascii="Times New Roman" w:hAnsi="Times New Roman" w:cs="Times New Roman"/>
                <w:b w:val="0"/>
                <w:bCs w:val="0"/>
                <w:color w:val="auto"/>
                <w:sz w:val="21"/>
                <w:szCs w:val="21"/>
                <w:lang w:val="en-US" w:eastAsia="zh-CN"/>
              </w:rPr>
              <w:t>完成镀膜后，开启腔体阀门吸入空气，使腔体内气压恢复正常，取出膜。</w:t>
            </w:r>
            <w:r>
              <w:rPr>
                <w:rFonts w:hint="default" w:ascii="Times New Roman" w:hAnsi="Times New Roman" w:cs="Times New Roman"/>
                <w:b w:val="0"/>
                <w:bCs w:val="0"/>
                <w:color w:val="auto"/>
                <w:sz w:val="21"/>
                <w:szCs w:val="21"/>
              </w:rPr>
              <w:t>此过程产生</w:t>
            </w:r>
            <w:r>
              <w:rPr>
                <w:rFonts w:hint="default" w:ascii="Times New Roman" w:hAnsi="Times New Roman" w:cs="Times New Roman"/>
                <w:b w:val="0"/>
                <w:bCs w:val="0"/>
                <w:color w:val="auto"/>
                <w:sz w:val="21"/>
                <w:szCs w:val="21"/>
                <w:lang w:val="en-US" w:eastAsia="zh-CN"/>
              </w:rPr>
              <w:t>废靶材S1</w:t>
            </w:r>
            <w:r>
              <w:rPr>
                <w:rFonts w:hint="default" w:ascii="Times New Roman" w:hAnsi="Times New Roman" w:cs="Times New Roman"/>
                <w:b w:val="0"/>
                <w:bCs w:val="0"/>
                <w:color w:val="auto"/>
                <w:sz w:val="21"/>
                <w:szCs w:val="21"/>
              </w:rPr>
              <w:t>。</w:t>
            </w:r>
          </w:p>
          <w:p w14:paraId="7CC658A3">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腔体内部完全密闭，密布磁场，不会产生颗粒物污染，由于溅射时不可避免会溅射到膜外，产生</w:t>
            </w:r>
            <w:r>
              <w:rPr>
                <w:rStyle w:val="33"/>
                <w:rFonts w:hint="default" w:ascii="Times New Roman" w:hAnsi="Times New Roman" w:eastAsia="Segoe UI" w:cs="Times New Roman"/>
                <w:b w:val="0"/>
                <w:bCs w:val="0"/>
                <w:i w:val="0"/>
                <w:iCs w:val="0"/>
                <w:caps w:val="0"/>
                <w:color w:val="auto"/>
                <w:spacing w:val="0"/>
                <w:sz w:val="21"/>
                <w:szCs w:val="21"/>
                <w:shd w:val="clear" w:fill="FFFFFF"/>
              </w:rPr>
              <w:t>内壁沉积</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33"/>
                <w:rFonts w:hint="default" w:ascii="Times New Roman" w:hAnsi="Times New Roman" w:eastAsia="宋体" w:cs="Times New Roman"/>
                <w:b w:val="0"/>
                <w:bCs w:val="0"/>
                <w:i w:val="0"/>
                <w:iCs w:val="0"/>
                <w:caps w:val="0"/>
                <w:color w:val="auto"/>
                <w:spacing w:val="0"/>
                <w:sz w:val="21"/>
                <w:szCs w:val="21"/>
                <w:shd w:val="clear" w:fill="FFFFFF"/>
                <w:lang w:val="en-US" w:eastAsia="zh-CN"/>
              </w:rPr>
              <w:t>磁控设备内部设置有防着板，溅射完成后取出防着板，用铲刀铲下固态金属。产生废金属S2。</w:t>
            </w:r>
          </w:p>
          <w:p w14:paraId="284B3B8B">
            <w:pPr>
              <w:keepNext w:val="0"/>
              <w:keepLines w:val="0"/>
              <w:pageBreakBefore w:val="0"/>
              <w:widowControl w:val="0"/>
              <w:kinsoku/>
              <w:wordWrap/>
              <w:overflowPunct/>
              <w:topLinePunct w:val="0"/>
              <w:autoSpaceDE/>
              <w:autoSpaceDN/>
              <w:bidi w:val="0"/>
              <w:adjustRightInd w:val="0"/>
              <w:snapToGrid w:val="0"/>
              <w:spacing w:line="360" w:lineRule="auto"/>
              <w:ind w:leftChars="0" w:firstLine="420" w:firstLineChars="200"/>
              <w:jc w:val="left"/>
              <w:textAlignment w:val="auto"/>
              <w:rPr>
                <w:rFonts w:hint="default" w:eastAsia="宋体"/>
                <w:color w:val="auto"/>
                <w:lang w:val="en-US" w:eastAsia="zh-CN"/>
              </w:rPr>
            </w:pPr>
            <w:r>
              <w:rPr>
                <w:rFonts w:hint="eastAsia"/>
                <w:color w:val="auto"/>
                <w:lang w:eastAsia="zh-CN"/>
              </w:rPr>
              <w:t>（</w:t>
            </w:r>
            <w:r>
              <w:rPr>
                <w:rFonts w:hint="eastAsia"/>
                <w:color w:val="auto"/>
                <w:lang w:val="en-US" w:eastAsia="zh-CN"/>
              </w:rPr>
              <w:t>4）收卷：将溅射完成的膜卷绕。</w:t>
            </w:r>
          </w:p>
          <w:p w14:paraId="7D2B12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textAlignment w:val="auto"/>
              <w:rPr>
                <w:rFonts w:hint="eastAsia"/>
                <w:color w:val="auto"/>
              </w:rPr>
            </w:pPr>
            <w:r>
              <w:rPr>
                <w:rFonts w:hint="eastAsia"/>
                <w:color w:val="auto"/>
                <w:lang w:val="en-US" w:eastAsia="zh-CN"/>
              </w:rPr>
              <w:t>（5）检验</w:t>
            </w:r>
            <w:r>
              <w:rPr>
                <w:rFonts w:hint="eastAsia"/>
                <w:color w:val="auto"/>
              </w:rPr>
              <w:t>：</w:t>
            </w:r>
            <w:r>
              <w:rPr>
                <w:rFonts w:hint="eastAsia"/>
                <w:color w:val="auto"/>
                <w:lang w:val="en-US" w:eastAsia="zh-CN"/>
              </w:rPr>
              <w:t>对成品膜进行透光率检测，产生不合格品S3</w:t>
            </w:r>
            <w:r>
              <w:rPr>
                <w:rFonts w:hint="eastAsia"/>
                <w:color w:val="auto"/>
              </w:rPr>
              <w:t>。</w:t>
            </w:r>
          </w:p>
          <w:p w14:paraId="3C040F75">
            <w:pPr>
              <w:keepNext w:val="0"/>
              <w:keepLines w:val="0"/>
              <w:pageBreakBefore w:val="0"/>
              <w:widowControl w:val="0"/>
              <w:kinsoku/>
              <w:wordWrap/>
              <w:overflowPunct/>
              <w:topLinePunct w:val="0"/>
              <w:autoSpaceDE/>
              <w:autoSpaceDN/>
              <w:bidi w:val="0"/>
              <w:adjustRightInd w:val="0"/>
              <w:snapToGrid w:val="0"/>
              <w:spacing w:line="360" w:lineRule="auto"/>
              <w:ind w:leftChars="0" w:firstLine="420" w:firstLineChars="200"/>
              <w:textAlignment w:val="auto"/>
              <w:rPr>
                <w:color w:val="auto"/>
              </w:rPr>
            </w:pPr>
            <w:r>
              <w:rPr>
                <w:rFonts w:hint="eastAsia"/>
                <w:color w:val="auto"/>
              </w:rPr>
              <w:t>（</w:t>
            </w:r>
            <w:r>
              <w:rPr>
                <w:rFonts w:hint="eastAsia"/>
                <w:color w:val="auto"/>
                <w:lang w:val="en-US" w:eastAsia="zh-CN"/>
              </w:rPr>
              <w:t>6</w:t>
            </w:r>
            <w:r>
              <w:rPr>
                <w:rFonts w:hint="eastAsia"/>
                <w:color w:val="auto"/>
              </w:rPr>
              <w:t>）</w:t>
            </w:r>
            <w:r>
              <w:rPr>
                <w:rFonts w:hint="eastAsia"/>
                <w:color w:val="auto"/>
                <w:lang w:val="en-US" w:eastAsia="zh-CN"/>
              </w:rPr>
              <w:t>成品</w:t>
            </w:r>
            <w:r>
              <w:rPr>
                <w:rFonts w:hint="eastAsia"/>
                <w:color w:val="auto"/>
              </w:rPr>
              <w:t>：</w:t>
            </w:r>
            <w:r>
              <w:rPr>
                <w:rFonts w:hint="eastAsia"/>
                <w:color w:val="auto"/>
                <w:lang w:val="en-US" w:eastAsia="zh-CN"/>
              </w:rPr>
              <w:t>加工检验完成的</w:t>
            </w:r>
            <w:r>
              <w:rPr>
                <w:color w:val="auto"/>
                <w:lang w:val="en-US" w:eastAsia="zh-CN"/>
              </w:rPr>
              <w:t>特种纳米新材料薄膜</w:t>
            </w:r>
            <w:r>
              <w:rPr>
                <w:rFonts w:hint="eastAsia"/>
                <w:color w:val="auto"/>
                <w:lang w:val="en-US" w:eastAsia="zh-CN"/>
              </w:rPr>
              <w:t>包装入库</w:t>
            </w:r>
            <w:r>
              <w:rPr>
                <w:rFonts w:hint="eastAsia"/>
                <w:color w:val="auto"/>
                <w:spacing w:val="2"/>
              </w:rPr>
              <w:t>。</w:t>
            </w:r>
          </w:p>
          <w:bookmarkEnd w:id="9"/>
          <w:p w14:paraId="3E25F5D6">
            <w:pPr>
              <w:keepNext w:val="0"/>
              <w:keepLines w:val="0"/>
              <w:pageBreakBefore w:val="0"/>
              <w:widowControl w:val="0"/>
              <w:kinsoku/>
              <w:wordWrap/>
              <w:overflowPunct/>
              <w:topLinePunct w:val="0"/>
              <w:autoSpaceDE/>
              <w:autoSpaceDN/>
              <w:bidi w:val="0"/>
              <w:adjustRightInd w:val="0"/>
              <w:snapToGrid w:val="0"/>
              <w:spacing w:line="360" w:lineRule="auto"/>
              <w:ind w:leftChars="0" w:firstLine="420" w:firstLineChars="200"/>
              <w:textAlignment w:val="auto"/>
              <w:rPr>
                <w:color w:val="auto"/>
              </w:rPr>
            </w:pPr>
            <w:r>
              <w:rPr>
                <w:rFonts w:hint="eastAsia"/>
                <w:color w:val="auto"/>
                <w:lang w:val="en-US" w:eastAsia="zh-CN"/>
              </w:rPr>
              <w:t>本</w:t>
            </w:r>
            <w:r>
              <w:rPr>
                <w:color w:val="auto"/>
              </w:rPr>
              <w:t>项目新增污染物产生环节汇总情况见表2-</w:t>
            </w:r>
            <w:r>
              <w:rPr>
                <w:rFonts w:hint="eastAsia"/>
                <w:color w:val="auto"/>
                <w:lang w:val="en-US" w:eastAsia="zh-CN"/>
              </w:rPr>
              <w:t>6</w:t>
            </w:r>
            <w:r>
              <w:rPr>
                <w:color w:val="auto"/>
              </w:rPr>
              <w:t>。</w:t>
            </w:r>
          </w:p>
          <w:p w14:paraId="5154ED08">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w:t>
            </w:r>
            <w:r>
              <w:rPr>
                <w:rFonts w:hint="eastAsia" w:cs="Times New Roman"/>
                <w:b/>
                <w:color w:val="auto"/>
                <w:sz w:val="21"/>
                <w:szCs w:val="21"/>
                <w:highlight w:val="none"/>
                <w:lang w:val="en-US" w:eastAsia="zh-CN"/>
              </w:rPr>
              <w:t>6</w:t>
            </w:r>
            <w:r>
              <w:rPr>
                <w:rFonts w:hint="eastAsia"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rPr>
              <w:t>项目产污节点一览表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829"/>
              <w:gridCol w:w="1636"/>
              <w:gridCol w:w="1142"/>
              <w:gridCol w:w="2246"/>
              <w:gridCol w:w="1510"/>
            </w:tblGrid>
            <w:tr w14:paraId="24C79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tcBorders>
                    <w:tl2br w:val="nil"/>
                    <w:tr2bl w:val="nil"/>
                  </w:tcBorders>
                  <w:shd w:val="clear" w:color="auto" w:fill="D7D7D7" w:themeFill="background1" w:themeFillShade="D8"/>
                  <w:tcMar>
                    <w:left w:w="28" w:type="dxa"/>
                    <w:right w:w="28" w:type="dxa"/>
                  </w:tcMar>
                  <w:vAlign w:val="center"/>
                </w:tcPr>
                <w:p w14:paraId="42162106">
                  <w:pPr>
                    <w:pStyle w:val="75"/>
                    <w:rPr>
                      <w:b/>
                      <w:color w:val="auto"/>
                      <w:sz w:val="18"/>
                      <w:szCs w:val="18"/>
                    </w:rPr>
                  </w:pPr>
                  <w:r>
                    <w:rPr>
                      <w:b/>
                      <w:color w:val="auto"/>
                      <w:sz w:val="18"/>
                      <w:szCs w:val="18"/>
                    </w:rPr>
                    <w:t>污染因素</w:t>
                  </w:r>
                </w:p>
              </w:tc>
              <w:tc>
                <w:tcPr>
                  <w:tcW w:w="829" w:type="dxa"/>
                  <w:tcBorders>
                    <w:tl2br w:val="nil"/>
                    <w:tr2bl w:val="nil"/>
                  </w:tcBorders>
                  <w:shd w:val="clear" w:color="auto" w:fill="D7D7D7" w:themeFill="background1" w:themeFillShade="D8"/>
                  <w:tcMar>
                    <w:left w:w="28" w:type="dxa"/>
                    <w:right w:w="28" w:type="dxa"/>
                  </w:tcMar>
                  <w:vAlign w:val="center"/>
                </w:tcPr>
                <w:p w14:paraId="65FDCA34">
                  <w:pPr>
                    <w:pStyle w:val="75"/>
                    <w:rPr>
                      <w:b/>
                      <w:color w:val="auto"/>
                      <w:sz w:val="18"/>
                      <w:szCs w:val="18"/>
                    </w:rPr>
                  </w:pPr>
                  <w:r>
                    <w:rPr>
                      <w:b/>
                      <w:color w:val="auto"/>
                      <w:sz w:val="18"/>
                      <w:szCs w:val="18"/>
                    </w:rPr>
                    <w:t>编号</w:t>
                  </w:r>
                </w:p>
              </w:tc>
              <w:tc>
                <w:tcPr>
                  <w:tcW w:w="1636" w:type="dxa"/>
                  <w:tcBorders>
                    <w:tl2br w:val="nil"/>
                    <w:tr2bl w:val="nil"/>
                  </w:tcBorders>
                  <w:shd w:val="clear" w:color="auto" w:fill="D7D7D7" w:themeFill="background1" w:themeFillShade="D8"/>
                  <w:tcMar>
                    <w:left w:w="28" w:type="dxa"/>
                    <w:right w:w="28" w:type="dxa"/>
                  </w:tcMar>
                  <w:vAlign w:val="center"/>
                </w:tcPr>
                <w:p w14:paraId="544323BA">
                  <w:pPr>
                    <w:pStyle w:val="75"/>
                    <w:rPr>
                      <w:b/>
                      <w:color w:val="auto"/>
                      <w:sz w:val="18"/>
                      <w:szCs w:val="18"/>
                    </w:rPr>
                  </w:pPr>
                  <w:r>
                    <w:rPr>
                      <w:b/>
                      <w:color w:val="auto"/>
                      <w:sz w:val="18"/>
                      <w:szCs w:val="18"/>
                    </w:rPr>
                    <w:t>名称</w:t>
                  </w:r>
                </w:p>
              </w:tc>
              <w:tc>
                <w:tcPr>
                  <w:tcW w:w="1142" w:type="dxa"/>
                  <w:tcBorders>
                    <w:tl2br w:val="nil"/>
                    <w:tr2bl w:val="nil"/>
                  </w:tcBorders>
                  <w:shd w:val="clear" w:color="auto" w:fill="D7D7D7" w:themeFill="background1" w:themeFillShade="D8"/>
                  <w:tcMar>
                    <w:left w:w="28" w:type="dxa"/>
                    <w:right w:w="28" w:type="dxa"/>
                  </w:tcMar>
                  <w:vAlign w:val="center"/>
                </w:tcPr>
                <w:p w14:paraId="2EBE738F">
                  <w:pPr>
                    <w:pStyle w:val="75"/>
                    <w:rPr>
                      <w:b/>
                      <w:color w:val="auto"/>
                      <w:sz w:val="18"/>
                      <w:szCs w:val="18"/>
                    </w:rPr>
                  </w:pPr>
                  <w:r>
                    <w:rPr>
                      <w:b/>
                      <w:color w:val="auto"/>
                      <w:sz w:val="18"/>
                      <w:szCs w:val="18"/>
                    </w:rPr>
                    <w:t>产污环节</w:t>
                  </w:r>
                </w:p>
              </w:tc>
              <w:tc>
                <w:tcPr>
                  <w:tcW w:w="2246" w:type="dxa"/>
                  <w:tcBorders>
                    <w:tl2br w:val="nil"/>
                    <w:tr2bl w:val="nil"/>
                  </w:tcBorders>
                  <w:shd w:val="clear" w:color="auto" w:fill="D7D7D7" w:themeFill="background1" w:themeFillShade="D8"/>
                  <w:vAlign w:val="center"/>
                </w:tcPr>
                <w:p w14:paraId="5B63F862">
                  <w:pPr>
                    <w:pStyle w:val="75"/>
                    <w:rPr>
                      <w:b/>
                      <w:color w:val="auto"/>
                      <w:sz w:val="18"/>
                      <w:szCs w:val="18"/>
                    </w:rPr>
                  </w:pPr>
                  <w:r>
                    <w:rPr>
                      <w:b/>
                      <w:color w:val="auto"/>
                      <w:sz w:val="18"/>
                      <w:szCs w:val="18"/>
                    </w:rPr>
                    <w:t>排放特性/性质</w:t>
                  </w:r>
                </w:p>
              </w:tc>
              <w:tc>
                <w:tcPr>
                  <w:tcW w:w="1510" w:type="dxa"/>
                  <w:tcBorders>
                    <w:tl2br w:val="nil"/>
                    <w:tr2bl w:val="nil"/>
                  </w:tcBorders>
                  <w:shd w:val="clear" w:color="auto" w:fill="D7D7D7" w:themeFill="background1" w:themeFillShade="D8"/>
                  <w:tcMar>
                    <w:left w:w="28" w:type="dxa"/>
                    <w:right w:w="28" w:type="dxa"/>
                  </w:tcMar>
                  <w:vAlign w:val="center"/>
                </w:tcPr>
                <w:p w14:paraId="253CB3BA">
                  <w:pPr>
                    <w:pStyle w:val="75"/>
                    <w:rPr>
                      <w:b/>
                      <w:color w:val="auto"/>
                      <w:sz w:val="18"/>
                      <w:szCs w:val="18"/>
                    </w:rPr>
                  </w:pPr>
                  <w:r>
                    <w:rPr>
                      <w:b/>
                      <w:color w:val="auto"/>
                      <w:sz w:val="18"/>
                      <w:szCs w:val="18"/>
                    </w:rPr>
                    <w:t>污染因子</w:t>
                  </w:r>
                </w:p>
              </w:tc>
            </w:tr>
            <w:tr w14:paraId="71D43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vMerge w:val="restart"/>
                  <w:tcBorders>
                    <w:tl2br w:val="nil"/>
                    <w:tr2bl w:val="nil"/>
                  </w:tcBorders>
                  <w:tcMar>
                    <w:left w:w="28" w:type="dxa"/>
                    <w:right w:w="28" w:type="dxa"/>
                  </w:tcMar>
                  <w:vAlign w:val="center"/>
                </w:tcPr>
                <w:p w14:paraId="3B1EF617">
                  <w:pPr>
                    <w:pStyle w:val="75"/>
                    <w:rPr>
                      <w:color w:val="auto"/>
                      <w:sz w:val="18"/>
                      <w:szCs w:val="18"/>
                    </w:rPr>
                  </w:pPr>
                  <w:r>
                    <w:rPr>
                      <w:color w:val="auto"/>
                      <w:sz w:val="18"/>
                      <w:szCs w:val="18"/>
                    </w:rPr>
                    <w:t>固废</w:t>
                  </w:r>
                </w:p>
              </w:tc>
              <w:tc>
                <w:tcPr>
                  <w:tcW w:w="829" w:type="dxa"/>
                  <w:tcBorders>
                    <w:tl2br w:val="nil"/>
                    <w:tr2bl w:val="nil"/>
                  </w:tcBorders>
                  <w:tcMar>
                    <w:left w:w="28" w:type="dxa"/>
                    <w:right w:w="28" w:type="dxa"/>
                  </w:tcMar>
                  <w:vAlign w:val="center"/>
                </w:tcPr>
                <w:p w14:paraId="2DD3966A">
                  <w:pPr>
                    <w:pStyle w:val="75"/>
                    <w:rPr>
                      <w:color w:val="auto"/>
                      <w:sz w:val="18"/>
                      <w:szCs w:val="18"/>
                    </w:rPr>
                  </w:pPr>
                  <w:r>
                    <w:rPr>
                      <w:color w:val="auto"/>
                      <w:sz w:val="18"/>
                      <w:szCs w:val="18"/>
                    </w:rPr>
                    <w:t>S1</w:t>
                  </w:r>
                </w:p>
              </w:tc>
              <w:tc>
                <w:tcPr>
                  <w:tcW w:w="1636" w:type="dxa"/>
                  <w:tcBorders>
                    <w:tl2br w:val="nil"/>
                    <w:tr2bl w:val="nil"/>
                  </w:tcBorders>
                  <w:tcMar>
                    <w:left w:w="28" w:type="dxa"/>
                    <w:right w:w="28" w:type="dxa"/>
                  </w:tcMar>
                  <w:vAlign w:val="center"/>
                </w:tcPr>
                <w:p w14:paraId="293E33FB">
                  <w:pPr>
                    <w:pStyle w:val="75"/>
                    <w:ind w:firstLine="0" w:firstLineChars="0"/>
                    <w:rPr>
                      <w:color w:val="auto"/>
                      <w:sz w:val="18"/>
                      <w:szCs w:val="18"/>
                    </w:rPr>
                  </w:pPr>
                  <w:r>
                    <w:rPr>
                      <w:rFonts w:hint="eastAsia"/>
                      <w:color w:val="auto"/>
                      <w:sz w:val="18"/>
                      <w:szCs w:val="18"/>
                    </w:rPr>
                    <w:t>废</w:t>
                  </w:r>
                  <w:r>
                    <w:rPr>
                      <w:rFonts w:hint="eastAsia"/>
                      <w:color w:val="auto"/>
                      <w:sz w:val="18"/>
                      <w:szCs w:val="18"/>
                      <w:lang w:val="en-US" w:eastAsia="zh-CN"/>
                    </w:rPr>
                    <w:t>靶材</w:t>
                  </w:r>
                </w:p>
              </w:tc>
              <w:tc>
                <w:tcPr>
                  <w:tcW w:w="1142" w:type="dxa"/>
                  <w:tcBorders>
                    <w:tl2br w:val="nil"/>
                    <w:tr2bl w:val="nil"/>
                  </w:tcBorders>
                  <w:tcMar>
                    <w:left w:w="28" w:type="dxa"/>
                    <w:right w:w="28" w:type="dxa"/>
                  </w:tcMar>
                  <w:vAlign w:val="center"/>
                </w:tcPr>
                <w:p w14:paraId="525CE4FF">
                  <w:pPr>
                    <w:pStyle w:val="75"/>
                    <w:ind w:firstLine="0" w:firstLineChars="0"/>
                    <w:rPr>
                      <w:rFonts w:hint="default" w:eastAsia="宋体"/>
                      <w:color w:val="auto"/>
                      <w:sz w:val="18"/>
                      <w:szCs w:val="18"/>
                      <w:lang w:val="en-US" w:eastAsia="zh-CN"/>
                    </w:rPr>
                  </w:pPr>
                  <w:r>
                    <w:rPr>
                      <w:rFonts w:hint="eastAsia"/>
                      <w:color w:val="auto"/>
                      <w:sz w:val="18"/>
                      <w:szCs w:val="18"/>
                      <w:lang w:val="en-US" w:eastAsia="zh-CN"/>
                    </w:rPr>
                    <w:t>溅射镀膜</w:t>
                  </w:r>
                </w:p>
              </w:tc>
              <w:tc>
                <w:tcPr>
                  <w:tcW w:w="2246" w:type="dxa"/>
                  <w:tcBorders>
                    <w:tl2br w:val="nil"/>
                    <w:tr2bl w:val="nil"/>
                  </w:tcBorders>
                  <w:vAlign w:val="center"/>
                </w:tcPr>
                <w:p w14:paraId="3C1CB437">
                  <w:pPr>
                    <w:pStyle w:val="75"/>
                    <w:rPr>
                      <w:color w:val="auto"/>
                      <w:sz w:val="18"/>
                      <w:szCs w:val="18"/>
                    </w:rPr>
                  </w:pPr>
                  <w:r>
                    <w:rPr>
                      <w:rFonts w:hint="eastAsia"/>
                      <w:color w:val="auto"/>
                      <w:sz w:val="18"/>
                      <w:szCs w:val="18"/>
                    </w:rPr>
                    <w:t>外售处理</w:t>
                  </w:r>
                </w:p>
              </w:tc>
              <w:tc>
                <w:tcPr>
                  <w:tcW w:w="1510" w:type="dxa"/>
                  <w:tcBorders>
                    <w:tl2br w:val="nil"/>
                    <w:tr2bl w:val="nil"/>
                  </w:tcBorders>
                  <w:tcMar>
                    <w:left w:w="28" w:type="dxa"/>
                    <w:right w:w="28" w:type="dxa"/>
                  </w:tcMar>
                  <w:vAlign w:val="center"/>
                </w:tcPr>
                <w:p w14:paraId="6CFE461A">
                  <w:pPr>
                    <w:pStyle w:val="75"/>
                    <w:ind w:firstLine="0" w:firstLineChars="0"/>
                    <w:rPr>
                      <w:rFonts w:hint="default" w:eastAsia="宋体"/>
                      <w:color w:val="auto"/>
                      <w:sz w:val="18"/>
                      <w:szCs w:val="18"/>
                      <w:lang w:val="en-US" w:eastAsia="zh-CN"/>
                    </w:rPr>
                  </w:pPr>
                  <w:r>
                    <w:rPr>
                      <w:rFonts w:hint="eastAsia"/>
                      <w:color w:val="auto"/>
                      <w:sz w:val="18"/>
                      <w:szCs w:val="18"/>
                      <w:lang w:val="en-US" w:eastAsia="zh-CN"/>
                    </w:rPr>
                    <w:t>镍、铬等金属</w:t>
                  </w:r>
                </w:p>
              </w:tc>
            </w:tr>
            <w:tr w14:paraId="09DC4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vMerge w:val="continue"/>
                  <w:tcBorders>
                    <w:tl2br w:val="nil"/>
                    <w:tr2bl w:val="nil"/>
                  </w:tcBorders>
                  <w:tcMar>
                    <w:left w:w="28" w:type="dxa"/>
                    <w:right w:w="28" w:type="dxa"/>
                  </w:tcMar>
                  <w:vAlign w:val="center"/>
                </w:tcPr>
                <w:p w14:paraId="6C5A6735">
                  <w:pPr>
                    <w:pStyle w:val="75"/>
                    <w:rPr>
                      <w:color w:val="auto"/>
                      <w:sz w:val="18"/>
                      <w:szCs w:val="18"/>
                    </w:rPr>
                  </w:pPr>
                </w:p>
              </w:tc>
              <w:tc>
                <w:tcPr>
                  <w:tcW w:w="829" w:type="dxa"/>
                  <w:tcBorders>
                    <w:tl2br w:val="nil"/>
                    <w:tr2bl w:val="nil"/>
                  </w:tcBorders>
                  <w:tcMar>
                    <w:left w:w="28" w:type="dxa"/>
                    <w:right w:w="28" w:type="dxa"/>
                  </w:tcMar>
                  <w:vAlign w:val="center"/>
                </w:tcPr>
                <w:p w14:paraId="45351509">
                  <w:pPr>
                    <w:pStyle w:val="75"/>
                    <w:rPr>
                      <w:rFonts w:hint="default" w:eastAsia="宋体"/>
                      <w:color w:val="auto"/>
                      <w:sz w:val="18"/>
                      <w:szCs w:val="18"/>
                      <w:lang w:val="en-US" w:eastAsia="zh-CN"/>
                    </w:rPr>
                  </w:pPr>
                  <w:r>
                    <w:rPr>
                      <w:rFonts w:hint="eastAsia"/>
                      <w:color w:val="auto"/>
                      <w:sz w:val="18"/>
                      <w:szCs w:val="18"/>
                      <w:lang w:val="en-US" w:eastAsia="zh-CN"/>
                    </w:rPr>
                    <w:t>S2</w:t>
                  </w:r>
                </w:p>
              </w:tc>
              <w:tc>
                <w:tcPr>
                  <w:tcW w:w="1636" w:type="dxa"/>
                  <w:tcBorders>
                    <w:tl2br w:val="nil"/>
                    <w:tr2bl w:val="nil"/>
                  </w:tcBorders>
                  <w:tcMar>
                    <w:left w:w="28" w:type="dxa"/>
                    <w:right w:w="28" w:type="dxa"/>
                  </w:tcMar>
                  <w:vAlign w:val="center"/>
                </w:tcPr>
                <w:p w14:paraId="008AE9D6">
                  <w:pPr>
                    <w:pStyle w:val="75"/>
                    <w:rPr>
                      <w:rFonts w:hint="default"/>
                      <w:color w:val="auto"/>
                      <w:sz w:val="18"/>
                      <w:szCs w:val="18"/>
                      <w:lang w:val="en-US" w:eastAsia="zh-CN"/>
                    </w:rPr>
                  </w:pPr>
                  <w:r>
                    <w:rPr>
                      <w:rFonts w:hint="eastAsia"/>
                      <w:color w:val="auto"/>
                      <w:sz w:val="18"/>
                      <w:szCs w:val="18"/>
                      <w:lang w:val="en-US" w:eastAsia="zh-CN"/>
                    </w:rPr>
                    <w:t>废金属</w:t>
                  </w:r>
                </w:p>
              </w:tc>
              <w:tc>
                <w:tcPr>
                  <w:tcW w:w="1142" w:type="dxa"/>
                  <w:tcBorders>
                    <w:tl2br w:val="nil"/>
                    <w:tr2bl w:val="nil"/>
                  </w:tcBorders>
                  <w:tcMar>
                    <w:left w:w="28" w:type="dxa"/>
                    <w:right w:w="28" w:type="dxa"/>
                  </w:tcMar>
                  <w:vAlign w:val="center"/>
                </w:tcPr>
                <w:p w14:paraId="2DBD0232">
                  <w:pPr>
                    <w:pStyle w:val="75"/>
                    <w:rPr>
                      <w:rFonts w:hint="default"/>
                      <w:color w:val="auto"/>
                      <w:sz w:val="18"/>
                      <w:szCs w:val="18"/>
                      <w:lang w:val="en-US" w:eastAsia="zh-CN"/>
                    </w:rPr>
                  </w:pPr>
                  <w:r>
                    <w:rPr>
                      <w:rFonts w:hint="default"/>
                      <w:color w:val="auto"/>
                      <w:sz w:val="18"/>
                      <w:szCs w:val="18"/>
                      <w:lang w:val="en-US" w:eastAsia="zh-CN"/>
                    </w:rPr>
                    <w:t>防着板</w:t>
                  </w:r>
                  <w:r>
                    <w:rPr>
                      <w:rFonts w:hint="eastAsia"/>
                      <w:color w:val="auto"/>
                      <w:sz w:val="18"/>
                      <w:szCs w:val="18"/>
                      <w:lang w:val="en-US" w:eastAsia="zh-CN"/>
                    </w:rPr>
                    <w:t>清理</w:t>
                  </w:r>
                </w:p>
              </w:tc>
              <w:tc>
                <w:tcPr>
                  <w:tcW w:w="2246" w:type="dxa"/>
                  <w:tcBorders>
                    <w:tl2br w:val="nil"/>
                    <w:tr2bl w:val="nil"/>
                  </w:tcBorders>
                  <w:vAlign w:val="center"/>
                </w:tcPr>
                <w:p w14:paraId="000AEBFF">
                  <w:pPr>
                    <w:pStyle w:val="75"/>
                    <w:rPr>
                      <w:rFonts w:hint="eastAsia"/>
                      <w:color w:val="auto"/>
                      <w:sz w:val="18"/>
                      <w:szCs w:val="18"/>
                    </w:rPr>
                  </w:pPr>
                  <w:r>
                    <w:rPr>
                      <w:rFonts w:hint="eastAsia"/>
                      <w:color w:val="auto"/>
                      <w:sz w:val="18"/>
                      <w:szCs w:val="18"/>
                    </w:rPr>
                    <w:t>外售处理</w:t>
                  </w:r>
                </w:p>
              </w:tc>
              <w:tc>
                <w:tcPr>
                  <w:tcW w:w="1510" w:type="dxa"/>
                  <w:tcBorders>
                    <w:tl2br w:val="nil"/>
                    <w:tr2bl w:val="nil"/>
                  </w:tcBorders>
                  <w:tcMar>
                    <w:left w:w="28" w:type="dxa"/>
                    <w:right w:w="28" w:type="dxa"/>
                  </w:tcMar>
                  <w:vAlign w:val="center"/>
                </w:tcPr>
                <w:p w14:paraId="40DCD419">
                  <w:pPr>
                    <w:pStyle w:val="75"/>
                    <w:ind w:firstLine="0" w:firstLineChars="0"/>
                    <w:rPr>
                      <w:rFonts w:hint="default"/>
                      <w:color w:val="auto"/>
                      <w:sz w:val="18"/>
                      <w:szCs w:val="18"/>
                      <w:lang w:val="en-US"/>
                    </w:rPr>
                  </w:pPr>
                  <w:r>
                    <w:rPr>
                      <w:rFonts w:hint="eastAsia"/>
                      <w:color w:val="auto"/>
                      <w:sz w:val="18"/>
                      <w:szCs w:val="18"/>
                      <w:lang w:val="en-US" w:eastAsia="zh-CN"/>
                    </w:rPr>
                    <w:t>镍、铬等金属</w:t>
                  </w:r>
                </w:p>
              </w:tc>
            </w:tr>
            <w:tr w14:paraId="246D5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vMerge w:val="continue"/>
                  <w:tcBorders>
                    <w:tl2br w:val="nil"/>
                    <w:tr2bl w:val="nil"/>
                  </w:tcBorders>
                  <w:tcMar>
                    <w:left w:w="28" w:type="dxa"/>
                    <w:right w:w="28" w:type="dxa"/>
                  </w:tcMar>
                  <w:vAlign w:val="center"/>
                </w:tcPr>
                <w:p w14:paraId="472C8423">
                  <w:pPr>
                    <w:pStyle w:val="75"/>
                    <w:rPr>
                      <w:color w:val="auto"/>
                      <w:sz w:val="18"/>
                      <w:szCs w:val="18"/>
                    </w:rPr>
                  </w:pPr>
                </w:p>
              </w:tc>
              <w:tc>
                <w:tcPr>
                  <w:tcW w:w="829" w:type="dxa"/>
                  <w:tcBorders>
                    <w:tl2br w:val="nil"/>
                    <w:tr2bl w:val="nil"/>
                  </w:tcBorders>
                  <w:tcMar>
                    <w:left w:w="28" w:type="dxa"/>
                    <w:right w:w="28" w:type="dxa"/>
                  </w:tcMar>
                  <w:vAlign w:val="center"/>
                </w:tcPr>
                <w:p w14:paraId="436BC9E0">
                  <w:pPr>
                    <w:pStyle w:val="75"/>
                    <w:rPr>
                      <w:rFonts w:hint="eastAsia" w:eastAsia="宋体"/>
                      <w:color w:val="auto"/>
                      <w:sz w:val="18"/>
                      <w:szCs w:val="18"/>
                      <w:lang w:eastAsia="zh-CN"/>
                    </w:rPr>
                  </w:pPr>
                  <w:r>
                    <w:rPr>
                      <w:color w:val="auto"/>
                      <w:sz w:val="18"/>
                      <w:szCs w:val="18"/>
                    </w:rPr>
                    <w:t>S</w:t>
                  </w:r>
                  <w:r>
                    <w:rPr>
                      <w:rFonts w:hint="eastAsia"/>
                      <w:color w:val="auto"/>
                      <w:sz w:val="18"/>
                      <w:szCs w:val="18"/>
                      <w:lang w:val="en-US" w:eastAsia="zh-CN"/>
                    </w:rPr>
                    <w:t>3</w:t>
                  </w:r>
                </w:p>
              </w:tc>
              <w:tc>
                <w:tcPr>
                  <w:tcW w:w="1636" w:type="dxa"/>
                  <w:tcBorders>
                    <w:tl2br w:val="nil"/>
                    <w:tr2bl w:val="nil"/>
                  </w:tcBorders>
                  <w:tcMar>
                    <w:left w:w="28" w:type="dxa"/>
                    <w:right w:w="28" w:type="dxa"/>
                  </w:tcMar>
                  <w:vAlign w:val="center"/>
                </w:tcPr>
                <w:p w14:paraId="0AF7C11A">
                  <w:pPr>
                    <w:pStyle w:val="75"/>
                    <w:ind w:firstLine="0" w:firstLineChars="0"/>
                    <w:rPr>
                      <w:rFonts w:hint="eastAsia" w:eastAsia="宋体"/>
                      <w:color w:val="auto"/>
                      <w:sz w:val="18"/>
                      <w:szCs w:val="18"/>
                      <w:lang w:eastAsia="zh-CN"/>
                    </w:rPr>
                  </w:pPr>
                  <w:r>
                    <w:rPr>
                      <w:rFonts w:hint="eastAsia"/>
                      <w:color w:val="auto"/>
                      <w:sz w:val="18"/>
                      <w:szCs w:val="18"/>
                    </w:rPr>
                    <w:t>不合格品</w:t>
                  </w:r>
                </w:p>
              </w:tc>
              <w:tc>
                <w:tcPr>
                  <w:tcW w:w="1142" w:type="dxa"/>
                  <w:tcBorders>
                    <w:tl2br w:val="nil"/>
                    <w:tr2bl w:val="nil"/>
                  </w:tcBorders>
                  <w:tcMar>
                    <w:left w:w="28" w:type="dxa"/>
                    <w:right w:w="28" w:type="dxa"/>
                  </w:tcMar>
                  <w:vAlign w:val="center"/>
                </w:tcPr>
                <w:p w14:paraId="1B2DC19D">
                  <w:pPr>
                    <w:pStyle w:val="75"/>
                    <w:ind w:firstLine="0" w:firstLineChars="0"/>
                    <w:rPr>
                      <w:rFonts w:hint="default" w:eastAsia="宋体"/>
                      <w:color w:val="auto"/>
                      <w:sz w:val="18"/>
                      <w:szCs w:val="18"/>
                      <w:lang w:val="en-US" w:eastAsia="zh-CN"/>
                    </w:rPr>
                  </w:pPr>
                  <w:r>
                    <w:rPr>
                      <w:rFonts w:hint="eastAsia"/>
                      <w:color w:val="auto"/>
                      <w:sz w:val="18"/>
                      <w:szCs w:val="18"/>
                      <w:lang w:val="en-US" w:eastAsia="zh-CN"/>
                    </w:rPr>
                    <w:t>检验</w:t>
                  </w:r>
                </w:p>
              </w:tc>
              <w:tc>
                <w:tcPr>
                  <w:tcW w:w="2246" w:type="dxa"/>
                  <w:tcBorders>
                    <w:tl2br w:val="nil"/>
                    <w:tr2bl w:val="nil"/>
                  </w:tcBorders>
                  <w:vAlign w:val="center"/>
                </w:tcPr>
                <w:p w14:paraId="7CA76835">
                  <w:pPr>
                    <w:pStyle w:val="75"/>
                    <w:rPr>
                      <w:color w:val="auto"/>
                      <w:sz w:val="18"/>
                      <w:szCs w:val="18"/>
                    </w:rPr>
                  </w:pPr>
                  <w:r>
                    <w:rPr>
                      <w:rFonts w:hint="eastAsia"/>
                      <w:color w:val="auto"/>
                      <w:sz w:val="18"/>
                      <w:szCs w:val="18"/>
                    </w:rPr>
                    <w:t>外售处理</w:t>
                  </w:r>
                </w:p>
              </w:tc>
              <w:tc>
                <w:tcPr>
                  <w:tcW w:w="1510" w:type="dxa"/>
                  <w:tcBorders>
                    <w:tl2br w:val="nil"/>
                    <w:tr2bl w:val="nil"/>
                  </w:tcBorders>
                  <w:tcMar>
                    <w:left w:w="28" w:type="dxa"/>
                    <w:right w:w="28" w:type="dxa"/>
                  </w:tcMar>
                  <w:vAlign w:val="center"/>
                </w:tcPr>
                <w:p w14:paraId="61D53A4D">
                  <w:pPr>
                    <w:pStyle w:val="75"/>
                    <w:ind w:firstLine="0" w:firstLineChars="0"/>
                    <w:rPr>
                      <w:rFonts w:hint="default" w:eastAsia="宋体"/>
                      <w:color w:val="auto"/>
                      <w:sz w:val="18"/>
                      <w:szCs w:val="18"/>
                      <w:lang w:val="en-US" w:eastAsia="zh-CN"/>
                    </w:rPr>
                  </w:pPr>
                  <w:r>
                    <w:rPr>
                      <w:rFonts w:hint="eastAsia"/>
                      <w:color w:val="auto"/>
                      <w:sz w:val="18"/>
                      <w:szCs w:val="18"/>
                    </w:rPr>
                    <w:t>废产品</w:t>
                  </w:r>
                </w:p>
              </w:tc>
            </w:tr>
            <w:tr w14:paraId="27A9A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010" w:type="dxa"/>
                  <w:vMerge w:val="continue"/>
                  <w:tcBorders>
                    <w:tl2br w:val="nil"/>
                    <w:tr2bl w:val="nil"/>
                  </w:tcBorders>
                  <w:tcMar>
                    <w:left w:w="28" w:type="dxa"/>
                    <w:right w:w="28" w:type="dxa"/>
                  </w:tcMar>
                  <w:vAlign w:val="center"/>
                </w:tcPr>
                <w:p w14:paraId="2B4D4C99">
                  <w:pPr>
                    <w:pStyle w:val="75"/>
                    <w:rPr>
                      <w:color w:val="auto"/>
                      <w:sz w:val="18"/>
                      <w:szCs w:val="18"/>
                    </w:rPr>
                  </w:pPr>
                </w:p>
              </w:tc>
              <w:tc>
                <w:tcPr>
                  <w:tcW w:w="829" w:type="dxa"/>
                  <w:tcBorders>
                    <w:tl2br w:val="nil"/>
                    <w:tr2bl w:val="nil"/>
                  </w:tcBorders>
                  <w:tcMar>
                    <w:left w:w="28" w:type="dxa"/>
                    <w:right w:w="28" w:type="dxa"/>
                  </w:tcMar>
                  <w:vAlign w:val="center"/>
                </w:tcPr>
                <w:p w14:paraId="20ADFDA0">
                  <w:pPr>
                    <w:pStyle w:val="75"/>
                    <w:rPr>
                      <w:rFonts w:hint="eastAsia" w:eastAsia="宋体"/>
                      <w:color w:val="auto"/>
                      <w:sz w:val="18"/>
                      <w:szCs w:val="18"/>
                      <w:lang w:eastAsia="zh-CN"/>
                    </w:rPr>
                  </w:pPr>
                  <w:r>
                    <w:rPr>
                      <w:rFonts w:hint="eastAsia"/>
                      <w:color w:val="auto"/>
                      <w:sz w:val="18"/>
                      <w:szCs w:val="18"/>
                    </w:rPr>
                    <w:t>S</w:t>
                  </w:r>
                  <w:r>
                    <w:rPr>
                      <w:rFonts w:hint="eastAsia"/>
                      <w:color w:val="auto"/>
                      <w:sz w:val="18"/>
                      <w:szCs w:val="18"/>
                      <w:lang w:val="en-US" w:eastAsia="zh-CN"/>
                    </w:rPr>
                    <w:t>4</w:t>
                  </w:r>
                </w:p>
              </w:tc>
              <w:tc>
                <w:tcPr>
                  <w:tcW w:w="1636" w:type="dxa"/>
                  <w:tcBorders>
                    <w:tl2br w:val="nil"/>
                    <w:tr2bl w:val="nil"/>
                  </w:tcBorders>
                  <w:tcMar>
                    <w:left w:w="28" w:type="dxa"/>
                    <w:right w:w="28" w:type="dxa"/>
                  </w:tcMar>
                  <w:vAlign w:val="center"/>
                </w:tcPr>
                <w:p w14:paraId="4DE7B6F8">
                  <w:pPr>
                    <w:pStyle w:val="75"/>
                    <w:ind w:firstLine="0" w:firstLineChars="0"/>
                    <w:rPr>
                      <w:color w:val="auto"/>
                      <w:sz w:val="18"/>
                      <w:szCs w:val="18"/>
                    </w:rPr>
                  </w:pPr>
                  <w:r>
                    <w:rPr>
                      <w:rFonts w:hint="eastAsia"/>
                      <w:color w:val="auto"/>
                      <w:sz w:val="18"/>
                      <w:szCs w:val="18"/>
                    </w:rPr>
                    <w:t>废</w:t>
                  </w:r>
                  <w:r>
                    <w:rPr>
                      <w:rFonts w:hint="eastAsia"/>
                      <w:color w:val="auto"/>
                      <w:sz w:val="18"/>
                      <w:szCs w:val="18"/>
                      <w:lang w:val="en-US" w:eastAsia="zh-CN"/>
                    </w:rPr>
                    <w:t>钢瓶</w:t>
                  </w:r>
                </w:p>
              </w:tc>
              <w:tc>
                <w:tcPr>
                  <w:tcW w:w="1142" w:type="dxa"/>
                  <w:tcBorders>
                    <w:tl2br w:val="nil"/>
                    <w:tr2bl w:val="nil"/>
                  </w:tcBorders>
                  <w:tcMar>
                    <w:left w:w="28" w:type="dxa"/>
                    <w:right w:w="28" w:type="dxa"/>
                  </w:tcMar>
                  <w:vAlign w:val="center"/>
                </w:tcPr>
                <w:p w14:paraId="4D632BBF">
                  <w:pPr>
                    <w:pStyle w:val="75"/>
                    <w:ind w:firstLine="0" w:firstLineChars="0"/>
                    <w:rPr>
                      <w:rFonts w:hint="eastAsia" w:eastAsia="宋体"/>
                      <w:color w:val="auto"/>
                      <w:sz w:val="18"/>
                      <w:szCs w:val="18"/>
                      <w:lang w:eastAsia="zh-CN"/>
                    </w:rPr>
                  </w:pPr>
                  <w:r>
                    <w:rPr>
                      <w:rFonts w:hint="eastAsia"/>
                      <w:color w:val="auto"/>
                      <w:sz w:val="18"/>
                      <w:szCs w:val="18"/>
                      <w:lang w:val="en-US" w:eastAsia="zh-CN"/>
                    </w:rPr>
                    <w:t>气体</w:t>
                  </w:r>
                  <w:r>
                    <w:rPr>
                      <w:rFonts w:hint="eastAsia"/>
                      <w:color w:val="auto"/>
                      <w:sz w:val="18"/>
                      <w:szCs w:val="18"/>
                    </w:rPr>
                    <w:t>使用</w:t>
                  </w:r>
                </w:p>
              </w:tc>
              <w:tc>
                <w:tcPr>
                  <w:tcW w:w="2246" w:type="dxa"/>
                  <w:tcBorders>
                    <w:tl2br w:val="nil"/>
                    <w:tr2bl w:val="nil"/>
                  </w:tcBorders>
                  <w:vAlign w:val="center"/>
                </w:tcPr>
                <w:p w14:paraId="70922E8D">
                  <w:pPr>
                    <w:pStyle w:val="75"/>
                    <w:rPr>
                      <w:rFonts w:hint="default" w:eastAsia="宋体"/>
                      <w:color w:val="auto"/>
                      <w:sz w:val="18"/>
                      <w:szCs w:val="18"/>
                      <w:lang w:val="en-US" w:eastAsia="zh-CN"/>
                    </w:rPr>
                  </w:pPr>
                  <w:r>
                    <w:rPr>
                      <w:rFonts w:hint="eastAsia"/>
                      <w:color w:val="auto"/>
                      <w:sz w:val="18"/>
                      <w:szCs w:val="18"/>
                      <w:lang w:val="en-US" w:eastAsia="zh-CN"/>
                    </w:rPr>
                    <w:t>委外综合利用</w:t>
                  </w:r>
                </w:p>
              </w:tc>
              <w:tc>
                <w:tcPr>
                  <w:tcW w:w="1510" w:type="dxa"/>
                  <w:tcBorders>
                    <w:tl2br w:val="nil"/>
                    <w:tr2bl w:val="nil"/>
                  </w:tcBorders>
                  <w:tcMar>
                    <w:left w:w="28" w:type="dxa"/>
                    <w:right w:w="28" w:type="dxa"/>
                  </w:tcMar>
                  <w:vAlign w:val="center"/>
                </w:tcPr>
                <w:p w14:paraId="3310D434">
                  <w:pPr>
                    <w:pStyle w:val="75"/>
                    <w:ind w:firstLine="0" w:firstLineChars="0"/>
                    <w:rPr>
                      <w:color w:val="auto"/>
                      <w:sz w:val="18"/>
                      <w:szCs w:val="18"/>
                    </w:rPr>
                  </w:pPr>
                  <w:r>
                    <w:rPr>
                      <w:rFonts w:hint="eastAsia"/>
                      <w:color w:val="auto"/>
                      <w:sz w:val="18"/>
                      <w:szCs w:val="18"/>
                      <w:lang w:val="en-US" w:eastAsia="zh-CN"/>
                    </w:rPr>
                    <w:t>废氩气、氧气、氢气钢瓶</w:t>
                  </w:r>
                </w:p>
              </w:tc>
            </w:tr>
            <w:tr w14:paraId="1C54A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9" w:type="dxa"/>
                  <w:gridSpan w:val="2"/>
                  <w:tcBorders>
                    <w:tl2br w:val="nil"/>
                    <w:tr2bl w:val="nil"/>
                  </w:tcBorders>
                  <w:tcMar>
                    <w:left w:w="28" w:type="dxa"/>
                    <w:right w:w="28" w:type="dxa"/>
                  </w:tcMar>
                  <w:vAlign w:val="center"/>
                </w:tcPr>
                <w:p w14:paraId="142DBEDB">
                  <w:pPr>
                    <w:pStyle w:val="75"/>
                    <w:rPr>
                      <w:color w:val="auto"/>
                      <w:sz w:val="18"/>
                      <w:szCs w:val="18"/>
                    </w:rPr>
                  </w:pPr>
                  <w:r>
                    <w:rPr>
                      <w:color w:val="auto"/>
                      <w:sz w:val="18"/>
                      <w:szCs w:val="18"/>
                    </w:rPr>
                    <w:t>噪声</w:t>
                  </w:r>
                </w:p>
              </w:tc>
              <w:tc>
                <w:tcPr>
                  <w:tcW w:w="6534" w:type="dxa"/>
                  <w:gridSpan w:val="4"/>
                  <w:tcBorders>
                    <w:tl2br w:val="nil"/>
                    <w:tr2bl w:val="nil"/>
                  </w:tcBorders>
                  <w:tcMar>
                    <w:left w:w="28" w:type="dxa"/>
                    <w:right w:w="28" w:type="dxa"/>
                  </w:tcMar>
                  <w:vAlign w:val="center"/>
                </w:tcPr>
                <w:p w14:paraId="39FF906E">
                  <w:pPr>
                    <w:pStyle w:val="75"/>
                    <w:rPr>
                      <w:color w:val="auto"/>
                      <w:sz w:val="18"/>
                      <w:szCs w:val="18"/>
                    </w:rPr>
                  </w:pPr>
                  <w:r>
                    <w:rPr>
                      <w:color w:val="auto"/>
                      <w:sz w:val="18"/>
                      <w:szCs w:val="18"/>
                    </w:rPr>
                    <w:t>主要噪声源为生产设备</w:t>
                  </w:r>
                </w:p>
              </w:tc>
            </w:tr>
          </w:tbl>
          <w:p w14:paraId="22249D84">
            <w:pPr>
              <w:pStyle w:val="75"/>
              <w:rPr>
                <w:color w:val="auto"/>
              </w:rPr>
            </w:pPr>
          </w:p>
        </w:tc>
      </w:tr>
      <w:tr w14:paraId="4DF72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65C2029C">
            <w:pPr>
              <w:pStyle w:val="75"/>
              <w:rPr>
                <w:color w:val="auto"/>
              </w:rPr>
            </w:pPr>
            <w:r>
              <w:rPr>
                <w:color w:val="auto"/>
              </w:rPr>
              <w:t>与项目有关的原有环境污染问题</w:t>
            </w:r>
          </w:p>
        </w:tc>
        <w:tc>
          <w:tcPr>
            <w:tcW w:w="4745" w:type="pct"/>
          </w:tcPr>
          <w:p w14:paraId="7C41F73E">
            <w:pPr>
              <w:ind w:firstLine="422"/>
              <w:rPr>
                <w:b/>
                <w:bCs/>
                <w:color w:val="auto"/>
              </w:rPr>
            </w:pPr>
            <w:bookmarkStart w:id="10" w:name="本项目拟建的通州湾江海联动开发示范区中南高科产业园六号地块一期23#厂房为闲置车"/>
            <w:bookmarkEnd w:id="10"/>
            <w:r>
              <w:rPr>
                <w:b/>
                <w:bCs/>
                <w:color w:val="auto"/>
              </w:rPr>
              <w:t>1</w:t>
            </w:r>
            <w:r>
              <w:rPr>
                <w:rFonts w:hint="eastAsia"/>
                <w:b/>
                <w:bCs/>
                <w:color w:val="auto"/>
              </w:rPr>
              <w:t>、现有项目环境影响评价及验收情况</w:t>
            </w:r>
          </w:p>
          <w:p w14:paraId="14A67C40">
            <w:pPr>
              <w:ind w:firstLine="420"/>
              <w:rPr>
                <w:color w:val="auto"/>
              </w:rPr>
            </w:pPr>
            <w:r>
              <w:rPr>
                <w:rFonts w:hint="eastAsia"/>
                <w:color w:val="auto"/>
              </w:rPr>
              <w:t>（1）现有项目环保手续情况</w:t>
            </w:r>
          </w:p>
          <w:p w14:paraId="09B6FE9C">
            <w:pPr>
              <w:keepNext w:val="0"/>
              <w:keepLines w:val="0"/>
              <w:widowControl/>
              <w:suppressLineNumbers w:val="0"/>
              <w:jc w:val="left"/>
              <w:rPr>
                <w:rFonts w:hint="default" w:ascii="Times New Roman" w:hAnsi="Times New Roman" w:eastAsia="宋体" w:cs="Times New Roman"/>
                <w:color w:val="auto"/>
                <w:spacing w:val="-1"/>
              </w:rPr>
            </w:pPr>
            <w:r>
              <w:rPr>
                <w:rFonts w:hint="default" w:ascii="Times New Roman" w:hAnsi="Times New Roman" w:eastAsia="宋体" w:cs="Times New Roman"/>
                <w:color w:val="auto"/>
                <w:spacing w:val="1"/>
              </w:rPr>
              <w:t>纳琳科新材料（南通）有限公司成立于20</w:t>
            </w:r>
            <w:r>
              <w:rPr>
                <w:rFonts w:hint="default" w:ascii="Times New Roman" w:hAnsi="Times New Roman" w:eastAsia="宋体" w:cs="Times New Roman"/>
                <w:color w:val="auto"/>
                <w:spacing w:val="1"/>
                <w:lang w:val="en-US" w:eastAsia="zh-CN"/>
              </w:rPr>
              <w:t>21</w:t>
            </w:r>
            <w:r>
              <w:rPr>
                <w:rFonts w:hint="default" w:ascii="Times New Roman" w:hAnsi="Times New Roman" w:eastAsia="宋体" w:cs="Times New Roman"/>
                <w:color w:val="auto"/>
                <w:spacing w:val="1"/>
              </w:rPr>
              <w:t>年</w:t>
            </w:r>
            <w:r>
              <w:rPr>
                <w:rFonts w:hint="default" w:ascii="Times New Roman" w:hAnsi="Times New Roman" w:eastAsia="宋体" w:cs="Times New Roman"/>
                <w:color w:val="auto"/>
                <w:spacing w:val="1"/>
                <w:lang w:val="en-US" w:eastAsia="zh-CN"/>
              </w:rPr>
              <w:t>6月</w:t>
            </w:r>
            <w:r>
              <w:rPr>
                <w:rFonts w:hint="default" w:ascii="Times New Roman" w:hAnsi="Times New Roman" w:eastAsia="宋体" w:cs="Times New Roman"/>
                <w:color w:val="auto"/>
                <w:spacing w:val="1"/>
              </w:rPr>
              <w:t>，位于</w:t>
            </w:r>
            <w:r>
              <w:rPr>
                <w:rFonts w:hint="default" w:ascii="Times New Roman" w:hAnsi="Times New Roman" w:eastAsia="宋体" w:cs="Times New Roman"/>
                <w:color w:val="auto"/>
                <w:spacing w:val="1"/>
                <w:lang w:val="en-US" w:eastAsia="zh-CN"/>
              </w:rPr>
              <w:t>海门经济技术开发区扬子江路2288号</w:t>
            </w:r>
            <w:r>
              <w:rPr>
                <w:rFonts w:hint="default" w:ascii="Times New Roman" w:hAnsi="Times New Roman" w:eastAsia="宋体" w:cs="Times New Roman"/>
                <w:color w:val="auto"/>
                <w:spacing w:val="-8"/>
              </w:rPr>
              <w:t>，注册资本16899万元，</w:t>
            </w:r>
            <w:r>
              <w:rPr>
                <w:rFonts w:hint="default" w:ascii="Times New Roman" w:hAnsi="Times New Roman" w:eastAsia="宋体" w:cs="Times New Roman"/>
                <w:color w:val="auto"/>
                <w:spacing w:val="-8"/>
                <w:lang w:val="en-US" w:eastAsia="zh-CN"/>
              </w:rPr>
              <w:t>公司于2023年进行了年产25000吨智能高功能纳米新材料产品新建项目环境影响评价，该项目于2023年3月取得海门经济技术开发区行政审批局批复：海开审环〔2023〕05号</w:t>
            </w:r>
            <w:r>
              <w:rPr>
                <w:rFonts w:hint="default" w:ascii="Times New Roman" w:hAnsi="Times New Roman" w:eastAsia="宋体" w:cs="Times New Roman"/>
                <w:color w:val="auto"/>
              </w:rPr>
              <w:t>。</w:t>
            </w:r>
            <w:r>
              <w:rPr>
                <w:rFonts w:hint="default" w:ascii="Times New Roman" w:hAnsi="Times New Roman" w:eastAsia="宋体" w:cs="Times New Roman"/>
                <w:color w:val="auto"/>
                <w:spacing w:val="-1"/>
              </w:rPr>
              <w:t>纳琳科公司</w:t>
            </w:r>
            <w:r>
              <w:rPr>
                <w:rFonts w:hint="default" w:ascii="Times New Roman" w:hAnsi="Times New Roman" w:eastAsia="宋体" w:cs="Times New Roman"/>
                <w:color w:val="auto"/>
                <w:spacing w:val="1"/>
                <w:lang w:val="en-US" w:eastAsia="zh-CN"/>
              </w:rPr>
              <w:t>于2025年11月进行了第一阶段自主验收，验收内容主要包括第一阶段1条PET生产线、4条涂布生产线</w:t>
            </w:r>
            <w:r>
              <w:rPr>
                <w:rFonts w:hint="default" w:ascii="Times New Roman" w:hAnsi="Times New Roman" w:eastAsia="宋体" w:cs="Times New Roman"/>
                <w:color w:val="auto"/>
                <w:spacing w:val="-1"/>
              </w:rPr>
              <w:t>。</w:t>
            </w:r>
          </w:p>
          <w:p w14:paraId="1B3854FC">
            <w:pPr>
              <w:snapToGrid w:val="0"/>
              <w:jc w:val="center"/>
              <w:rPr>
                <w:b/>
                <w:bCs/>
                <w:color w:val="auto"/>
                <w:szCs w:val="21"/>
              </w:rPr>
            </w:pPr>
            <w:r>
              <w:rPr>
                <w:b/>
                <w:bCs/>
                <w:color w:val="auto"/>
                <w:szCs w:val="21"/>
              </w:rPr>
              <w:t>表2-</w:t>
            </w:r>
            <w:r>
              <w:rPr>
                <w:rFonts w:hint="eastAsia"/>
                <w:b/>
                <w:bCs/>
                <w:color w:val="auto"/>
                <w:szCs w:val="21"/>
                <w:lang w:val="en-US" w:eastAsia="zh-CN"/>
              </w:rPr>
              <w:t>7</w:t>
            </w:r>
            <w:r>
              <w:rPr>
                <w:b/>
                <w:bCs/>
                <w:color w:val="auto"/>
                <w:szCs w:val="21"/>
              </w:rPr>
              <w:t>现有项目产品方案表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2430"/>
              <w:gridCol w:w="1856"/>
              <w:gridCol w:w="1610"/>
              <w:gridCol w:w="10"/>
              <w:gridCol w:w="1648"/>
              <w:gridCol w:w="10"/>
            </w:tblGrid>
            <w:tr w14:paraId="6ADB3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40" w:hRule="atLeast"/>
                <w:jc w:val="center"/>
              </w:trPr>
              <w:tc>
                <w:tcPr>
                  <w:tcW w:w="483" w:type="pct"/>
                  <w:tcBorders>
                    <w:top w:val="single" w:color="auto" w:sz="12" w:space="0"/>
                  </w:tcBorders>
                  <w:shd w:val="clear" w:color="auto" w:fill="D7D7D7" w:themeFill="background1" w:themeFillShade="D8"/>
                  <w:vAlign w:val="center"/>
                </w:tcPr>
                <w:p w14:paraId="5B210330">
                  <w:pPr>
                    <w:pStyle w:val="75"/>
                    <w:rPr>
                      <w:b/>
                      <w:bCs/>
                      <w:color w:val="auto"/>
                      <w:sz w:val="18"/>
                      <w:szCs w:val="18"/>
                    </w:rPr>
                  </w:pPr>
                  <w:r>
                    <w:rPr>
                      <w:b/>
                      <w:bCs/>
                      <w:color w:val="auto"/>
                      <w:sz w:val="18"/>
                      <w:szCs w:val="18"/>
                    </w:rPr>
                    <w:t>序号</w:t>
                  </w:r>
                </w:p>
              </w:tc>
              <w:tc>
                <w:tcPr>
                  <w:tcW w:w="1451" w:type="pct"/>
                  <w:tcBorders>
                    <w:top w:val="single" w:color="auto" w:sz="12" w:space="0"/>
                  </w:tcBorders>
                  <w:shd w:val="clear" w:color="auto" w:fill="D7D7D7" w:themeFill="background1" w:themeFillShade="D8"/>
                  <w:vAlign w:val="center"/>
                </w:tcPr>
                <w:p w14:paraId="1C8438C2">
                  <w:pPr>
                    <w:pStyle w:val="75"/>
                    <w:rPr>
                      <w:b/>
                      <w:bCs/>
                      <w:color w:val="auto"/>
                      <w:sz w:val="18"/>
                      <w:szCs w:val="18"/>
                    </w:rPr>
                  </w:pPr>
                  <w:r>
                    <w:rPr>
                      <w:b/>
                      <w:bCs/>
                      <w:color w:val="auto"/>
                      <w:sz w:val="18"/>
                      <w:szCs w:val="18"/>
                    </w:rPr>
                    <w:t>产品名称</w:t>
                  </w:r>
                </w:p>
              </w:tc>
              <w:tc>
                <w:tcPr>
                  <w:tcW w:w="1108" w:type="pct"/>
                  <w:tcBorders>
                    <w:top w:val="single" w:color="auto" w:sz="12" w:space="0"/>
                  </w:tcBorders>
                  <w:shd w:val="clear" w:color="auto" w:fill="D7D7D7" w:themeFill="background1" w:themeFillShade="D8"/>
                  <w:vAlign w:val="center"/>
                </w:tcPr>
                <w:p w14:paraId="178228AB">
                  <w:pPr>
                    <w:pStyle w:val="75"/>
                    <w:rPr>
                      <w:b/>
                      <w:bCs/>
                      <w:color w:val="auto"/>
                      <w:sz w:val="18"/>
                      <w:szCs w:val="18"/>
                    </w:rPr>
                  </w:pPr>
                  <w:r>
                    <w:rPr>
                      <w:b/>
                      <w:bCs/>
                      <w:color w:val="auto"/>
                      <w:sz w:val="18"/>
                      <w:szCs w:val="18"/>
                    </w:rPr>
                    <w:t>规格</w:t>
                  </w:r>
                </w:p>
              </w:tc>
              <w:tc>
                <w:tcPr>
                  <w:tcW w:w="961" w:type="pct"/>
                  <w:tcBorders>
                    <w:top w:val="single" w:color="auto" w:sz="12" w:space="0"/>
                    <w:bottom w:val="single" w:color="auto" w:sz="4" w:space="0"/>
                  </w:tcBorders>
                  <w:shd w:val="clear" w:color="auto" w:fill="D7D7D7" w:themeFill="background1" w:themeFillShade="D8"/>
                  <w:vAlign w:val="center"/>
                </w:tcPr>
                <w:p w14:paraId="775EF8D1">
                  <w:pPr>
                    <w:pStyle w:val="75"/>
                    <w:rPr>
                      <w:b/>
                      <w:bCs/>
                      <w:color w:val="auto"/>
                      <w:sz w:val="18"/>
                      <w:szCs w:val="18"/>
                    </w:rPr>
                  </w:pPr>
                  <w:r>
                    <w:rPr>
                      <w:b/>
                      <w:bCs/>
                      <w:color w:val="auto"/>
                      <w:sz w:val="18"/>
                      <w:szCs w:val="18"/>
                    </w:rPr>
                    <w:t>设计能力</w:t>
                  </w:r>
                </w:p>
              </w:tc>
              <w:tc>
                <w:tcPr>
                  <w:tcW w:w="990" w:type="pct"/>
                  <w:gridSpan w:val="2"/>
                  <w:tcBorders>
                    <w:top w:val="single" w:color="auto" w:sz="12" w:space="0"/>
                  </w:tcBorders>
                  <w:shd w:val="clear" w:color="auto" w:fill="D7D7D7" w:themeFill="background1" w:themeFillShade="D8"/>
                  <w:vAlign w:val="center"/>
                </w:tcPr>
                <w:p w14:paraId="117C5BD2">
                  <w:pPr>
                    <w:pStyle w:val="75"/>
                    <w:rPr>
                      <w:b/>
                      <w:bCs/>
                      <w:color w:val="auto"/>
                      <w:sz w:val="18"/>
                      <w:szCs w:val="18"/>
                    </w:rPr>
                  </w:pPr>
                  <w:r>
                    <w:rPr>
                      <w:b/>
                      <w:bCs/>
                      <w:color w:val="auto"/>
                      <w:sz w:val="18"/>
                      <w:szCs w:val="18"/>
                    </w:rPr>
                    <w:t>备注</w:t>
                  </w:r>
                </w:p>
              </w:tc>
            </w:tr>
            <w:tr w14:paraId="26FEF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Align w:val="center"/>
                </w:tcPr>
                <w:p w14:paraId="77F43CAA">
                  <w:pPr>
                    <w:pStyle w:val="75"/>
                    <w:rPr>
                      <w:color w:val="auto"/>
                      <w:sz w:val="18"/>
                      <w:szCs w:val="18"/>
                    </w:rPr>
                  </w:pPr>
                  <w:r>
                    <w:rPr>
                      <w:color w:val="auto"/>
                      <w:sz w:val="18"/>
                      <w:szCs w:val="18"/>
                    </w:rPr>
                    <w:t>1</w:t>
                  </w:r>
                </w:p>
              </w:tc>
              <w:tc>
                <w:tcPr>
                  <w:tcW w:w="1451" w:type="pct"/>
                  <w:vAlign w:val="center"/>
                </w:tcPr>
                <w:p w14:paraId="703F4A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hint="eastAsia" w:ascii="Times New Roman" w:hAnsi="Times New Roman"/>
                      <w:color w:val="auto"/>
                      <w:sz w:val="18"/>
                      <w:szCs w:val="18"/>
                    </w:rPr>
                    <w:t>PET</w:t>
                  </w:r>
                  <w:r>
                    <w:rPr>
                      <w:rFonts w:ascii="Times New Roman" w:hAnsi="Times New Roman"/>
                      <w:color w:val="auto"/>
                      <w:sz w:val="18"/>
                      <w:szCs w:val="18"/>
                    </w:rPr>
                    <w:t>膜</w:t>
                  </w:r>
                </w:p>
              </w:tc>
              <w:tc>
                <w:tcPr>
                  <w:tcW w:w="1108" w:type="pct"/>
                  <w:vAlign w:val="center"/>
                </w:tcPr>
                <w:p w14:paraId="472C3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ascii="Times New Roman" w:hAnsi="Times New Roman"/>
                      <w:color w:val="auto"/>
                      <w:sz w:val="18"/>
                      <w:szCs w:val="18"/>
                    </w:rPr>
                    <w:t>宽幅1.5</w:t>
                  </w:r>
                  <w:r>
                    <w:rPr>
                      <w:rFonts w:hint="eastAsia" w:ascii="Times New Roman" w:hAnsi="Times New Roman"/>
                      <w:color w:val="auto"/>
                      <w:sz w:val="18"/>
                      <w:szCs w:val="18"/>
                    </w:rPr>
                    <w:t>5</w:t>
                  </w:r>
                  <w:r>
                    <w:rPr>
                      <w:rFonts w:ascii="Times New Roman" w:hAnsi="Times New Roman"/>
                      <w:color w:val="auto"/>
                      <w:sz w:val="18"/>
                      <w:szCs w:val="18"/>
                    </w:rPr>
                    <w:t>m</w:t>
                  </w:r>
                </w:p>
              </w:tc>
              <w:tc>
                <w:tcPr>
                  <w:tcW w:w="967" w:type="pct"/>
                  <w:gridSpan w:val="2"/>
                  <w:vAlign w:val="center"/>
                </w:tcPr>
                <w:p w14:paraId="06BFC236">
                  <w:pPr>
                    <w:pStyle w:val="75"/>
                    <w:rPr>
                      <w:color w:val="auto"/>
                      <w:sz w:val="18"/>
                      <w:szCs w:val="18"/>
                    </w:rPr>
                  </w:pPr>
                  <w:r>
                    <w:rPr>
                      <w:rFonts w:hint="eastAsia"/>
                      <w:color w:val="auto"/>
                      <w:sz w:val="18"/>
                      <w:szCs w:val="18"/>
                      <w:lang w:val="en-US" w:eastAsia="zh-CN"/>
                    </w:rPr>
                    <w:t>13000t</w:t>
                  </w:r>
                  <w:r>
                    <w:rPr>
                      <w:rFonts w:hint="eastAsia"/>
                      <w:color w:val="auto"/>
                      <w:sz w:val="18"/>
                      <w:szCs w:val="18"/>
                    </w:rPr>
                    <w:t>/年</w:t>
                  </w:r>
                </w:p>
              </w:tc>
              <w:tc>
                <w:tcPr>
                  <w:tcW w:w="990" w:type="pct"/>
                  <w:gridSpan w:val="2"/>
                  <w:vAlign w:val="center"/>
                </w:tcPr>
                <w:p w14:paraId="058A5582">
                  <w:pPr>
                    <w:pStyle w:val="75"/>
                    <w:rPr>
                      <w:color w:val="auto"/>
                      <w:sz w:val="18"/>
                      <w:szCs w:val="18"/>
                    </w:rPr>
                  </w:pPr>
                  <w:r>
                    <w:rPr>
                      <w:rFonts w:hint="eastAsia"/>
                      <w:color w:val="auto"/>
                      <w:sz w:val="18"/>
                      <w:szCs w:val="18"/>
                    </w:rPr>
                    <w:t>已验收</w:t>
                  </w:r>
                  <w:r>
                    <w:rPr>
                      <w:rFonts w:hint="eastAsia"/>
                      <w:color w:val="auto"/>
                      <w:sz w:val="18"/>
                      <w:szCs w:val="18"/>
                      <w:lang w:val="en-US" w:eastAsia="zh-CN"/>
                    </w:rPr>
                    <w:t>65</w:t>
                  </w:r>
                  <w:r>
                    <w:rPr>
                      <w:rFonts w:hint="eastAsia"/>
                      <w:color w:val="auto"/>
                      <w:sz w:val="18"/>
                      <w:szCs w:val="18"/>
                    </w:rPr>
                    <w:t>00</w:t>
                  </w:r>
                  <w:r>
                    <w:rPr>
                      <w:rFonts w:hint="eastAsia"/>
                      <w:color w:val="auto"/>
                      <w:sz w:val="18"/>
                      <w:szCs w:val="18"/>
                      <w:lang w:val="en-US" w:eastAsia="zh-CN"/>
                    </w:rPr>
                    <w:t>t</w:t>
                  </w:r>
                  <w:r>
                    <w:rPr>
                      <w:rFonts w:hint="eastAsia"/>
                      <w:color w:val="auto"/>
                      <w:sz w:val="18"/>
                      <w:szCs w:val="18"/>
                    </w:rPr>
                    <w:t>/年</w:t>
                  </w:r>
                </w:p>
              </w:tc>
            </w:tr>
            <w:tr w14:paraId="7DC90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 w:type="pct"/>
                  <w:vAlign w:val="center"/>
                </w:tcPr>
                <w:p w14:paraId="4AB83D82">
                  <w:pPr>
                    <w:pStyle w:val="75"/>
                    <w:rPr>
                      <w:color w:val="auto"/>
                      <w:sz w:val="18"/>
                      <w:szCs w:val="18"/>
                    </w:rPr>
                  </w:pPr>
                  <w:r>
                    <w:rPr>
                      <w:rFonts w:hint="eastAsia"/>
                      <w:color w:val="auto"/>
                      <w:sz w:val="18"/>
                      <w:szCs w:val="18"/>
                    </w:rPr>
                    <w:t>2</w:t>
                  </w:r>
                </w:p>
              </w:tc>
              <w:tc>
                <w:tcPr>
                  <w:tcW w:w="1451" w:type="pct"/>
                  <w:vAlign w:val="center"/>
                </w:tcPr>
                <w:p w14:paraId="191C8E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hint="eastAsia" w:ascii="Times New Roman" w:hAnsi="Times New Roman"/>
                      <w:color w:val="auto"/>
                      <w:sz w:val="18"/>
                      <w:szCs w:val="18"/>
                      <w:lang w:val="en-US" w:eastAsia="zh-CN"/>
                    </w:rPr>
                    <w:t>纳米功能性膜</w:t>
                  </w:r>
                </w:p>
              </w:tc>
              <w:tc>
                <w:tcPr>
                  <w:tcW w:w="1108" w:type="pct"/>
                  <w:vAlign w:val="center"/>
                </w:tcPr>
                <w:p w14:paraId="778168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ascii="Times New Roman" w:hAnsi="Times New Roman"/>
                      <w:color w:val="auto"/>
                      <w:sz w:val="18"/>
                      <w:szCs w:val="18"/>
                    </w:rPr>
                    <w:t>纳米高功能太阳膜：宽幅1.56</w:t>
                  </w:r>
                  <w:r>
                    <w:rPr>
                      <w:rFonts w:hint="eastAsia" w:ascii="Times New Roman" w:hAnsi="Times New Roman"/>
                      <w:color w:val="auto"/>
                      <w:sz w:val="18"/>
                      <w:szCs w:val="18"/>
                    </w:rPr>
                    <w:t>~2.5</w:t>
                  </w:r>
                  <w:r>
                    <w:rPr>
                      <w:rFonts w:ascii="Times New Roman" w:hAnsi="Times New Roman"/>
                      <w:color w:val="auto"/>
                      <w:sz w:val="18"/>
                      <w:szCs w:val="18"/>
                    </w:rPr>
                    <w:t>m</w:t>
                  </w:r>
                </w:p>
              </w:tc>
              <w:tc>
                <w:tcPr>
                  <w:tcW w:w="967" w:type="pct"/>
                  <w:gridSpan w:val="2"/>
                  <w:vAlign w:val="center"/>
                </w:tcPr>
                <w:p w14:paraId="3A8B2FEF">
                  <w:pPr>
                    <w:pStyle w:val="75"/>
                    <w:rPr>
                      <w:color w:val="auto"/>
                      <w:sz w:val="18"/>
                      <w:szCs w:val="18"/>
                    </w:rPr>
                  </w:pPr>
                  <w:r>
                    <w:rPr>
                      <w:rFonts w:hint="eastAsia"/>
                      <w:color w:val="auto"/>
                      <w:sz w:val="18"/>
                      <w:szCs w:val="18"/>
                      <w:lang w:val="en-US" w:eastAsia="zh-CN"/>
                    </w:rPr>
                    <w:t>12000t</w:t>
                  </w:r>
                  <w:r>
                    <w:rPr>
                      <w:rFonts w:hint="eastAsia"/>
                      <w:color w:val="auto"/>
                      <w:sz w:val="18"/>
                      <w:szCs w:val="18"/>
                    </w:rPr>
                    <w:t>/年</w:t>
                  </w:r>
                </w:p>
              </w:tc>
              <w:tc>
                <w:tcPr>
                  <w:tcW w:w="990" w:type="pct"/>
                  <w:gridSpan w:val="2"/>
                  <w:vAlign w:val="center"/>
                </w:tcPr>
                <w:p w14:paraId="08BAB546">
                  <w:pPr>
                    <w:pStyle w:val="75"/>
                    <w:rPr>
                      <w:color w:val="auto"/>
                      <w:sz w:val="18"/>
                      <w:szCs w:val="18"/>
                    </w:rPr>
                  </w:pPr>
                  <w:r>
                    <w:rPr>
                      <w:rFonts w:hint="eastAsia"/>
                      <w:color w:val="auto"/>
                      <w:sz w:val="18"/>
                      <w:szCs w:val="18"/>
                    </w:rPr>
                    <w:t>已验收</w:t>
                  </w:r>
                  <w:r>
                    <w:rPr>
                      <w:rFonts w:hint="eastAsia"/>
                      <w:color w:val="auto"/>
                      <w:sz w:val="18"/>
                      <w:szCs w:val="18"/>
                      <w:lang w:val="en-US" w:eastAsia="zh-CN"/>
                    </w:rPr>
                    <w:t>100</w:t>
                  </w:r>
                  <w:r>
                    <w:rPr>
                      <w:rFonts w:hint="eastAsia"/>
                      <w:color w:val="auto"/>
                      <w:sz w:val="18"/>
                      <w:szCs w:val="18"/>
                    </w:rPr>
                    <w:t>00</w:t>
                  </w:r>
                  <w:r>
                    <w:rPr>
                      <w:rFonts w:hint="eastAsia"/>
                      <w:color w:val="auto"/>
                      <w:sz w:val="18"/>
                      <w:szCs w:val="18"/>
                      <w:lang w:val="en-US" w:eastAsia="zh-CN"/>
                    </w:rPr>
                    <w:t>t</w:t>
                  </w:r>
                  <w:r>
                    <w:rPr>
                      <w:rFonts w:hint="eastAsia"/>
                      <w:color w:val="auto"/>
                      <w:sz w:val="18"/>
                      <w:szCs w:val="18"/>
                    </w:rPr>
                    <w:t>/年</w:t>
                  </w:r>
                </w:p>
              </w:tc>
            </w:tr>
          </w:tbl>
          <w:p w14:paraId="01D42160">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b/>
                <w:bCs/>
                <w:color w:val="auto"/>
                <w:szCs w:val="21"/>
              </w:rPr>
            </w:pPr>
            <w:r>
              <w:rPr>
                <w:b/>
                <w:bCs/>
                <w:color w:val="auto"/>
                <w:szCs w:val="21"/>
              </w:rPr>
              <w:t>表2</w:t>
            </w:r>
            <w:r>
              <w:rPr>
                <w:rFonts w:hint="eastAsia"/>
                <w:b/>
                <w:bCs/>
                <w:color w:val="auto"/>
                <w:szCs w:val="21"/>
              </w:rPr>
              <w:t>-</w:t>
            </w:r>
            <w:r>
              <w:rPr>
                <w:rFonts w:hint="eastAsia"/>
                <w:b/>
                <w:bCs/>
                <w:color w:val="auto"/>
                <w:szCs w:val="21"/>
                <w:lang w:val="en-US" w:eastAsia="zh-CN"/>
              </w:rPr>
              <w:t>8</w:t>
            </w:r>
            <w:r>
              <w:rPr>
                <w:rFonts w:hint="eastAsia"/>
                <w:b/>
                <w:bCs/>
                <w:color w:val="auto"/>
                <w:szCs w:val="21"/>
              </w:rPr>
              <w:t>现有项目批建验运情况表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23"/>
              <w:gridCol w:w="1678"/>
              <w:gridCol w:w="1678"/>
              <w:gridCol w:w="1442"/>
              <w:gridCol w:w="1149"/>
            </w:tblGrid>
            <w:tr w14:paraId="23BDC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pct"/>
                  <w:tcBorders>
                    <w:top w:val="single" w:color="auto" w:sz="12" w:space="0"/>
                  </w:tcBorders>
                  <w:shd w:val="clear" w:color="auto" w:fill="D7D7D7" w:themeFill="background1" w:themeFillShade="D8"/>
                  <w:vAlign w:val="center"/>
                </w:tcPr>
                <w:p w14:paraId="02085325">
                  <w:pPr>
                    <w:pStyle w:val="75"/>
                    <w:rPr>
                      <w:rFonts w:hint="eastAsia"/>
                      <w:b/>
                      <w:bCs/>
                      <w:color w:val="auto"/>
                      <w:sz w:val="18"/>
                      <w:szCs w:val="18"/>
                    </w:rPr>
                  </w:pPr>
                  <w:r>
                    <w:rPr>
                      <w:rFonts w:hint="eastAsia"/>
                      <w:b/>
                      <w:bCs/>
                      <w:color w:val="auto"/>
                      <w:sz w:val="18"/>
                      <w:szCs w:val="18"/>
                    </w:rPr>
                    <w:t>环评批复</w:t>
                  </w:r>
                </w:p>
              </w:tc>
              <w:tc>
                <w:tcPr>
                  <w:tcW w:w="1002" w:type="pct"/>
                  <w:tcBorders>
                    <w:top w:val="single" w:color="auto" w:sz="12" w:space="0"/>
                    <w:bottom w:val="single" w:color="auto" w:sz="4" w:space="0"/>
                  </w:tcBorders>
                  <w:shd w:val="clear" w:color="auto" w:fill="D7D7D7" w:themeFill="background1" w:themeFillShade="D8"/>
                  <w:vAlign w:val="center"/>
                </w:tcPr>
                <w:p w14:paraId="32052275">
                  <w:pPr>
                    <w:pStyle w:val="75"/>
                    <w:rPr>
                      <w:rFonts w:hint="default" w:eastAsia="宋体"/>
                      <w:b/>
                      <w:bCs/>
                      <w:color w:val="auto"/>
                      <w:sz w:val="18"/>
                      <w:szCs w:val="18"/>
                      <w:lang w:val="en-US" w:eastAsia="zh-CN"/>
                    </w:rPr>
                  </w:pPr>
                  <w:r>
                    <w:rPr>
                      <w:rFonts w:hint="eastAsia"/>
                      <w:b/>
                      <w:bCs/>
                      <w:color w:val="auto"/>
                      <w:sz w:val="18"/>
                      <w:szCs w:val="18"/>
                      <w:lang w:val="en-US" w:eastAsia="zh-CN"/>
                    </w:rPr>
                    <w:t>建设情况</w:t>
                  </w:r>
                </w:p>
              </w:tc>
              <w:tc>
                <w:tcPr>
                  <w:tcW w:w="1002" w:type="pct"/>
                  <w:tcBorders>
                    <w:top w:val="single" w:color="auto" w:sz="12" w:space="0"/>
                    <w:bottom w:val="single" w:color="auto" w:sz="4" w:space="0"/>
                  </w:tcBorders>
                  <w:shd w:val="clear" w:color="auto" w:fill="D7D7D7" w:themeFill="background1" w:themeFillShade="D8"/>
                  <w:vAlign w:val="center"/>
                </w:tcPr>
                <w:p w14:paraId="146A5F54">
                  <w:pPr>
                    <w:pStyle w:val="75"/>
                    <w:rPr>
                      <w:rFonts w:hint="eastAsia"/>
                      <w:b/>
                      <w:bCs/>
                      <w:color w:val="auto"/>
                      <w:sz w:val="18"/>
                      <w:szCs w:val="18"/>
                    </w:rPr>
                  </w:pPr>
                  <w:r>
                    <w:rPr>
                      <w:rFonts w:hint="eastAsia"/>
                      <w:b/>
                      <w:bCs/>
                      <w:color w:val="auto"/>
                      <w:sz w:val="18"/>
                      <w:szCs w:val="18"/>
                    </w:rPr>
                    <w:t>验收情况</w:t>
                  </w:r>
                </w:p>
              </w:tc>
              <w:tc>
                <w:tcPr>
                  <w:tcW w:w="861" w:type="pct"/>
                  <w:tcBorders>
                    <w:top w:val="single" w:color="auto" w:sz="12" w:space="0"/>
                  </w:tcBorders>
                  <w:shd w:val="clear" w:color="auto" w:fill="D7D7D7" w:themeFill="background1" w:themeFillShade="D8"/>
                  <w:vAlign w:val="center"/>
                </w:tcPr>
                <w:p w14:paraId="4FD7C56D">
                  <w:pPr>
                    <w:pStyle w:val="75"/>
                    <w:rPr>
                      <w:rFonts w:hint="eastAsia"/>
                      <w:b/>
                      <w:bCs/>
                      <w:color w:val="auto"/>
                      <w:sz w:val="18"/>
                      <w:szCs w:val="18"/>
                    </w:rPr>
                  </w:pPr>
                  <w:r>
                    <w:rPr>
                      <w:rFonts w:hint="eastAsia"/>
                      <w:b/>
                      <w:bCs/>
                      <w:color w:val="auto"/>
                      <w:sz w:val="18"/>
                      <w:szCs w:val="18"/>
                    </w:rPr>
                    <w:t>运行情况</w:t>
                  </w:r>
                </w:p>
              </w:tc>
              <w:tc>
                <w:tcPr>
                  <w:tcW w:w="686" w:type="pct"/>
                  <w:tcBorders>
                    <w:top w:val="single" w:color="auto" w:sz="12" w:space="0"/>
                  </w:tcBorders>
                  <w:shd w:val="clear" w:color="auto" w:fill="D7D7D7" w:themeFill="background1" w:themeFillShade="D8"/>
                  <w:vAlign w:val="center"/>
                </w:tcPr>
                <w:p w14:paraId="4F7FE8AB">
                  <w:pPr>
                    <w:pStyle w:val="75"/>
                    <w:rPr>
                      <w:rFonts w:hint="eastAsia"/>
                      <w:b/>
                      <w:bCs/>
                      <w:color w:val="auto"/>
                      <w:sz w:val="18"/>
                      <w:szCs w:val="18"/>
                    </w:rPr>
                  </w:pPr>
                  <w:r>
                    <w:rPr>
                      <w:rFonts w:hint="eastAsia"/>
                      <w:b/>
                      <w:bCs/>
                      <w:color w:val="auto"/>
                      <w:sz w:val="18"/>
                      <w:szCs w:val="18"/>
                    </w:rPr>
                    <w:t>变动情况</w:t>
                  </w:r>
                </w:p>
              </w:tc>
            </w:tr>
            <w:tr w14:paraId="77DD2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pct"/>
                  <w:vAlign w:val="center"/>
                </w:tcPr>
                <w:p w14:paraId="41C8B7A5">
                  <w:pPr>
                    <w:pStyle w:val="75"/>
                    <w:rPr>
                      <w:rFonts w:hint="default" w:eastAsia="宋体"/>
                      <w:color w:val="auto"/>
                      <w:sz w:val="18"/>
                      <w:szCs w:val="18"/>
                      <w:lang w:val="en-US" w:eastAsia="zh-CN"/>
                    </w:rPr>
                  </w:pPr>
                  <w:r>
                    <w:rPr>
                      <w:rFonts w:hint="eastAsia" w:ascii="Times New Roman" w:hAnsi="Times New Roman"/>
                      <w:color w:val="auto"/>
                      <w:sz w:val="18"/>
                      <w:szCs w:val="18"/>
                    </w:rPr>
                    <w:t>PET</w:t>
                  </w:r>
                  <w:r>
                    <w:rPr>
                      <w:rFonts w:ascii="Times New Roman" w:hAnsi="Times New Roman"/>
                      <w:color w:val="auto"/>
                      <w:sz w:val="18"/>
                      <w:szCs w:val="18"/>
                    </w:rPr>
                    <w:t>膜</w:t>
                  </w:r>
                  <w:r>
                    <w:rPr>
                      <w:rFonts w:hint="eastAsia"/>
                      <w:color w:val="auto"/>
                      <w:sz w:val="18"/>
                      <w:szCs w:val="18"/>
                      <w:lang w:val="en-US" w:eastAsia="zh-CN"/>
                    </w:rPr>
                    <w:t>13000t</w:t>
                  </w:r>
                  <w:r>
                    <w:rPr>
                      <w:rFonts w:hint="eastAsia"/>
                      <w:color w:val="auto"/>
                      <w:sz w:val="18"/>
                      <w:szCs w:val="18"/>
                    </w:rPr>
                    <w:t>/年</w:t>
                  </w:r>
                  <w:r>
                    <w:rPr>
                      <w:rFonts w:hint="eastAsia"/>
                      <w:color w:val="auto"/>
                      <w:sz w:val="18"/>
                      <w:szCs w:val="18"/>
                      <w:lang w:eastAsia="zh-CN"/>
                    </w:rPr>
                    <w:t>，</w:t>
                  </w:r>
                  <w:r>
                    <w:rPr>
                      <w:rFonts w:hint="eastAsia"/>
                      <w:color w:val="auto"/>
                      <w:sz w:val="18"/>
                      <w:szCs w:val="18"/>
                      <w:lang w:val="en-US" w:eastAsia="zh-CN"/>
                    </w:rPr>
                    <w:t>共两条</w:t>
                  </w:r>
                  <w:r>
                    <w:rPr>
                      <w:rFonts w:hint="eastAsia" w:ascii="Times New Roman" w:hAnsi="Times New Roman"/>
                      <w:color w:val="auto"/>
                      <w:sz w:val="18"/>
                      <w:szCs w:val="18"/>
                    </w:rPr>
                    <w:t>PET生产线</w:t>
                  </w:r>
                </w:p>
              </w:tc>
              <w:tc>
                <w:tcPr>
                  <w:tcW w:w="1002" w:type="pct"/>
                  <w:vAlign w:val="center"/>
                </w:tcPr>
                <w:p w14:paraId="6A74FDA9">
                  <w:pPr>
                    <w:pStyle w:val="75"/>
                    <w:rPr>
                      <w:rFonts w:hint="eastAsia" w:eastAsia="宋体"/>
                      <w:color w:val="auto"/>
                      <w:sz w:val="18"/>
                      <w:szCs w:val="18"/>
                      <w:lang w:val="en-US" w:eastAsia="zh-CN"/>
                    </w:rPr>
                  </w:pPr>
                  <w:r>
                    <w:rPr>
                      <w:rFonts w:hint="eastAsia"/>
                      <w:color w:val="auto"/>
                      <w:sz w:val="18"/>
                      <w:szCs w:val="18"/>
                      <w:lang w:val="en-US" w:eastAsia="zh-CN"/>
                    </w:rPr>
                    <w:t>已建1条</w:t>
                  </w:r>
                  <w:r>
                    <w:rPr>
                      <w:rFonts w:hint="eastAsia" w:ascii="Times New Roman" w:hAnsi="Times New Roman"/>
                      <w:color w:val="auto"/>
                      <w:sz w:val="18"/>
                      <w:szCs w:val="18"/>
                    </w:rPr>
                    <w:t>PET生产线</w:t>
                  </w:r>
                  <w:r>
                    <w:rPr>
                      <w:rFonts w:hint="eastAsia"/>
                      <w:color w:val="auto"/>
                      <w:sz w:val="18"/>
                      <w:szCs w:val="18"/>
                      <w:lang w:eastAsia="zh-CN"/>
                    </w:rPr>
                    <w:t>，</w:t>
                  </w:r>
                  <w:r>
                    <w:rPr>
                      <w:rFonts w:hint="eastAsia"/>
                      <w:color w:val="auto"/>
                      <w:sz w:val="18"/>
                      <w:szCs w:val="18"/>
                      <w:lang w:val="en-US" w:eastAsia="zh-CN"/>
                    </w:rPr>
                    <w:t>剩余一条预计2027年建设</w:t>
                  </w:r>
                </w:p>
              </w:tc>
              <w:tc>
                <w:tcPr>
                  <w:tcW w:w="1678" w:type="dxa"/>
                  <w:vAlign w:val="center"/>
                </w:tcPr>
                <w:p w14:paraId="4C3A0484">
                  <w:pPr>
                    <w:pStyle w:val="75"/>
                    <w:ind w:firstLine="0" w:firstLineChars="0"/>
                    <w:rPr>
                      <w:rFonts w:hint="eastAsia"/>
                      <w:color w:val="auto"/>
                      <w:sz w:val="18"/>
                      <w:szCs w:val="18"/>
                    </w:rPr>
                  </w:pPr>
                  <w:r>
                    <w:rPr>
                      <w:rFonts w:hint="eastAsia"/>
                      <w:color w:val="auto"/>
                      <w:sz w:val="18"/>
                      <w:szCs w:val="18"/>
                    </w:rPr>
                    <w:t>已验收</w:t>
                  </w:r>
                  <w:r>
                    <w:rPr>
                      <w:rFonts w:hint="eastAsia"/>
                      <w:color w:val="auto"/>
                      <w:sz w:val="18"/>
                      <w:szCs w:val="18"/>
                      <w:lang w:val="en-US" w:eastAsia="zh-CN"/>
                    </w:rPr>
                    <w:t>1条</w:t>
                  </w:r>
                  <w:r>
                    <w:rPr>
                      <w:rFonts w:hint="eastAsia" w:ascii="Times New Roman" w:hAnsi="Times New Roman"/>
                      <w:color w:val="auto"/>
                      <w:sz w:val="18"/>
                      <w:szCs w:val="18"/>
                    </w:rPr>
                    <w:t>PET生产线</w:t>
                  </w:r>
                  <w:r>
                    <w:rPr>
                      <w:rFonts w:hint="eastAsia"/>
                      <w:color w:val="auto"/>
                      <w:sz w:val="18"/>
                      <w:szCs w:val="18"/>
                      <w:lang w:eastAsia="zh-CN"/>
                    </w:rPr>
                    <w:t>，</w:t>
                  </w:r>
                  <w:r>
                    <w:rPr>
                      <w:rFonts w:hint="eastAsia"/>
                      <w:color w:val="auto"/>
                      <w:sz w:val="18"/>
                      <w:szCs w:val="18"/>
                      <w:lang w:val="en-US" w:eastAsia="zh-CN"/>
                    </w:rPr>
                    <w:t>65</w:t>
                  </w:r>
                  <w:r>
                    <w:rPr>
                      <w:rFonts w:hint="eastAsia"/>
                      <w:color w:val="auto"/>
                      <w:sz w:val="18"/>
                      <w:szCs w:val="18"/>
                    </w:rPr>
                    <w:t>00</w:t>
                  </w:r>
                  <w:r>
                    <w:rPr>
                      <w:rFonts w:hint="eastAsia"/>
                      <w:color w:val="auto"/>
                      <w:sz w:val="18"/>
                      <w:szCs w:val="18"/>
                      <w:lang w:val="en-US" w:eastAsia="zh-CN"/>
                    </w:rPr>
                    <w:t>t</w:t>
                  </w:r>
                  <w:r>
                    <w:rPr>
                      <w:rFonts w:hint="eastAsia"/>
                      <w:color w:val="auto"/>
                      <w:sz w:val="18"/>
                      <w:szCs w:val="18"/>
                    </w:rPr>
                    <w:t>/年</w:t>
                  </w:r>
                </w:p>
              </w:tc>
              <w:tc>
                <w:tcPr>
                  <w:tcW w:w="861" w:type="pct"/>
                  <w:vAlign w:val="center"/>
                </w:tcPr>
                <w:p w14:paraId="68CC120B">
                  <w:pPr>
                    <w:pStyle w:val="75"/>
                    <w:rPr>
                      <w:rFonts w:hint="eastAsia"/>
                      <w:color w:val="auto"/>
                      <w:sz w:val="18"/>
                      <w:szCs w:val="18"/>
                    </w:rPr>
                  </w:pPr>
                  <w:r>
                    <w:rPr>
                      <w:rFonts w:hint="eastAsia"/>
                      <w:color w:val="auto"/>
                      <w:sz w:val="18"/>
                      <w:szCs w:val="18"/>
                      <w:lang w:val="en-US" w:eastAsia="zh-CN"/>
                    </w:rPr>
                    <w:t>1条</w:t>
                  </w:r>
                  <w:r>
                    <w:rPr>
                      <w:rFonts w:hint="eastAsia" w:ascii="Times New Roman" w:hAnsi="Times New Roman"/>
                      <w:color w:val="auto"/>
                      <w:sz w:val="18"/>
                      <w:szCs w:val="18"/>
                    </w:rPr>
                    <w:t>PET生产线</w:t>
                  </w:r>
                  <w:r>
                    <w:rPr>
                      <w:rFonts w:hint="eastAsia"/>
                      <w:color w:val="auto"/>
                      <w:sz w:val="18"/>
                      <w:szCs w:val="18"/>
                      <w:lang w:val="en-US" w:eastAsia="zh-CN"/>
                    </w:rPr>
                    <w:t>65</w:t>
                  </w:r>
                  <w:r>
                    <w:rPr>
                      <w:rFonts w:hint="eastAsia"/>
                      <w:color w:val="auto"/>
                      <w:sz w:val="18"/>
                      <w:szCs w:val="18"/>
                    </w:rPr>
                    <w:t>00</w:t>
                  </w:r>
                  <w:r>
                    <w:rPr>
                      <w:rFonts w:hint="eastAsia"/>
                      <w:color w:val="auto"/>
                      <w:sz w:val="18"/>
                      <w:szCs w:val="18"/>
                      <w:lang w:val="en-US" w:eastAsia="zh-CN"/>
                    </w:rPr>
                    <w:t>t</w:t>
                  </w:r>
                  <w:r>
                    <w:rPr>
                      <w:rFonts w:hint="eastAsia"/>
                      <w:color w:val="auto"/>
                      <w:sz w:val="18"/>
                      <w:szCs w:val="18"/>
                    </w:rPr>
                    <w:t>/年</w:t>
                  </w:r>
                </w:p>
              </w:tc>
              <w:tc>
                <w:tcPr>
                  <w:tcW w:w="686" w:type="pct"/>
                  <w:vMerge w:val="restart"/>
                  <w:vAlign w:val="center"/>
                </w:tcPr>
                <w:p w14:paraId="2257CF34">
                  <w:pPr>
                    <w:pStyle w:val="75"/>
                    <w:rPr>
                      <w:rFonts w:hint="eastAsia"/>
                      <w:color w:val="auto"/>
                      <w:sz w:val="18"/>
                      <w:szCs w:val="18"/>
                    </w:rPr>
                  </w:pPr>
                  <w:r>
                    <w:rPr>
                      <w:rFonts w:hint="eastAsia"/>
                      <w:color w:val="auto"/>
                      <w:sz w:val="18"/>
                      <w:szCs w:val="18"/>
                    </w:rPr>
                    <w:t>根据验收与实际运营情况</w:t>
                  </w:r>
                  <w:r>
                    <w:rPr>
                      <w:rFonts w:hint="eastAsia"/>
                      <w:color w:val="auto"/>
                      <w:sz w:val="18"/>
                      <w:szCs w:val="18"/>
                      <w:lang w:eastAsia="zh-CN"/>
                    </w:rPr>
                    <w:t>，</w:t>
                  </w:r>
                  <w:r>
                    <w:rPr>
                      <w:rFonts w:hint="eastAsia"/>
                      <w:color w:val="auto"/>
                      <w:sz w:val="18"/>
                      <w:szCs w:val="18"/>
                    </w:rPr>
                    <w:t>未发生变动</w:t>
                  </w:r>
                </w:p>
              </w:tc>
            </w:tr>
            <w:tr w14:paraId="67976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pct"/>
                  <w:vAlign w:val="center"/>
                </w:tcPr>
                <w:p w14:paraId="79DCD9B9">
                  <w:pPr>
                    <w:pStyle w:val="75"/>
                    <w:rPr>
                      <w:rFonts w:hint="default" w:eastAsia="宋体"/>
                      <w:color w:val="auto"/>
                      <w:sz w:val="18"/>
                      <w:szCs w:val="18"/>
                      <w:lang w:val="en-US" w:eastAsia="zh-CN"/>
                    </w:rPr>
                  </w:pPr>
                  <w:r>
                    <w:rPr>
                      <w:rFonts w:hint="eastAsia" w:ascii="Times New Roman" w:hAnsi="Times New Roman"/>
                      <w:color w:val="auto"/>
                      <w:sz w:val="18"/>
                      <w:szCs w:val="18"/>
                      <w:lang w:val="en-US" w:eastAsia="zh-CN"/>
                    </w:rPr>
                    <w:t>纳米功能性膜</w:t>
                  </w:r>
                  <w:r>
                    <w:rPr>
                      <w:rFonts w:hint="eastAsia"/>
                      <w:color w:val="auto"/>
                      <w:sz w:val="18"/>
                      <w:szCs w:val="18"/>
                      <w:lang w:val="en-US" w:eastAsia="zh-CN"/>
                    </w:rPr>
                    <w:t>12000t</w:t>
                  </w:r>
                  <w:r>
                    <w:rPr>
                      <w:rFonts w:hint="eastAsia"/>
                      <w:color w:val="auto"/>
                      <w:sz w:val="18"/>
                      <w:szCs w:val="18"/>
                    </w:rPr>
                    <w:t>/年</w:t>
                  </w:r>
                  <w:r>
                    <w:rPr>
                      <w:rFonts w:hint="eastAsia"/>
                      <w:color w:val="auto"/>
                      <w:sz w:val="18"/>
                      <w:szCs w:val="18"/>
                      <w:lang w:eastAsia="zh-CN"/>
                    </w:rPr>
                    <w:t>，</w:t>
                  </w:r>
                  <w:r>
                    <w:rPr>
                      <w:rFonts w:hint="eastAsia"/>
                      <w:color w:val="auto"/>
                      <w:sz w:val="18"/>
                      <w:szCs w:val="18"/>
                      <w:lang w:val="en-US" w:eastAsia="zh-CN"/>
                    </w:rPr>
                    <w:t>共六条涂布线</w:t>
                  </w:r>
                </w:p>
              </w:tc>
              <w:tc>
                <w:tcPr>
                  <w:tcW w:w="1002" w:type="pct"/>
                  <w:vAlign w:val="center"/>
                </w:tcPr>
                <w:p w14:paraId="522437BA">
                  <w:pPr>
                    <w:pStyle w:val="75"/>
                    <w:rPr>
                      <w:rFonts w:hint="default" w:eastAsia="宋体"/>
                      <w:color w:val="auto"/>
                      <w:sz w:val="18"/>
                      <w:szCs w:val="18"/>
                      <w:lang w:val="en-US" w:eastAsia="zh-CN"/>
                    </w:rPr>
                  </w:pPr>
                  <w:r>
                    <w:rPr>
                      <w:rFonts w:hint="eastAsia"/>
                      <w:color w:val="auto"/>
                      <w:sz w:val="18"/>
                      <w:szCs w:val="18"/>
                      <w:lang w:val="en-US" w:eastAsia="zh-CN"/>
                    </w:rPr>
                    <w:t>已建四条涂布线，剩余两条预计2027年建设</w:t>
                  </w:r>
                </w:p>
              </w:tc>
              <w:tc>
                <w:tcPr>
                  <w:tcW w:w="1678" w:type="dxa"/>
                  <w:vAlign w:val="center"/>
                </w:tcPr>
                <w:p w14:paraId="28999681">
                  <w:pPr>
                    <w:pStyle w:val="75"/>
                    <w:ind w:firstLine="0" w:firstLineChars="0"/>
                    <w:rPr>
                      <w:rFonts w:hint="eastAsia"/>
                      <w:color w:val="auto"/>
                      <w:sz w:val="18"/>
                      <w:szCs w:val="18"/>
                    </w:rPr>
                  </w:pPr>
                  <w:r>
                    <w:rPr>
                      <w:rFonts w:hint="eastAsia"/>
                      <w:color w:val="auto"/>
                      <w:sz w:val="18"/>
                      <w:szCs w:val="18"/>
                    </w:rPr>
                    <w:t>已验收</w:t>
                  </w:r>
                  <w:r>
                    <w:rPr>
                      <w:rFonts w:hint="eastAsia"/>
                      <w:color w:val="auto"/>
                      <w:sz w:val="18"/>
                      <w:szCs w:val="18"/>
                      <w:lang w:val="en-US" w:eastAsia="zh-CN"/>
                    </w:rPr>
                    <w:t>四条涂布线，100</w:t>
                  </w:r>
                  <w:r>
                    <w:rPr>
                      <w:rFonts w:hint="eastAsia"/>
                      <w:color w:val="auto"/>
                      <w:sz w:val="18"/>
                      <w:szCs w:val="18"/>
                    </w:rPr>
                    <w:t>00</w:t>
                  </w:r>
                  <w:r>
                    <w:rPr>
                      <w:rFonts w:hint="eastAsia"/>
                      <w:color w:val="auto"/>
                      <w:sz w:val="18"/>
                      <w:szCs w:val="18"/>
                      <w:lang w:val="en-US" w:eastAsia="zh-CN"/>
                    </w:rPr>
                    <w:t>t</w:t>
                  </w:r>
                  <w:r>
                    <w:rPr>
                      <w:rFonts w:hint="eastAsia"/>
                      <w:color w:val="auto"/>
                      <w:sz w:val="18"/>
                      <w:szCs w:val="18"/>
                    </w:rPr>
                    <w:t>/年</w:t>
                  </w:r>
                </w:p>
              </w:tc>
              <w:tc>
                <w:tcPr>
                  <w:tcW w:w="861" w:type="pct"/>
                  <w:vAlign w:val="center"/>
                </w:tcPr>
                <w:p w14:paraId="272F95ED">
                  <w:pPr>
                    <w:pStyle w:val="75"/>
                    <w:rPr>
                      <w:rFonts w:hint="eastAsia"/>
                      <w:color w:val="auto"/>
                      <w:sz w:val="18"/>
                      <w:szCs w:val="18"/>
                    </w:rPr>
                  </w:pPr>
                  <w:r>
                    <w:rPr>
                      <w:rFonts w:hint="eastAsia"/>
                      <w:color w:val="auto"/>
                      <w:sz w:val="18"/>
                      <w:szCs w:val="18"/>
                      <w:lang w:val="en-US" w:eastAsia="zh-CN"/>
                    </w:rPr>
                    <w:t>四条涂布线100</w:t>
                  </w:r>
                  <w:r>
                    <w:rPr>
                      <w:rFonts w:hint="eastAsia"/>
                      <w:color w:val="auto"/>
                      <w:sz w:val="18"/>
                      <w:szCs w:val="18"/>
                    </w:rPr>
                    <w:t>00</w:t>
                  </w:r>
                  <w:r>
                    <w:rPr>
                      <w:rFonts w:hint="eastAsia"/>
                      <w:color w:val="auto"/>
                      <w:sz w:val="18"/>
                      <w:szCs w:val="18"/>
                      <w:lang w:val="en-US" w:eastAsia="zh-CN"/>
                    </w:rPr>
                    <w:t>t</w:t>
                  </w:r>
                  <w:r>
                    <w:rPr>
                      <w:rFonts w:hint="eastAsia"/>
                      <w:color w:val="auto"/>
                      <w:sz w:val="18"/>
                      <w:szCs w:val="18"/>
                    </w:rPr>
                    <w:t>/年</w:t>
                  </w:r>
                </w:p>
              </w:tc>
              <w:tc>
                <w:tcPr>
                  <w:tcW w:w="686" w:type="pct"/>
                  <w:vMerge w:val="continue"/>
                  <w:vAlign w:val="center"/>
                </w:tcPr>
                <w:p w14:paraId="3838F27E">
                  <w:pPr>
                    <w:pStyle w:val="75"/>
                    <w:rPr>
                      <w:rFonts w:hint="eastAsia"/>
                      <w:color w:val="auto"/>
                      <w:sz w:val="18"/>
                      <w:szCs w:val="18"/>
                    </w:rPr>
                  </w:pPr>
                </w:p>
              </w:tc>
            </w:tr>
          </w:tbl>
          <w:p w14:paraId="24F1DDC8">
            <w:pPr>
              <w:numPr>
                <w:ilvl w:val="0"/>
                <w:numId w:val="0"/>
              </w:numPr>
              <w:ind w:firstLine="420" w:firstLineChars="200"/>
              <w:rPr>
                <w:color w:val="auto"/>
              </w:rPr>
            </w:pPr>
            <w:r>
              <w:rPr>
                <w:rFonts w:hint="eastAsia"/>
                <w:color w:val="auto"/>
              </w:rPr>
              <w:t>（</w:t>
            </w:r>
            <w:r>
              <w:rPr>
                <w:rFonts w:hint="eastAsia"/>
                <w:color w:val="auto"/>
                <w:lang w:val="en-US" w:eastAsia="zh-CN"/>
              </w:rPr>
              <w:t>2</w:t>
            </w:r>
            <w:r>
              <w:rPr>
                <w:rFonts w:hint="eastAsia"/>
                <w:color w:val="auto"/>
              </w:rPr>
              <w:t>）现有项目公辅工程情况</w:t>
            </w:r>
          </w:p>
          <w:p w14:paraId="7D17B791">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rPr>
              <w:t>2-</w:t>
            </w:r>
            <w:r>
              <w:rPr>
                <w:rFonts w:hint="eastAsia" w:cs="Times New Roman"/>
                <w:b/>
                <w:color w:val="auto"/>
                <w:sz w:val="21"/>
                <w:szCs w:val="21"/>
                <w:highlight w:val="none"/>
                <w:lang w:val="en-US" w:eastAsia="zh-CN"/>
              </w:rPr>
              <w:t>9</w:t>
            </w:r>
            <w:r>
              <w:rPr>
                <w:rFonts w:hint="eastAsia" w:ascii="Times New Roman" w:hAnsi="Times New Roman" w:eastAsia="宋体" w:cs="Times New Roman"/>
                <w:b/>
                <w:color w:val="auto"/>
                <w:sz w:val="21"/>
                <w:szCs w:val="21"/>
                <w:highlight w:val="none"/>
              </w:rPr>
              <w:t xml:space="preserve"> 现有项目</w:t>
            </w:r>
            <w:r>
              <w:rPr>
                <w:rFonts w:hint="default" w:ascii="Times New Roman" w:hAnsi="Times New Roman" w:eastAsia="宋体" w:cs="Times New Roman"/>
                <w:b/>
                <w:color w:val="auto"/>
                <w:sz w:val="21"/>
                <w:szCs w:val="21"/>
                <w:highlight w:val="none"/>
              </w:rPr>
              <w:t>公用及辅助工程一览表</w:t>
            </w:r>
          </w:p>
          <w:tbl>
            <w:tblPr>
              <w:tblStyle w:val="30"/>
              <w:tblW w:w="84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316"/>
              <w:gridCol w:w="7"/>
              <w:gridCol w:w="943"/>
              <w:gridCol w:w="1979"/>
              <w:gridCol w:w="3375"/>
              <w:gridCol w:w="111"/>
            </w:tblGrid>
            <w:tr w14:paraId="633F7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tcBorders>
                    <w:tl2br w:val="nil"/>
                    <w:tr2bl w:val="nil"/>
                  </w:tcBorders>
                  <w:shd w:val="clear" w:color="auto" w:fill="D7D7D7" w:themeFill="background1" w:themeFillShade="D8"/>
                  <w:noWrap w:val="0"/>
                  <w:vAlign w:val="center"/>
                </w:tcPr>
                <w:p w14:paraId="457DC56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r>
                    <w:rPr>
                      <w:rFonts w:hint="eastAsia"/>
                      <w:color w:val="auto"/>
                      <w:sz w:val="18"/>
                      <w:szCs w:val="18"/>
                    </w:rPr>
                    <w:t>类别</w:t>
                  </w:r>
                </w:p>
              </w:tc>
              <w:tc>
                <w:tcPr>
                  <w:tcW w:w="776" w:type="pct"/>
                  <w:tcBorders>
                    <w:tl2br w:val="nil"/>
                    <w:tr2bl w:val="nil"/>
                  </w:tcBorders>
                  <w:shd w:val="clear" w:color="auto" w:fill="D7D7D7" w:themeFill="background1" w:themeFillShade="D8"/>
                  <w:noWrap w:val="0"/>
                  <w:vAlign w:val="center"/>
                </w:tcPr>
                <w:p w14:paraId="1FE35347">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r>
                    <w:rPr>
                      <w:rFonts w:hint="eastAsia"/>
                      <w:color w:val="auto"/>
                      <w:sz w:val="18"/>
                      <w:szCs w:val="18"/>
                    </w:rPr>
                    <w:t>建设名称</w:t>
                  </w:r>
                </w:p>
              </w:tc>
              <w:tc>
                <w:tcPr>
                  <w:tcW w:w="1727" w:type="pct"/>
                  <w:gridSpan w:val="3"/>
                  <w:tcBorders>
                    <w:tl2br w:val="nil"/>
                    <w:tr2bl w:val="nil"/>
                  </w:tcBorders>
                  <w:shd w:val="clear" w:color="auto" w:fill="D7D7D7" w:themeFill="background1" w:themeFillShade="D8"/>
                  <w:noWrap w:val="0"/>
                  <w:vAlign w:val="center"/>
                </w:tcPr>
                <w:p w14:paraId="19814898">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r>
                    <w:rPr>
                      <w:rFonts w:hint="eastAsia"/>
                      <w:color w:val="auto"/>
                      <w:sz w:val="18"/>
                      <w:szCs w:val="18"/>
                    </w:rPr>
                    <w:t>设计能力</w:t>
                  </w:r>
                </w:p>
              </w:tc>
              <w:tc>
                <w:tcPr>
                  <w:tcW w:w="1990" w:type="pct"/>
                  <w:tcBorders>
                    <w:tl2br w:val="nil"/>
                    <w:tr2bl w:val="nil"/>
                  </w:tcBorders>
                  <w:shd w:val="clear" w:color="auto" w:fill="D7D7D7" w:themeFill="background1" w:themeFillShade="D8"/>
                  <w:noWrap w:val="0"/>
                  <w:vAlign w:val="center"/>
                </w:tcPr>
                <w:p w14:paraId="75D61F6E">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18"/>
                      <w:szCs w:val="18"/>
                    </w:rPr>
                  </w:pPr>
                  <w:r>
                    <w:rPr>
                      <w:rFonts w:hint="eastAsia"/>
                      <w:color w:val="auto"/>
                      <w:sz w:val="18"/>
                      <w:szCs w:val="18"/>
                    </w:rPr>
                    <w:t>备注</w:t>
                  </w:r>
                </w:p>
              </w:tc>
            </w:tr>
            <w:tr w14:paraId="458E5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restart"/>
                  <w:tcBorders>
                    <w:tl2br w:val="nil"/>
                    <w:tr2bl w:val="nil"/>
                  </w:tcBorders>
                  <w:noWrap w:val="0"/>
                  <w:vAlign w:val="center"/>
                </w:tcPr>
                <w:p w14:paraId="41F21C6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主体工程</w:t>
                  </w:r>
                </w:p>
              </w:tc>
              <w:tc>
                <w:tcPr>
                  <w:tcW w:w="776" w:type="pct"/>
                  <w:tcBorders>
                    <w:tl2br w:val="nil"/>
                    <w:tr2bl w:val="nil"/>
                  </w:tcBorders>
                  <w:noWrap w:val="0"/>
                  <w:vAlign w:val="center"/>
                </w:tcPr>
                <w:p w14:paraId="1CB96D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PET车间</w:t>
                  </w:r>
                </w:p>
              </w:tc>
              <w:tc>
                <w:tcPr>
                  <w:tcW w:w="1727" w:type="pct"/>
                  <w:gridSpan w:val="3"/>
                  <w:tcBorders>
                    <w:tl2br w:val="nil"/>
                    <w:tr2bl w:val="nil"/>
                  </w:tcBorders>
                  <w:noWrap w:val="0"/>
                  <w:vAlign w:val="center"/>
                </w:tcPr>
                <w:p w14:paraId="50DA4C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占地面积11675.58</w:t>
                  </w:r>
                  <w:r>
                    <w:rPr>
                      <w:rFonts w:ascii="Times New Roman" w:hAnsi="Times New Roman"/>
                      <w:bCs/>
                      <w:color w:val="auto"/>
                      <w:sz w:val="18"/>
                      <w:szCs w:val="18"/>
                    </w:rPr>
                    <w:t>m</w:t>
                  </w:r>
                  <w:r>
                    <w:rPr>
                      <w:rFonts w:ascii="Times New Roman" w:hAnsi="Times New Roman"/>
                      <w:bCs/>
                      <w:color w:val="auto"/>
                      <w:sz w:val="18"/>
                      <w:szCs w:val="18"/>
                      <w:vertAlign w:val="superscript"/>
                    </w:rPr>
                    <w:t>2</w:t>
                  </w:r>
                </w:p>
              </w:tc>
              <w:tc>
                <w:tcPr>
                  <w:tcW w:w="1990" w:type="pct"/>
                  <w:tcBorders>
                    <w:tl2br w:val="nil"/>
                    <w:tr2bl w:val="nil"/>
                  </w:tcBorders>
                  <w:noWrap w:val="0"/>
                  <w:vAlign w:val="center"/>
                </w:tcPr>
                <w:p w14:paraId="02F73EE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hint="eastAsia" w:ascii="Times New Roman" w:hAnsi="Times New Roman"/>
                      <w:b w:val="0"/>
                      <w:color w:val="auto"/>
                      <w:sz w:val="18"/>
                      <w:szCs w:val="18"/>
                    </w:rPr>
                    <w:t>共两层，一层为PET薄膜生产线及部分原料膜的储存，主要布</w:t>
                  </w:r>
                  <w:r>
                    <w:rPr>
                      <w:rFonts w:hint="eastAsia" w:ascii="Times New Roman" w:hAnsi="Times New Roman"/>
                      <w:b w:val="0"/>
                      <w:bCs/>
                      <w:color w:val="auto"/>
                      <w:sz w:val="18"/>
                      <w:szCs w:val="18"/>
                    </w:rPr>
                    <w:t>置生产区、分切区、上料区、 挤出区、铸片区、纵拉区、涂布区、横拉区、牵引收卷 区、半成品暂存区；</w:t>
                  </w:r>
                  <w:r>
                    <w:rPr>
                      <w:rFonts w:hint="eastAsia" w:ascii="Times New Roman" w:hAnsi="Times New Roman"/>
                      <w:b w:val="0"/>
                      <w:color w:val="auto"/>
                      <w:sz w:val="18"/>
                      <w:szCs w:val="18"/>
                    </w:rPr>
                    <w:t>二层为成品膜的收卷储存、</w:t>
                  </w:r>
                  <w:r>
                    <w:rPr>
                      <w:rFonts w:hint="eastAsia" w:ascii="Times New Roman" w:hAnsi="Times New Roman"/>
                      <w:b w:val="0"/>
                      <w:bCs/>
                      <w:color w:val="auto"/>
                      <w:sz w:val="18"/>
                      <w:szCs w:val="18"/>
                    </w:rPr>
                    <w:t>分切检验区、成品包装区</w:t>
                  </w:r>
                  <w:r>
                    <w:rPr>
                      <w:rFonts w:hint="eastAsia" w:ascii="Times New Roman" w:hAnsi="Times New Roman"/>
                      <w:b w:val="0"/>
                      <w:color w:val="auto"/>
                      <w:sz w:val="18"/>
                      <w:szCs w:val="18"/>
                    </w:rPr>
                    <w:t>及精密过滤器清洗区</w:t>
                  </w:r>
                </w:p>
              </w:tc>
            </w:tr>
            <w:tr w14:paraId="47F05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05315EF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p>
              </w:tc>
              <w:tc>
                <w:tcPr>
                  <w:tcW w:w="776" w:type="pct"/>
                  <w:tcBorders>
                    <w:tl2br w:val="nil"/>
                    <w:tr2bl w:val="nil"/>
                  </w:tcBorders>
                  <w:noWrap w:val="0"/>
                  <w:vAlign w:val="center"/>
                </w:tcPr>
                <w:p w14:paraId="4D2A6A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涂布车间</w:t>
                  </w:r>
                </w:p>
              </w:tc>
              <w:tc>
                <w:tcPr>
                  <w:tcW w:w="1727" w:type="pct"/>
                  <w:gridSpan w:val="3"/>
                  <w:tcBorders>
                    <w:tl2br w:val="nil"/>
                    <w:tr2bl w:val="nil"/>
                  </w:tcBorders>
                  <w:noWrap w:val="0"/>
                  <w:vAlign w:val="center"/>
                </w:tcPr>
                <w:p w14:paraId="7DA601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占地面积7672.27</w:t>
                  </w:r>
                  <w:r>
                    <w:rPr>
                      <w:rFonts w:ascii="Times New Roman" w:hAnsi="Times New Roman"/>
                      <w:bCs/>
                      <w:color w:val="auto"/>
                      <w:sz w:val="18"/>
                      <w:szCs w:val="18"/>
                    </w:rPr>
                    <w:t>m</w:t>
                  </w:r>
                  <w:r>
                    <w:rPr>
                      <w:rFonts w:ascii="Times New Roman" w:hAnsi="Times New Roman"/>
                      <w:bCs/>
                      <w:color w:val="auto"/>
                      <w:sz w:val="18"/>
                      <w:szCs w:val="18"/>
                      <w:vertAlign w:val="superscript"/>
                    </w:rPr>
                    <w:t>2</w:t>
                  </w:r>
                </w:p>
              </w:tc>
              <w:tc>
                <w:tcPr>
                  <w:tcW w:w="1990" w:type="pct"/>
                  <w:tcBorders>
                    <w:tl2br w:val="nil"/>
                    <w:tr2bl w:val="nil"/>
                  </w:tcBorders>
                  <w:noWrap w:val="0"/>
                  <w:vAlign w:val="center"/>
                </w:tcPr>
                <w:p w14:paraId="4DACAD9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hint="eastAsia" w:ascii="Times New Roman" w:hAnsi="Times New Roman"/>
                      <w:b w:val="0"/>
                      <w:bCs/>
                      <w:color w:val="auto"/>
                      <w:sz w:val="18"/>
                      <w:szCs w:val="18"/>
                    </w:rPr>
                    <w:t>涂布车间仅1层，其中分隔一间300</w:t>
                  </w:r>
                  <w:r>
                    <w:rPr>
                      <w:rFonts w:ascii="Times New Roman" w:hAnsi="Times New Roman"/>
                      <w:b w:val="0"/>
                      <w:color w:val="auto"/>
                      <w:sz w:val="18"/>
                      <w:szCs w:val="18"/>
                    </w:rPr>
                    <w:t>m</w:t>
                  </w:r>
                  <w:r>
                    <w:rPr>
                      <w:rFonts w:ascii="Times New Roman" w:hAnsi="Times New Roman"/>
                      <w:b w:val="0"/>
                      <w:color w:val="auto"/>
                      <w:sz w:val="18"/>
                      <w:szCs w:val="18"/>
                      <w:vertAlign w:val="superscript"/>
                    </w:rPr>
                    <w:t>2</w:t>
                  </w:r>
                  <w:r>
                    <w:rPr>
                      <w:rFonts w:hint="eastAsia" w:ascii="Times New Roman" w:hAnsi="Times New Roman"/>
                      <w:b w:val="0"/>
                      <w:color w:val="auto"/>
                      <w:sz w:val="18"/>
                      <w:szCs w:val="18"/>
                    </w:rPr>
                    <w:t>的配胶间，为</w:t>
                  </w:r>
                  <w:r>
                    <w:rPr>
                      <w:rFonts w:ascii="宋体" w:hAnsi="宋体" w:cs="宋体"/>
                      <w:b w:val="0"/>
                      <w:bCs/>
                      <w:color w:val="auto"/>
                      <w:spacing w:val="-4"/>
                      <w:sz w:val="18"/>
                      <w:szCs w:val="18"/>
                    </w:rPr>
                    <w:t>甲</w:t>
                  </w:r>
                  <w:r>
                    <w:rPr>
                      <w:rFonts w:ascii="宋体" w:hAnsi="宋体" w:cs="宋体"/>
                      <w:b w:val="0"/>
                      <w:bCs/>
                      <w:color w:val="auto"/>
                      <w:spacing w:val="-2"/>
                      <w:sz w:val="18"/>
                      <w:szCs w:val="18"/>
                    </w:rPr>
                    <w:t>类防爆车间，用于涂布胶料的配置</w:t>
                  </w:r>
                  <w:r>
                    <w:rPr>
                      <w:rFonts w:hint="eastAsia" w:ascii="宋体" w:hAnsi="宋体" w:cs="宋体"/>
                      <w:b w:val="0"/>
                      <w:bCs/>
                      <w:color w:val="auto"/>
                      <w:spacing w:val="-2"/>
                      <w:sz w:val="18"/>
                      <w:szCs w:val="18"/>
                    </w:rPr>
                    <w:t>，涂布车间其余区域划分为收放卷间（用于膜的收放卷及膜的复合）、涂布前室和涂布间（涂布）</w:t>
                  </w:r>
                </w:p>
              </w:tc>
            </w:tr>
            <w:tr w14:paraId="5B6CB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restart"/>
                  <w:tcBorders>
                    <w:tl2br w:val="nil"/>
                    <w:tr2bl w:val="nil"/>
                  </w:tcBorders>
                  <w:noWrap w:val="0"/>
                  <w:vAlign w:val="center"/>
                </w:tcPr>
                <w:p w14:paraId="5117E7D9">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贮运工程</w:t>
                  </w:r>
                </w:p>
              </w:tc>
              <w:tc>
                <w:tcPr>
                  <w:tcW w:w="776" w:type="pct"/>
                  <w:tcBorders>
                    <w:tl2br w:val="nil"/>
                    <w:tr2bl w:val="nil"/>
                  </w:tcBorders>
                  <w:noWrap w:val="0"/>
                  <w:vAlign w:val="center"/>
                </w:tcPr>
                <w:p w14:paraId="09F522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甲类</w:t>
                  </w:r>
                  <w:r>
                    <w:rPr>
                      <w:rFonts w:ascii="Times New Roman" w:hAnsi="Times New Roman"/>
                      <w:bCs/>
                      <w:color w:val="auto"/>
                      <w:sz w:val="18"/>
                      <w:szCs w:val="18"/>
                    </w:rPr>
                    <w:t>仓库</w:t>
                  </w:r>
                </w:p>
              </w:tc>
              <w:tc>
                <w:tcPr>
                  <w:tcW w:w="1727" w:type="pct"/>
                  <w:gridSpan w:val="3"/>
                  <w:tcBorders>
                    <w:tl2br w:val="nil"/>
                    <w:tr2bl w:val="nil"/>
                  </w:tcBorders>
                  <w:noWrap w:val="0"/>
                  <w:vAlign w:val="center"/>
                </w:tcPr>
                <w:p w14:paraId="447C5C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720</w:t>
                  </w:r>
                  <w:r>
                    <w:rPr>
                      <w:rFonts w:ascii="Times New Roman" w:hAnsi="Times New Roman"/>
                      <w:bCs/>
                      <w:color w:val="auto"/>
                      <w:sz w:val="18"/>
                      <w:szCs w:val="18"/>
                    </w:rPr>
                    <w:t xml:space="preserve"> m</w:t>
                  </w:r>
                  <w:r>
                    <w:rPr>
                      <w:rFonts w:ascii="Times New Roman" w:hAnsi="Times New Roman"/>
                      <w:bCs/>
                      <w:color w:val="auto"/>
                      <w:sz w:val="18"/>
                      <w:szCs w:val="18"/>
                      <w:vertAlign w:val="superscript"/>
                    </w:rPr>
                    <w:t>2</w:t>
                  </w:r>
                </w:p>
              </w:tc>
              <w:tc>
                <w:tcPr>
                  <w:tcW w:w="1990" w:type="pct"/>
                  <w:tcBorders>
                    <w:tl2br w:val="nil"/>
                    <w:tr2bl w:val="nil"/>
                  </w:tcBorders>
                  <w:noWrap w:val="0"/>
                  <w:vAlign w:val="center"/>
                </w:tcPr>
                <w:p w14:paraId="783A8A87">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ascii="Times New Roman" w:hAnsi="Times New Roman"/>
                      <w:b w:val="0"/>
                      <w:bCs/>
                      <w:color w:val="auto"/>
                      <w:sz w:val="18"/>
                      <w:szCs w:val="18"/>
                    </w:rPr>
                    <w:t>乙酸乙酯、甲苯、丁酮等危险化学品放在甲类仓库、其余原料放在1#丙类仓库</w:t>
                  </w:r>
                </w:p>
              </w:tc>
            </w:tr>
            <w:tr w14:paraId="5ED38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6B7446B8">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6C7C1B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1#丙类仓库</w:t>
                  </w:r>
                </w:p>
              </w:tc>
              <w:tc>
                <w:tcPr>
                  <w:tcW w:w="1727" w:type="pct"/>
                  <w:gridSpan w:val="3"/>
                  <w:tcBorders>
                    <w:tl2br w:val="nil"/>
                    <w:tr2bl w:val="nil"/>
                  </w:tcBorders>
                  <w:noWrap w:val="0"/>
                  <w:vAlign w:val="center"/>
                </w:tcPr>
                <w:p w14:paraId="4A3925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1577</w:t>
                  </w:r>
                  <w:r>
                    <w:rPr>
                      <w:rFonts w:ascii="Times New Roman" w:hAnsi="Times New Roman"/>
                      <w:bCs/>
                      <w:color w:val="auto"/>
                      <w:sz w:val="18"/>
                      <w:szCs w:val="18"/>
                    </w:rPr>
                    <w:t xml:space="preserve"> m</w:t>
                  </w:r>
                  <w:r>
                    <w:rPr>
                      <w:rFonts w:ascii="Times New Roman" w:hAnsi="Times New Roman"/>
                      <w:bCs/>
                      <w:color w:val="auto"/>
                      <w:sz w:val="18"/>
                      <w:szCs w:val="18"/>
                      <w:vertAlign w:val="superscript"/>
                    </w:rPr>
                    <w:t>2</w:t>
                  </w:r>
                </w:p>
              </w:tc>
              <w:tc>
                <w:tcPr>
                  <w:tcW w:w="1990" w:type="pct"/>
                  <w:tcBorders>
                    <w:tl2br w:val="nil"/>
                    <w:tr2bl w:val="nil"/>
                  </w:tcBorders>
                  <w:noWrap w:val="0"/>
                  <w:vAlign w:val="center"/>
                </w:tcPr>
                <w:p w14:paraId="20F68557">
                  <w:pPr>
                    <w:pStyle w:val="185"/>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ascii="Times New Roman" w:hAnsi="Times New Roman"/>
                      <w:b w:val="0"/>
                      <w:color w:val="auto"/>
                      <w:sz w:val="18"/>
                      <w:szCs w:val="18"/>
                    </w:rPr>
                    <w:t>用于原辅料及TPU 原膜、PET 基材原膜、离型膜、保护膜原料的存储</w:t>
                  </w:r>
                </w:p>
              </w:tc>
            </w:tr>
            <w:tr w14:paraId="3FCB8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059C856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64BB85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2#丙类仓库</w:t>
                  </w:r>
                </w:p>
              </w:tc>
              <w:tc>
                <w:tcPr>
                  <w:tcW w:w="1727" w:type="pct"/>
                  <w:gridSpan w:val="3"/>
                  <w:tcBorders>
                    <w:tl2br w:val="nil"/>
                    <w:tr2bl w:val="nil"/>
                  </w:tcBorders>
                  <w:noWrap w:val="0"/>
                  <w:vAlign w:val="center"/>
                </w:tcPr>
                <w:p w14:paraId="34A151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5088</w:t>
                  </w:r>
                  <w:r>
                    <w:rPr>
                      <w:rFonts w:ascii="Times New Roman" w:hAnsi="Times New Roman"/>
                      <w:bCs/>
                      <w:color w:val="auto"/>
                      <w:sz w:val="18"/>
                      <w:szCs w:val="18"/>
                    </w:rPr>
                    <w:t xml:space="preserve"> m</w:t>
                  </w:r>
                  <w:r>
                    <w:rPr>
                      <w:rFonts w:ascii="Times New Roman" w:hAnsi="Times New Roman"/>
                      <w:bCs/>
                      <w:color w:val="auto"/>
                      <w:sz w:val="18"/>
                      <w:szCs w:val="18"/>
                      <w:vertAlign w:val="superscript"/>
                    </w:rPr>
                    <w:t>2</w:t>
                  </w:r>
                </w:p>
              </w:tc>
              <w:tc>
                <w:tcPr>
                  <w:tcW w:w="1990" w:type="pct"/>
                  <w:tcBorders>
                    <w:tl2br w:val="nil"/>
                    <w:tr2bl w:val="nil"/>
                  </w:tcBorders>
                  <w:noWrap w:val="0"/>
                  <w:vAlign w:val="center"/>
                </w:tcPr>
                <w:p w14:paraId="3B66C279">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宋体" w:hAnsi="宋体" w:cs="宋体"/>
                      <w:b w:val="0"/>
                      <w:bCs/>
                      <w:color w:val="auto"/>
                      <w:spacing w:val="-1"/>
                      <w:sz w:val="18"/>
                      <w:szCs w:val="18"/>
                    </w:rPr>
                    <w:t>用于</w:t>
                  </w:r>
                  <w:r>
                    <w:rPr>
                      <w:rFonts w:ascii="宋体" w:hAnsi="宋体" w:cs="宋体"/>
                      <w:b w:val="0"/>
                      <w:bCs/>
                      <w:color w:val="auto"/>
                      <w:sz w:val="18"/>
                      <w:szCs w:val="18"/>
                    </w:rPr>
                    <w:t>成</w:t>
                  </w:r>
                  <w:r>
                    <w:rPr>
                      <w:rFonts w:ascii="宋体" w:hAnsi="宋体" w:cs="宋体"/>
                      <w:b w:val="0"/>
                      <w:bCs/>
                      <w:color w:val="auto"/>
                      <w:spacing w:val="-8"/>
                      <w:sz w:val="18"/>
                      <w:szCs w:val="18"/>
                    </w:rPr>
                    <w:t>品</w:t>
                  </w:r>
                  <w:r>
                    <w:rPr>
                      <w:rFonts w:ascii="宋体" w:hAnsi="宋体" w:cs="宋体"/>
                      <w:b w:val="0"/>
                      <w:bCs/>
                      <w:color w:val="auto"/>
                      <w:spacing w:val="-4"/>
                      <w:sz w:val="18"/>
                      <w:szCs w:val="18"/>
                    </w:rPr>
                    <w:t>的存储</w:t>
                  </w:r>
                </w:p>
              </w:tc>
            </w:tr>
            <w:tr w14:paraId="78555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restart"/>
                  <w:tcBorders>
                    <w:tl2br w:val="nil"/>
                    <w:tr2bl w:val="nil"/>
                  </w:tcBorders>
                  <w:noWrap w:val="0"/>
                  <w:vAlign w:val="center"/>
                </w:tcPr>
                <w:p w14:paraId="0B67BED5">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公用工程</w:t>
                  </w:r>
                </w:p>
              </w:tc>
              <w:tc>
                <w:tcPr>
                  <w:tcW w:w="776" w:type="pct"/>
                  <w:tcBorders>
                    <w:tl2br w:val="nil"/>
                    <w:tr2bl w:val="nil"/>
                  </w:tcBorders>
                  <w:noWrap w:val="0"/>
                  <w:vAlign w:val="center"/>
                </w:tcPr>
                <w:p w14:paraId="1390C9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ascii="Times New Roman" w:hAnsi="Times New Roman"/>
                      <w:bCs/>
                      <w:color w:val="auto"/>
                      <w:sz w:val="18"/>
                      <w:szCs w:val="18"/>
                    </w:rPr>
                    <w:t>给水</w:t>
                  </w:r>
                </w:p>
              </w:tc>
              <w:tc>
                <w:tcPr>
                  <w:tcW w:w="1727" w:type="pct"/>
                  <w:gridSpan w:val="3"/>
                  <w:tcBorders>
                    <w:tl2br w:val="nil"/>
                    <w:tr2bl w:val="nil"/>
                  </w:tcBorders>
                  <w:noWrap w:val="0"/>
                  <w:vAlign w:val="center"/>
                </w:tcPr>
                <w:p w14:paraId="1502C38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13744t/a</w:t>
                  </w:r>
                </w:p>
              </w:tc>
              <w:tc>
                <w:tcPr>
                  <w:tcW w:w="1990" w:type="pct"/>
                  <w:tcBorders>
                    <w:tl2br w:val="nil"/>
                    <w:tr2bl w:val="nil"/>
                  </w:tcBorders>
                  <w:noWrap w:val="0"/>
                  <w:vAlign w:val="center"/>
                </w:tcPr>
                <w:p w14:paraId="470E291A">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ascii="Times New Roman" w:hAnsi="Times New Roman"/>
                      <w:b w:val="0"/>
                      <w:bCs/>
                      <w:color w:val="auto"/>
                      <w:sz w:val="18"/>
                      <w:szCs w:val="18"/>
                    </w:rPr>
                    <w:t>市政供水管网提供</w:t>
                  </w:r>
                </w:p>
              </w:tc>
            </w:tr>
            <w:tr w14:paraId="5365B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1618CFD5">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7E73E0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ascii="Times New Roman" w:hAnsi="Times New Roman"/>
                      <w:bCs/>
                      <w:color w:val="auto"/>
                      <w:sz w:val="18"/>
                      <w:szCs w:val="18"/>
                    </w:rPr>
                    <w:t>排水</w:t>
                  </w:r>
                </w:p>
              </w:tc>
              <w:tc>
                <w:tcPr>
                  <w:tcW w:w="1727" w:type="pct"/>
                  <w:gridSpan w:val="3"/>
                  <w:tcBorders>
                    <w:tl2br w:val="nil"/>
                    <w:tr2bl w:val="nil"/>
                  </w:tcBorders>
                  <w:noWrap w:val="0"/>
                  <w:vAlign w:val="center"/>
                </w:tcPr>
                <w:p w14:paraId="6C9E8A9A">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生活污水</w:t>
                  </w:r>
                  <w:r>
                    <w:rPr>
                      <w:rFonts w:hint="eastAsia" w:ascii="Times New Roman" w:hAnsi="Times New Roman"/>
                      <w:b w:val="0"/>
                      <w:bCs/>
                      <w:color w:val="auto"/>
                      <w:sz w:val="18"/>
                      <w:szCs w:val="18"/>
                    </w:rPr>
                    <w:t>3600t/a、</w:t>
                  </w:r>
                  <w:r>
                    <w:rPr>
                      <w:rFonts w:ascii="Times New Roman" w:hAnsi="Times New Roman"/>
                      <w:b w:val="0"/>
                      <w:bCs/>
                      <w:color w:val="auto"/>
                      <w:sz w:val="18"/>
                      <w:szCs w:val="18"/>
                    </w:rPr>
                    <w:t>清洗废水</w:t>
                  </w:r>
                  <w:r>
                    <w:rPr>
                      <w:rFonts w:hint="eastAsia" w:ascii="Times New Roman" w:hAnsi="Times New Roman"/>
                      <w:b w:val="0"/>
                      <w:bCs/>
                      <w:color w:val="auto"/>
                      <w:sz w:val="18"/>
                      <w:szCs w:val="18"/>
                    </w:rPr>
                    <w:t>288t/a、食堂废水360t/a、初期雨水11048</w:t>
                  </w:r>
                  <w:r>
                    <w:rPr>
                      <w:rFonts w:ascii="Times New Roman" w:hAnsi="Times New Roman"/>
                      <w:b w:val="0"/>
                      <w:bCs/>
                      <w:color w:val="auto"/>
                      <w:sz w:val="18"/>
                      <w:szCs w:val="18"/>
                    </w:rPr>
                    <w:t>t/a，</w:t>
                  </w:r>
                  <w:r>
                    <w:rPr>
                      <w:rFonts w:hint="eastAsia" w:ascii="Times New Roman" w:hAnsi="Times New Roman"/>
                      <w:b w:val="0"/>
                      <w:bCs/>
                      <w:color w:val="auto"/>
                      <w:sz w:val="18"/>
                      <w:szCs w:val="18"/>
                    </w:rPr>
                    <w:t>纯水制备浓水78</w:t>
                  </w:r>
                  <w:r>
                    <w:rPr>
                      <w:rFonts w:ascii="Times New Roman" w:hAnsi="Times New Roman"/>
                      <w:b w:val="0"/>
                      <w:bCs/>
                      <w:color w:val="auto"/>
                      <w:sz w:val="18"/>
                      <w:szCs w:val="18"/>
                    </w:rPr>
                    <w:t>t/a</w:t>
                  </w:r>
                </w:p>
              </w:tc>
              <w:tc>
                <w:tcPr>
                  <w:tcW w:w="1990" w:type="pct"/>
                  <w:tcBorders>
                    <w:tl2br w:val="nil"/>
                    <w:tr2bl w:val="nil"/>
                  </w:tcBorders>
                  <w:noWrap w:val="0"/>
                  <w:vAlign w:val="center"/>
                </w:tcPr>
                <w:p w14:paraId="0BA67807">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ascii="Times New Roman" w:hAnsi="Times New Roman"/>
                      <w:b w:val="0"/>
                      <w:bCs/>
                      <w:color w:val="auto"/>
                      <w:sz w:val="18"/>
                      <w:szCs w:val="18"/>
                    </w:rPr>
                    <w:t>接管海门经济技术开发区污水处理厂处理。</w:t>
                  </w:r>
                </w:p>
              </w:tc>
            </w:tr>
            <w:tr w14:paraId="419B7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20F387A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5A21A7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ascii="Times New Roman" w:hAnsi="Times New Roman"/>
                      <w:bCs/>
                      <w:color w:val="auto"/>
                      <w:sz w:val="18"/>
                      <w:szCs w:val="18"/>
                    </w:rPr>
                    <w:t>供电</w:t>
                  </w:r>
                </w:p>
              </w:tc>
              <w:tc>
                <w:tcPr>
                  <w:tcW w:w="1727" w:type="pct"/>
                  <w:gridSpan w:val="3"/>
                  <w:tcBorders>
                    <w:tl2br w:val="nil"/>
                    <w:tr2bl w:val="nil"/>
                  </w:tcBorders>
                  <w:noWrap w:val="0"/>
                  <w:vAlign w:val="center"/>
                </w:tcPr>
                <w:p w14:paraId="5DD0FD7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2000kVA/1</w:t>
                  </w:r>
                  <w:r>
                    <w:rPr>
                      <w:rFonts w:hint="eastAsia" w:ascii="Times New Roman" w:hAnsi="Times New Roman"/>
                      <w:b w:val="0"/>
                      <w:bCs/>
                      <w:color w:val="auto"/>
                      <w:sz w:val="18"/>
                      <w:szCs w:val="18"/>
                    </w:rPr>
                    <w:t>0</w:t>
                  </w:r>
                  <w:r>
                    <w:rPr>
                      <w:rFonts w:ascii="Times New Roman" w:hAnsi="Times New Roman"/>
                      <w:b w:val="0"/>
                      <w:bCs/>
                      <w:color w:val="auto"/>
                      <w:sz w:val="18"/>
                      <w:szCs w:val="18"/>
                    </w:rPr>
                    <w:t>-0.4kV变压器3台、1250kVA/10-0.4kV型变压器2台、1000kVA/10-0.4kV型变压器1台</w:t>
                  </w:r>
                </w:p>
              </w:tc>
              <w:tc>
                <w:tcPr>
                  <w:tcW w:w="1990" w:type="pct"/>
                  <w:tcBorders>
                    <w:tl2br w:val="nil"/>
                    <w:tr2bl w:val="nil"/>
                  </w:tcBorders>
                  <w:noWrap w:val="0"/>
                  <w:vAlign w:val="center"/>
                </w:tcPr>
                <w:p w14:paraId="41A251AA">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b w:val="0"/>
                      <w:bCs/>
                      <w:color w:val="auto"/>
                      <w:sz w:val="18"/>
                      <w:szCs w:val="18"/>
                      <w:lang w:val="en-US" w:eastAsia="zh-CN"/>
                    </w:rPr>
                  </w:pPr>
                  <w:r>
                    <w:rPr>
                      <w:rFonts w:ascii="Times New Roman" w:hAnsi="Times New Roman"/>
                      <w:b w:val="0"/>
                      <w:bCs/>
                      <w:color w:val="auto"/>
                      <w:sz w:val="18"/>
                      <w:szCs w:val="18"/>
                    </w:rPr>
                    <w:t>市政电网</w:t>
                  </w:r>
                  <w:r>
                    <w:rPr>
                      <w:rFonts w:hint="eastAsia" w:ascii="Times New Roman" w:hAnsi="Times New Roman"/>
                      <w:b w:val="0"/>
                      <w:bCs/>
                      <w:color w:val="auto"/>
                      <w:sz w:val="18"/>
                      <w:szCs w:val="18"/>
                    </w:rPr>
                    <w:t>提供</w:t>
                  </w:r>
                  <w:r>
                    <w:rPr>
                      <w:rFonts w:hint="eastAsia" w:ascii="Times New Roman" w:hAnsi="Times New Roman"/>
                      <w:b w:val="0"/>
                      <w:bCs/>
                      <w:color w:val="auto"/>
                      <w:sz w:val="18"/>
                      <w:szCs w:val="18"/>
                      <w:lang w:eastAsia="zh-CN"/>
                    </w:rPr>
                    <w:t>（</w:t>
                  </w:r>
                  <w:r>
                    <w:rPr>
                      <w:rFonts w:hint="eastAsia" w:ascii="Times New Roman" w:hAnsi="Times New Roman"/>
                      <w:b w:val="0"/>
                      <w:bCs/>
                      <w:color w:val="auto"/>
                      <w:sz w:val="18"/>
                      <w:szCs w:val="18"/>
                      <w:lang w:val="en-US" w:eastAsia="zh-CN"/>
                    </w:rPr>
                    <w:t>本次</w:t>
                  </w:r>
                  <w:r>
                    <w:rPr>
                      <w:rFonts w:hint="eastAsia"/>
                      <w:b w:val="0"/>
                      <w:bCs/>
                      <w:color w:val="auto"/>
                      <w:sz w:val="18"/>
                      <w:szCs w:val="18"/>
                      <w:lang w:val="en-US" w:eastAsia="zh-CN"/>
                    </w:rPr>
                    <w:t>改建</w:t>
                  </w:r>
                  <w:r>
                    <w:rPr>
                      <w:rFonts w:hint="eastAsia" w:ascii="Times New Roman" w:hAnsi="Times New Roman"/>
                      <w:b w:val="0"/>
                      <w:bCs/>
                      <w:color w:val="auto"/>
                      <w:sz w:val="18"/>
                      <w:szCs w:val="18"/>
                      <w:lang w:val="en-US" w:eastAsia="zh-CN"/>
                    </w:rPr>
                    <w:t>后增加200.34</w:t>
                  </w:r>
                  <w:r>
                    <w:rPr>
                      <w:rFonts w:hint="eastAsia"/>
                      <w:b w:val="0"/>
                      <w:bCs/>
                      <w:color w:val="auto"/>
                      <w:sz w:val="18"/>
                      <w:szCs w:val="18"/>
                      <w:lang w:val="en-US" w:eastAsia="zh-CN"/>
                    </w:rPr>
                    <w:t>万kW·h用电量）</w:t>
                  </w:r>
                </w:p>
              </w:tc>
            </w:tr>
            <w:tr w14:paraId="46D14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45927B18">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77503F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供气</w:t>
                  </w:r>
                </w:p>
              </w:tc>
              <w:tc>
                <w:tcPr>
                  <w:tcW w:w="1727" w:type="pct"/>
                  <w:gridSpan w:val="3"/>
                  <w:tcBorders>
                    <w:tl2br w:val="nil"/>
                    <w:tr2bl w:val="nil"/>
                  </w:tcBorders>
                  <w:noWrap w:val="0"/>
                  <w:vAlign w:val="center"/>
                </w:tcPr>
                <w:p w14:paraId="64311B5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hint="eastAsia" w:ascii="Times New Roman" w:hAnsi="Times New Roman"/>
                      <w:b w:val="0"/>
                      <w:bCs/>
                      <w:color w:val="auto"/>
                      <w:sz w:val="18"/>
                      <w:szCs w:val="18"/>
                    </w:rPr>
                    <w:t>天然气使用量为30万m</w:t>
                  </w:r>
                  <w:r>
                    <w:rPr>
                      <w:rFonts w:hint="eastAsia" w:ascii="Times New Roman" w:hAnsi="Times New Roman"/>
                      <w:b w:val="0"/>
                      <w:bCs/>
                      <w:color w:val="auto"/>
                      <w:sz w:val="18"/>
                      <w:szCs w:val="18"/>
                      <w:vertAlign w:val="superscript"/>
                    </w:rPr>
                    <w:t>3</w:t>
                  </w:r>
                  <w:r>
                    <w:rPr>
                      <w:rFonts w:hint="eastAsia" w:ascii="Times New Roman" w:hAnsi="Times New Roman"/>
                      <w:b w:val="0"/>
                      <w:bCs/>
                      <w:color w:val="auto"/>
                      <w:sz w:val="18"/>
                      <w:szCs w:val="18"/>
                    </w:rPr>
                    <w:t>/a</w:t>
                  </w:r>
                </w:p>
              </w:tc>
              <w:tc>
                <w:tcPr>
                  <w:tcW w:w="1990" w:type="pct"/>
                  <w:tcBorders>
                    <w:tl2br w:val="nil"/>
                    <w:tr2bl w:val="nil"/>
                  </w:tcBorders>
                  <w:noWrap w:val="0"/>
                  <w:vAlign w:val="center"/>
                </w:tcPr>
                <w:p w14:paraId="06A5708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 w:val="0"/>
                      <w:bCs/>
                      <w:color w:val="auto"/>
                      <w:sz w:val="18"/>
                      <w:szCs w:val="18"/>
                    </w:rPr>
                  </w:pPr>
                  <w:r>
                    <w:rPr>
                      <w:rFonts w:hint="eastAsia" w:ascii="Times New Roman" w:hAnsi="Times New Roman"/>
                      <w:b w:val="0"/>
                      <w:bCs/>
                      <w:color w:val="auto"/>
                      <w:sz w:val="18"/>
                      <w:szCs w:val="18"/>
                    </w:rPr>
                    <w:t>市政供气管网提供</w:t>
                  </w:r>
                </w:p>
              </w:tc>
            </w:tr>
            <w:tr w14:paraId="64685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3778909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6D21D8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宋体" w:hAnsi="宋体" w:cs="宋体"/>
                      <w:color w:val="auto"/>
                      <w:kern w:val="0"/>
                      <w:sz w:val="18"/>
                      <w:szCs w:val="18"/>
                      <w:lang w:bidi="ar"/>
                    </w:rPr>
                    <w:t>压缩空气</w:t>
                  </w:r>
                </w:p>
              </w:tc>
              <w:tc>
                <w:tcPr>
                  <w:tcW w:w="1727" w:type="pct"/>
                  <w:gridSpan w:val="3"/>
                  <w:tcBorders>
                    <w:tl2br w:val="nil"/>
                    <w:tr2bl w:val="nil"/>
                  </w:tcBorders>
                  <w:noWrap w:val="0"/>
                  <w:vAlign w:val="center"/>
                </w:tcPr>
                <w:p w14:paraId="067508EE">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ascii="Times New Roman" w:hAnsi="Times New Roman"/>
                      <w:b w:val="0"/>
                      <w:bCs/>
                      <w:color w:val="auto"/>
                      <w:sz w:val="18"/>
                      <w:szCs w:val="18"/>
                    </w:rPr>
                    <w:t xml:space="preserve">BD-15EPM </w:t>
                  </w:r>
                  <w:r>
                    <w:rPr>
                      <w:rFonts w:hint="eastAsia" w:ascii="Times New Roman" w:hAnsi="Times New Roman"/>
                      <w:b w:val="0"/>
                      <w:bCs/>
                      <w:color w:val="auto"/>
                      <w:sz w:val="18"/>
                      <w:szCs w:val="18"/>
                    </w:rPr>
                    <w:t>型螺杆式空压机，</w:t>
                  </w:r>
                  <w:r>
                    <w:rPr>
                      <w:rFonts w:ascii="Times New Roman" w:hAnsi="Times New Roman"/>
                      <w:b w:val="0"/>
                      <w:bCs/>
                      <w:color w:val="auto"/>
                      <w:sz w:val="18"/>
                      <w:szCs w:val="18"/>
                    </w:rPr>
                    <w:t>1.04~2.6m</w:t>
                  </w:r>
                  <w:r>
                    <w:rPr>
                      <w:rFonts w:hint="eastAsia" w:ascii="Times New Roman" w:hAnsi="Times New Roman"/>
                      <w:b w:val="0"/>
                      <w:bCs/>
                      <w:color w:val="auto"/>
                      <w:sz w:val="18"/>
                      <w:szCs w:val="18"/>
                      <w:vertAlign w:val="superscript"/>
                    </w:rPr>
                    <w:t>3</w:t>
                  </w:r>
                  <w:r>
                    <w:rPr>
                      <w:rFonts w:ascii="Times New Roman" w:hAnsi="Times New Roman"/>
                      <w:b w:val="0"/>
                      <w:bCs/>
                      <w:color w:val="auto"/>
                      <w:sz w:val="18"/>
                      <w:szCs w:val="18"/>
                    </w:rPr>
                    <w:t xml:space="preserve"> /min</w:t>
                  </w:r>
                  <w:r>
                    <w:rPr>
                      <w:rFonts w:hint="eastAsia" w:ascii="Times New Roman" w:hAnsi="Times New Roman"/>
                      <w:b w:val="0"/>
                      <w:bCs/>
                      <w:color w:val="auto"/>
                      <w:sz w:val="18"/>
                      <w:szCs w:val="18"/>
                    </w:rPr>
                    <w:t>，排气压力</w:t>
                  </w:r>
                  <w:r>
                    <w:rPr>
                      <w:rFonts w:ascii="Times New Roman" w:hAnsi="Times New Roman"/>
                      <w:b w:val="0"/>
                      <w:bCs/>
                      <w:color w:val="auto"/>
                      <w:sz w:val="18"/>
                      <w:szCs w:val="18"/>
                    </w:rPr>
                    <w:t>0.8Mpa</w:t>
                  </w:r>
                  <w:r>
                    <w:rPr>
                      <w:rFonts w:hint="eastAsia" w:ascii="Times New Roman" w:hAnsi="Times New Roman"/>
                      <w:b w:val="0"/>
                      <w:bCs/>
                      <w:color w:val="auto"/>
                      <w:sz w:val="18"/>
                      <w:szCs w:val="18"/>
                    </w:rPr>
                    <w:t xml:space="preserve">；配备冷冻式干燥机及吸附式干燥机各 </w:t>
                  </w:r>
                  <w:r>
                    <w:rPr>
                      <w:rFonts w:ascii="Times New Roman" w:hAnsi="Times New Roman"/>
                      <w:b w:val="0"/>
                      <w:bCs/>
                      <w:color w:val="auto"/>
                      <w:sz w:val="18"/>
                      <w:szCs w:val="18"/>
                    </w:rPr>
                    <w:t xml:space="preserve">1 </w:t>
                  </w:r>
                  <w:r>
                    <w:rPr>
                      <w:rFonts w:hint="eastAsia" w:ascii="Times New Roman" w:hAnsi="Times New Roman"/>
                      <w:b w:val="0"/>
                      <w:bCs/>
                      <w:color w:val="auto"/>
                      <w:sz w:val="18"/>
                      <w:szCs w:val="18"/>
                    </w:rPr>
                    <w:t>台（处理风量：</w:t>
                  </w:r>
                  <w:r>
                    <w:rPr>
                      <w:rFonts w:ascii="Times New Roman" w:hAnsi="Times New Roman"/>
                      <w:b w:val="0"/>
                      <w:bCs/>
                      <w:color w:val="auto"/>
                      <w:sz w:val="18"/>
                      <w:szCs w:val="18"/>
                    </w:rPr>
                    <w:t>2.8m</w:t>
                  </w:r>
                  <w:r>
                    <w:rPr>
                      <w:rFonts w:ascii="Times New Roman" w:hAnsi="Times New Roman"/>
                      <w:b w:val="0"/>
                      <w:bCs/>
                      <w:color w:val="auto"/>
                      <w:sz w:val="18"/>
                      <w:szCs w:val="18"/>
                      <w:vertAlign w:val="superscript"/>
                    </w:rPr>
                    <w:t xml:space="preserve">3 </w:t>
                  </w:r>
                  <w:r>
                    <w:rPr>
                      <w:rFonts w:ascii="Times New Roman" w:hAnsi="Times New Roman"/>
                      <w:b w:val="0"/>
                      <w:bCs/>
                      <w:color w:val="auto"/>
                      <w:sz w:val="18"/>
                      <w:szCs w:val="18"/>
                    </w:rPr>
                    <w:t>/min</w:t>
                  </w:r>
                  <w:r>
                    <w:rPr>
                      <w:rFonts w:hint="eastAsia" w:ascii="Times New Roman" w:hAnsi="Times New Roman"/>
                      <w:b w:val="0"/>
                      <w:bCs/>
                      <w:color w:val="auto"/>
                      <w:sz w:val="18"/>
                      <w:szCs w:val="18"/>
                    </w:rPr>
                    <w:t>），同时配备</w:t>
                  </w:r>
                  <w:r>
                    <w:rPr>
                      <w:rFonts w:ascii="Times New Roman" w:hAnsi="Times New Roman"/>
                      <w:b w:val="0"/>
                      <w:bCs/>
                      <w:color w:val="auto"/>
                      <w:sz w:val="18"/>
                      <w:szCs w:val="18"/>
                    </w:rPr>
                    <w:t>1m</w:t>
                  </w:r>
                  <w:r>
                    <w:rPr>
                      <w:rFonts w:ascii="Times New Roman" w:hAnsi="Times New Roman"/>
                      <w:b w:val="0"/>
                      <w:bCs/>
                      <w:color w:val="auto"/>
                      <w:sz w:val="18"/>
                      <w:szCs w:val="18"/>
                      <w:vertAlign w:val="superscript"/>
                    </w:rPr>
                    <w:t>3</w:t>
                  </w:r>
                  <w:r>
                    <w:rPr>
                      <w:rFonts w:ascii="Times New Roman" w:hAnsi="Times New Roman"/>
                      <w:b w:val="0"/>
                      <w:bCs/>
                      <w:color w:val="auto"/>
                      <w:sz w:val="18"/>
                      <w:szCs w:val="18"/>
                    </w:rPr>
                    <w:t xml:space="preserve"> </w:t>
                  </w:r>
                  <w:r>
                    <w:rPr>
                      <w:rFonts w:hint="eastAsia" w:ascii="Times New Roman" w:hAnsi="Times New Roman"/>
                      <w:b w:val="0"/>
                      <w:bCs/>
                      <w:color w:val="auto"/>
                      <w:sz w:val="18"/>
                      <w:szCs w:val="18"/>
                    </w:rPr>
                    <w:t>压缩空气储罐</w:t>
                  </w:r>
                </w:p>
              </w:tc>
              <w:tc>
                <w:tcPr>
                  <w:tcW w:w="1990" w:type="pct"/>
                  <w:tcBorders>
                    <w:tl2br w:val="nil"/>
                    <w:tr2bl w:val="nil"/>
                  </w:tcBorders>
                  <w:noWrap w:val="0"/>
                  <w:vAlign w:val="center"/>
                </w:tcPr>
                <w:p w14:paraId="75DCA3B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b w:val="0"/>
                      <w:bCs/>
                      <w:color w:val="auto"/>
                      <w:sz w:val="18"/>
                      <w:szCs w:val="18"/>
                      <w:lang w:eastAsia="zh-CN"/>
                    </w:rPr>
                  </w:pPr>
                  <w:r>
                    <w:rPr>
                      <w:rFonts w:hint="eastAsia"/>
                      <w:b w:val="0"/>
                      <w:bCs/>
                      <w:color w:val="auto"/>
                      <w:sz w:val="18"/>
                      <w:szCs w:val="18"/>
                      <w:lang w:val="en-US" w:eastAsia="zh-CN"/>
                    </w:rPr>
                    <w:t>/</w:t>
                  </w:r>
                </w:p>
              </w:tc>
            </w:tr>
            <w:tr w14:paraId="47ADC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00E118B9">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05E38D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bCs/>
                      <w:color w:val="auto"/>
                      <w:sz w:val="18"/>
                      <w:szCs w:val="18"/>
                    </w:rPr>
                    <w:t>导热油炉</w:t>
                  </w:r>
                </w:p>
              </w:tc>
              <w:tc>
                <w:tcPr>
                  <w:tcW w:w="1727" w:type="pct"/>
                  <w:gridSpan w:val="3"/>
                  <w:tcBorders>
                    <w:tl2br w:val="nil"/>
                    <w:tr2bl w:val="nil"/>
                  </w:tcBorders>
                  <w:noWrap w:val="0"/>
                  <w:vAlign w:val="center"/>
                </w:tcPr>
                <w:p w14:paraId="4B0EAAD1">
                  <w:pPr>
                    <w:pStyle w:val="185"/>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eastAsia="宋体"/>
                      <w:b w:val="0"/>
                      <w:bCs/>
                      <w:color w:val="auto"/>
                      <w:sz w:val="18"/>
                      <w:szCs w:val="18"/>
                      <w:lang w:eastAsia="zh-CN"/>
                    </w:rPr>
                  </w:pPr>
                  <w:r>
                    <w:rPr>
                      <w:rFonts w:ascii="Times New Roman" w:hAnsi="Times New Roman"/>
                      <w:b w:val="0"/>
                      <w:bCs/>
                      <w:color w:val="auto"/>
                      <w:sz w:val="18"/>
                      <w:szCs w:val="18"/>
                    </w:rPr>
                    <w:t xml:space="preserve">Q10/830- 1.8-0.8-320/305  </w:t>
                  </w:r>
                  <w:r>
                    <w:rPr>
                      <w:rFonts w:hint="eastAsia"/>
                      <w:b w:val="0"/>
                      <w:bCs/>
                      <w:color w:val="auto"/>
                      <w:sz w:val="18"/>
                      <w:szCs w:val="18"/>
                      <w:lang w:eastAsia="zh-CN"/>
                    </w:rPr>
                    <w:t>（</w:t>
                  </w:r>
                  <w:r>
                    <w:rPr>
                      <w:rFonts w:ascii="Times New Roman" w:hAnsi="Times New Roman"/>
                      <w:b w:val="0"/>
                      <w:bCs/>
                      <w:color w:val="auto"/>
                      <w:sz w:val="18"/>
                      <w:szCs w:val="18"/>
                    </w:rPr>
                    <w:t>100 万大 卡</w:t>
                  </w:r>
                  <w:r>
                    <w:rPr>
                      <w:rFonts w:hint="eastAsia"/>
                      <w:b w:val="0"/>
                      <w:bCs/>
                      <w:color w:val="auto"/>
                      <w:sz w:val="18"/>
                      <w:szCs w:val="18"/>
                      <w:lang w:eastAsia="zh-CN"/>
                    </w:rPr>
                    <w:t>）</w:t>
                  </w:r>
                </w:p>
              </w:tc>
              <w:tc>
                <w:tcPr>
                  <w:tcW w:w="1990" w:type="pct"/>
                  <w:tcBorders>
                    <w:tl2br w:val="nil"/>
                    <w:tr2bl w:val="nil"/>
                  </w:tcBorders>
                  <w:noWrap w:val="0"/>
                  <w:vAlign w:val="center"/>
                </w:tcPr>
                <w:p w14:paraId="593F654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ascii="Times New Roman" w:hAnsi="Times New Roman" w:eastAsia="Times New Roman"/>
                      <w:b w:val="0"/>
                      <w:bCs/>
                      <w:color w:val="auto"/>
                      <w:spacing w:val="-1"/>
                      <w:sz w:val="18"/>
                      <w:szCs w:val="18"/>
                    </w:rPr>
                    <w:t>RTO</w:t>
                  </w:r>
                  <w:r>
                    <w:rPr>
                      <w:rFonts w:ascii="Times New Roman" w:hAnsi="Times New Roman" w:eastAsia="Times New Roman"/>
                      <w:b w:val="0"/>
                      <w:bCs/>
                      <w:color w:val="auto"/>
                      <w:spacing w:val="-2"/>
                      <w:sz w:val="18"/>
                      <w:szCs w:val="18"/>
                    </w:rPr>
                    <w:t xml:space="preserve"> </w:t>
                  </w:r>
                  <w:r>
                    <w:rPr>
                      <w:rFonts w:ascii="宋体" w:hAnsi="宋体" w:cs="宋体"/>
                      <w:b w:val="0"/>
                      <w:bCs/>
                      <w:color w:val="auto"/>
                      <w:spacing w:val="-2"/>
                      <w:sz w:val="18"/>
                      <w:szCs w:val="18"/>
                    </w:rPr>
                    <w:t>炉余热烟气供热</w:t>
                  </w:r>
                </w:p>
              </w:tc>
            </w:tr>
            <w:tr w14:paraId="3D032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7F0B7D7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47E3CA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18"/>
                      <w:szCs w:val="18"/>
                    </w:rPr>
                  </w:pPr>
                  <w:r>
                    <w:rPr>
                      <w:rFonts w:hint="eastAsia" w:ascii="Times New Roman" w:hAnsi="Times New Roman"/>
                      <w:bCs/>
                      <w:color w:val="auto"/>
                      <w:sz w:val="18"/>
                      <w:szCs w:val="18"/>
                    </w:rPr>
                    <w:t>纯水系统</w:t>
                  </w:r>
                </w:p>
              </w:tc>
              <w:tc>
                <w:tcPr>
                  <w:tcW w:w="1727" w:type="pct"/>
                  <w:gridSpan w:val="3"/>
                  <w:tcBorders>
                    <w:tl2br w:val="nil"/>
                    <w:tr2bl w:val="nil"/>
                  </w:tcBorders>
                  <w:noWrap w:val="0"/>
                  <w:vAlign w:val="center"/>
                </w:tcPr>
                <w:p w14:paraId="2B95F27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纯水180</w:t>
                  </w:r>
                  <w:r>
                    <w:rPr>
                      <w:rFonts w:eastAsia="Times New Roman"/>
                      <w:b w:val="0"/>
                      <w:bCs/>
                      <w:color w:val="auto"/>
                      <w:sz w:val="18"/>
                      <w:szCs w:val="18"/>
                    </w:rPr>
                    <w:t>m</w:t>
                  </w:r>
                  <w:r>
                    <w:rPr>
                      <w:rFonts w:eastAsia="Times New Roman"/>
                      <w:b w:val="0"/>
                      <w:bCs/>
                      <w:color w:val="auto"/>
                      <w:sz w:val="18"/>
                      <w:szCs w:val="18"/>
                      <w:vertAlign w:val="superscript"/>
                    </w:rPr>
                    <w:t>3</w:t>
                  </w:r>
                  <w:r>
                    <w:rPr>
                      <w:rFonts w:eastAsia="Times New Roman"/>
                      <w:b w:val="0"/>
                      <w:bCs/>
                      <w:color w:val="auto"/>
                      <w:sz w:val="18"/>
                      <w:szCs w:val="18"/>
                    </w:rPr>
                    <w:t>/a</w:t>
                  </w:r>
                </w:p>
              </w:tc>
              <w:tc>
                <w:tcPr>
                  <w:tcW w:w="1990" w:type="pct"/>
                  <w:tcBorders>
                    <w:tl2br w:val="nil"/>
                    <w:tr2bl w:val="nil"/>
                  </w:tcBorders>
                  <w:noWrap w:val="0"/>
                  <w:vAlign w:val="center"/>
                </w:tcPr>
                <w:p w14:paraId="35C9F781">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自制、</w:t>
                  </w:r>
                  <w:r>
                    <w:rPr>
                      <w:b w:val="0"/>
                      <w:bCs/>
                      <w:color w:val="auto"/>
                      <w:sz w:val="18"/>
                      <w:szCs w:val="18"/>
                    </w:rPr>
                    <w:t>纯水得水率</w:t>
                  </w:r>
                  <w:r>
                    <w:rPr>
                      <w:rFonts w:hint="eastAsia"/>
                      <w:b w:val="0"/>
                      <w:bCs/>
                      <w:color w:val="auto"/>
                      <w:sz w:val="18"/>
                      <w:szCs w:val="18"/>
                    </w:rPr>
                    <w:t>为70%，电导率为5us/cm，供水能力为30L/h</w:t>
                  </w:r>
                </w:p>
              </w:tc>
            </w:tr>
            <w:tr w14:paraId="7ACC1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restart"/>
                  <w:tcBorders>
                    <w:tl2br w:val="nil"/>
                    <w:tr2bl w:val="nil"/>
                  </w:tcBorders>
                  <w:noWrap w:val="0"/>
                  <w:vAlign w:val="center"/>
                </w:tcPr>
                <w:p w14:paraId="3F55B583">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环保工程</w:t>
                  </w:r>
                </w:p>
              </w:tc>
              <w:tc>
                <w:tcPr>
                  <w:tcW w:w="776" w:type="pct"/>
                  <w:tcBorders>
                    <w:tl2br w:val="nil"/>
                    <w:tr2bl w:val="nil"/>
                  </w:tcBorders>
                  <w:noWrap w:val="0"/>
                  <w:vAlign w:val="center"/>
                </w:tcPr>
                <w:p w14:paraId="3B8D2B65">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废水</w:t>
                  </w:r>
                </w:p>
              </w:tc>
              <w:tc>
                <w:tcPr>
                  <w:tcW w:w="1727" w:type="pct"/>
                  <w:gridSpan w:val="3"/>
                  <w:tcBorders>
                    <w:tl2br w:val="nil"/>
                    <w:tr2bl w:val="nil"/>
                  </w:tcBorders>
                  <w:noWrap w:val="0"/>
                  <w:vAlign w:val="center"/>
                </w:tcPr>
                <w:p w14:paraId="1E52EE1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ascii="Times New Roman" w:hAnsi="Times New Roman"/>
                      <w:b w:val="0"/>
                      <w:bCs/>
                      <w:color w:val="auto"/>
                      <w:sz w:val="18"/>
                      <w:szCs w:val="18"/>
                    </w:rPr>
                    <w:t>“调节池+初沉池+水解酸化池+接触氧化池+二沉池”工艺处理；规模：35m</w:t>
                  </w:r>
                  <w:r>
                    <w:rPr>
                      <w:rFonts w:hint="eastAsia" w:ascii="Times New Roman" w:hAnsi="Times New Roman"/>
                      <w:b w:val="0"/>
                      <w:bCs/>
                      <w:color w:val="auto"/>
                      <w:sz w:val="18"/>
                      <w:szCs w:val="18"/>
                      <w:vertAlign w:val="superscript"/>
                    </w:rPr>
                    <w:t>3</w:t>
                  </w:r>
                  <w:r>
                    <w:rPr>
                      <w:rFonts w:hint="eastAsia" w:ascii="Times New Roman" w:hAnsi="Times New Roman"/>
                      <w:b w:val="0"/>
                      <w:bCs/>
                      <w:color w:val="auto"/>
                      <w:sz w:val="18"/>
                      <w:szCs w:val="18"/>
                    </w:rPr>
                    <w:t>/d</w:t>
                  </w:r>
                </w:p>
              </w:tc>
              <w:tc>
                <w:tcPr>
                  <w:tcW w:w="1990" w:type="pct"/>
                  <w:tcBorders>
                    <w:tl2br w:val="nil"/>
                    <w:tr2bl w:val="nil"/>
                  </w:tcBorders>
                  <w:noWrap w:val="0"/>
                  <w:vAlign w:val="center"/>
                </w:tcPr>
                <w:p w14:paraId="7A3C5AF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达标排放</w:t>
                  </w:r>
                </w:p>
              </w:tc>
            </w:tr>
            <w:tr w14:paraId="2F8DC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0D6809C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623A0E6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废气</w:t>
                  </w:r>
                </w:p>
              </w:tc>
              <w:tc>
                <w:tcPr>
                  <w:tcW w:w="1727" w:type="pct"/>
                  <w:gridSpan w:val="3"/>
                  <w:tcBorders>
                    <w:tl2br w:val="nil"/>
                    <w:tr2bl w:val="nil"/>
                  </w:tcBorders>
                  <w:noWrap w:val="0"/>
                  <w:vAlign w:val="center"/>
                </w:tcPr>
                <w:p w14:paraId="15CAB27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ascii="Times New Roman" w:hAnsi="Times New Roman"/>
                      <w:b w:val="0"/>
                      <w:bCs/>
                      <w:color w:val="auto"/>
                      <w:sz w:val="18"/>
                      <w:szCs w:val="18"/>
                      <w:lang w:val="en-US" w:eastAsia="zh-CN"/>
                    </w:rPr>
                    <w:t>降温喷淋塔+干式过滤（除雾器）+二级活性炭吸附</w:t>
                  </w:r>
                  <w:r>
                    <w:rPr>
                      <w:rFonts w:hint="eastAsia"/>
                      <w:b w:val="0"/>
                      <w:bCs/>
                      <w:color w:val="auto"/>
                      <w:sz w:val="18"/>
                      <w:szCs w:val="18"/>
                      <w:lang w:val="en-US" w:eastAsia="zh-CN"/>
                    </w:rPr>
                    <w:t>+25m排气筒</w:t>
                  </w:r>
                  <w:r>
                    <w:rPr>
                      <w:rFonts w:hint="eastAsia" w:ascii="Times New Roman" w:hAnsi="Times New Roman"/>
                      <w:b w:val="0"/>
                      <w:bCs/>
                      <w:color w:val="auto"/>
                      <w:sz w:val="18"/>
                      <w:szCs w:val="18"/>
                    </w:rPr>
                    <w:t>一套；</w:t>
                  </w:r>
                  <w:r>
                    <w:rPr>
                      <w:rFonts w:ascii="Times New Roman" w:hAnsi="Times New Roman"/>
                      <w:b w:val="0"/>
                      <w:bCs/>
                      <w:color w:val="auto"/>
                      <w:sz w:val="18"/>
                      <w:szCs w:val="18"/>
                    </w:rPr>
                    <w:t>RTO</w:t>
                  </w:r>
                  <w:r>
                    <w:rPr>
                      <w:rFonts w:hint="eastAsia" w:ascii="Times New Roman" w:hAnsi="Times New Roman"/>
                      <w:b w:val="0"/>
                      <w:bCs/>
                      <w:color w:val="auto"/>
                      <w:sz w:val="18"/>
                      <w:szCs w:val="18"/>
                    </w:rPr>
                    <w:t>焚烧</w:t>
                  </w:r>
                  <w:r>
                    <w:rPr>
                      <w:rFonts w:ascii="Times New Roman" w:hAnsi="Times New Roman"/>
                      <w:b w:val="0"/>
                      <w:bCs/>
                      <w:color w:val="auto"/>
                      <w:sz w:val="18"/>
                      <w:szCs w:val="18"/>
                    </w:rPr>
                    <w:t>装置</w:t>
                  </w:r>
                  <w:r>
                    <w:rPr>
                      <w:rFonts w:hint="eastAsia"/>
                      <w:b w:val="0"/>
                      <w:bCs/>
                      <w:color w:val="auto"/>
                      <w:sz w:val="18"/>
                      <w:szCs w:val="18"/>
                      <w:lang w:val="en-US" w:eastAsia="zh-CN"/>
                    </w:rPr>
                    <w:t>+25m排气筒</w:t>
                  </w:r>
                  <w:r>
                    <w:rPr>
                      <w:rFonts w:hint="eastAsia" w:ascii="Times New Roman" w:hAnsi="Times New Roman"/>
                      <w:b w:val="0"/>
                      <w:bCs/>
                      <w:color w:val="auto"/>
                      <w:sz w:val="18"/>
                      <w:szCs w:val="18"/>
                      <w:lang w:val="en-US" w:eastAsia="zh-CN"/>
                    </w:rPr>
                    <w:t>1</w:t>
                  </w:r>
                  <w:r>
                    <w:rPr>
                      <w:rFonts w:ascii="Times New Roman" w:hAnsi="Times New Roman"/>
                      <w:b w:val="0"/>
                      <w:bCs/>
                      <w:color w:val="auto"/>
                      <w:sz w:val="18"/>
                      <w:szCs w:val="18"/>
                    </w:rPr>
                    <w:t>套；</w:t>
                  </w:r>
                  <w:r>
                    <w:rPr>
                      <w:rFonts w:hint="eastAsia" w:ascii="Times New Roman" w:hAnsi="Times New Roman"/>
                      <w:b w:val="0"/>
                      <w:bCs/>
                      <w:color w:val="auto"/>
                      <w:sz w:val="18"/>
                      <w:szCs w:val="18"/>
                      <w:lang w:val="en-US" w:eastAsia="zh-CN"/>
                    </w:rPr>
                    <w:t>二级活性炭</w:t>
                  </w:r>
                  <w:r>
                    <w:rPr>
                      <w:rFonts w:hint="eastAsia"/>
                      <w:b w:val="0"/>
                      <w:bCs/>
                      <w:color w:val="auto"/>
                      <w:sz w:val="18"/>
                      <w:szCs w:val="18"/>
                      <w:lang w:val="en-US" w:eastAsia="zh-CN"/>
                    </w:rPr>
                    <w:t>装置1套+15m排气筒</w:t>
                  </w:r>
                </w:p>
              </w:tc>
              <w:tc>
                <w:tcPr>
                  <w:tcW w:w="1990" w:type="pct"/>
                  <w:tcBorders>
                    <w:tl2br w:val="nil"/>
                    <w:tr2bl w:val="nil"/>
                  </w:tcBorders>
                  <w:noWrap w:val="0"/>
                  <w:vAlign w:val="center"/>
                </w:tcPr>
                <w:p w14:paraId="3D45265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各污染物达标排放</w:t>
                  </w:r>
                </w:p>
              </w:tc>
            </w:tr>
            <w:tr w14:paraId="517BA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4FC703D8">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78686BC4">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噪声</w:t>
                  </w:r>
                </w:p>
              </w:tc>
              <w:tc>
                <w:tcPr>
                  <w:tcW w:w="1727" w:type="pct"/>
                  <w:gridSpan w:val="3"/>
                  <w:tcBorders>
                    <w:tl2br w:val="nil"/>
                    <w:tr2bl w:val="nil"/>
                  </w:tcBorders>
                  <w:noWrap w:val="0"/>
                  <w:vAlign w:val="center"/>
                </w:tcPr>
                <w:p w14:paraId="58A2A68D">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采用低噪声设备、隔声减振等措施</w:t>
                  </w:r>
                </w:p>
              </w:tc>
              <w:tc>
                <w:tcPr>
                  <w:tcW w:w="1990" w:type="pct"/>
                  <w:tcBorders>
                    <w:tl2br w:val="nil"/>
                    <w:tr2bl w:val="nil"/>
                  </w:tcBorders>
                  <w:noWrap w:val="0"/>
                  <w:vAlign w:val="center"/>
                </w:tcPr>
                <w:p w14:paraId="7849403A">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ascii="Times New Roman" w:hAnsi="Times New Roman"/>
                      <w:b w:val="0"/>
                      <w:bCs/>
                      <w:color w:val="auto"/>
                      <w:sz w:val="18"/>
                      <w:szCs w:val="18"/>
                    </w:rPr>
                    <w:t>满足GB12348-2008中3类</w:t>
                  </w:r>
                  <w:r>
                    <w:rPr>
                      <w:rFonts w:hint="eastAsia" w:ascii="Times New Roman" w:hAnsi="Times New Roman"/>
                      <w:b w:val="0"/>
                      <w:bCs/>
                      <w:color w:val="auto"/>
                      <w:sz w:val="18"/>
                      <w:szCs w:val="18"/>
                    </w:rPr>
                    <w:t>和4a类</w:t>
                  </w:r>
                  <w:r>
                    <w:rPr>
                      <w:rFonts w:ascii="Times New Roman" w:hAnsi="Times New Roman"/>
                      <w:b w:val="0"/>
                      <w:bCs/>
                      <w:color w:val="auto"/>
                      <w:sz w:val="18"/>
                      <w:szCs w:val="18"/>
                    </w:rPr>
                    <w:t>标准</w:t>
                  </w:r>
                </w:p>
              </w:tc>
            </w:tr>
            <w:tr w14:paraId="5593F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 w:type="pct"/>
                  <w:vMerge w:val="continue"/>
                  <w:tcBorders>
                    <w:tl2br w:val="nil"/>
                    <w:tr2bl w:val="nil"/>
                  </w:tcBorders>
                  <w:noWrap w:val="0"/>
                  <w:vAlign w:val="center"/>
                </w:tcPr>
                <w:p w14:paraId="768629AB">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80" w:type="pct"/>
                  <w:gridSpan w:val="2"/>
                  <w:vMerge w:val="restart"/>
                  <w:tcBorders>
                    <w:tl2br w:val="nil"/>
                    <w:tr2bl w:val="nil"/>
                  </w:tcBorders>
                  <w:noWrap w:val="0"/>
                  <w:vAlign w:val="center"/>
                </w:tcPr>
                <w:p w14:paraId="53D7E0D0">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固废</w:t>
                  </w:r>
                </w:p>
              </w:tc>
              <w:tc>
                <w:tcPr>
                  <w:tcW w:w="556" w:type="pct"/>
                  <w:tcBorders>
                    <w:tl2br w:val="nil"/>
                    <w:tr2bl w:val="nil"/>
                  </w:tcBorders>
                  <w:noWrap w:val="0"/>
                  <w:vAlign w:val="center"/>
                </w:tcPr>
                <w:p w14:paraId="7A8655E2">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一般固废</w:t>
                  </w:r>
                </w:p>
              </w:tc>
              <w:tc>
                <w:tcPr>
                  <w:tcW w:w="1167" w:type="pct"/>
                  <w:tcBorders>
                    <w:tl2br w:val="nil"/>
                    <w:tr2bl w:val="nil"/>
                  </w:tcBorders>
                  <w:noWrap w:val="0"/>
                  <w:vAlign w:val="center"/>
                </w:tcPr>
                <w:p w14:paraId="37128B32">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一般固废堆场504m</w:t>
                  </w:r>
                  <w:r>
                    <w:rPr>
                      <w:rFonts w:hint="eastAsia"/>
                      <w:b w:val="0"/>
                      <w:bCs/>
                      <w:color w:val="auto"/>
                      <w:sz w:val="18"/>
                      <w:szCs w:val="18"/>
                      <w:vertAlign w:val="superscript"/>
                    </w:rPr>
                    <w:t>2</w:t>
                  </w:r>
                </w:p>
              </w:tc>
              <w:tc>
                <w:tcPr>
                  <w:tcW w:w="2055" w:type="pct"/>
                  <w:gridSpan w:val="2"/>
                  <w:tcBorders>
                    <w:tl2br w:val="nil"/>
                    <w:tr2bl w:val="nil"/>
                  </w:tcBorders>
                  <w:noWrap w:val="0"/>
                  <w:vAlign w:val="center"/>
                </w:tcPr>
                <w:p w14:paraId="78FCAA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yellow"/>
                      <w:lang w:val="en-US" w:eastAsia="zh-CN"/>
                    </w:rPr>
                  </w:pPr>
                  <w:r>
                    <w:rPr>
                      <w:rFonts w:hint="eastAsia" w:ascii="Times New Roman" w:hAnsi="Times New Roman"/>
                      <w:color w:val="auto"/>
                      <w:sz w:val="18"/>
                      <w:szCs w:val="18"/>
                      <w:lang w:val="en-US" w:eastAsia="zh-CN"/>
                    </w:rPr>
                    <w:t>/</w:t>
                  </w:r>
                </w:p>
              </w:tc>
            </w:tr>
            <w:tr w14:paraId="0DFC2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 w:type="pct"/>
                  <w:vMerge w:val="continue"/>
                  <w:tcBorders>
                    <w:tl2br w:val="nil"/>
                    <w:tr2bl w:val="nil"/>
                  </w:tcBorders>
                  <w:noWrap w:val="0"/>
                  <w:vAlign w:val="center"/>
                </w:tcPr>
                <w:p w14:paraId="33EEA4B7">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80" w:type="pct"/>
                  <w:gridSpan w:val="2"/>
                  <w:vMerge w:val="continue"/>
                  <w:tcBorders>
                    <w:tl2br w:val="nil"/>
                    <w:tr2bl w:val="nil"/>
                  </w:tcBorders>
                  <w:noWrap w:val="0"/>
                  <w:vAlign w:val="center"/>
                </w:tcPr>
                <w:p w14:paraId="20D1FBC8">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556" w:type="pct"/>
                  <w:tcBorders>
                    <w:tl2br w:val="nil"/>
                    <w:tr2bl w:val="nil"/>
                  </w:tcBorders>
                  <w:noWrap w:val="0"/>
                  <w:vAlign w:val="center"/>
                </w:tcPr>
                <w:p w14:paraId="6B5534CC">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b w:val="0"/>
                      <w:bCs/>
                      <w:color w:val="auto"/>
                      <w:sz w:val="18"/>
                      <w:szCs w:val="18"/>
                    </w:rPr>
                  </w:pPr>
                  <w:r>
                    <w:rPr>
                      <w:rFonts w:hint="eastAsia"/>
                      <w:b w:val="0"/>
                      <w:bCs/>
                      <w:color w:val="auto"/>
                      <w:sz w:val="18"/>
                      <w:szCs w:val="18"/>
                    </w:rPr>
                    <w:t>危险固废</w:t>
                  </w:r>
                </w:p>
              </w:tc>
              <w:tc>
                <w:tcPr>
                  <w:tcW w:w="1167" w:type="pct"/>
                  <w:tcBorders>
                    <w:tl2br w:val="nil"/>
                    <w:tr2bl w:val="nil"/>
                  </w:tcBorders>
                  <w:noWrap w:val="0"/>
                  <w:vAlign w:val="center"/>
                </w:tcPr>
                <w:p w14:paraId="76722786">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r>
                    <w:rPr>
                      <w:rFonts w:hint="eastAsia"/>
                      <w:b w:val="0"/>
                      <w:bCs/>
                      <w:color w:val="auto"/>
                      <w:sz w:val="18"/>
                      <w:szCs w:val="18"/>
                    </w:rPr>
                    <w:t>危险固废堆场160m</w:t>
                  </w:r>
                  <w:r>
                    <w:rPr>
                      <w:rFonts w:hint="eastAsia"/>
                      <w:b w:val="0"/>
                      <w:bCs/>
                      <w:color w:val="auto"/>
                      <w:sz w:val="18"/>
                      <w:szCs w:val="18"/>
                      <w:vertAlign w:val="superscript"/>
                    </w:rPr>
                    <w:t>2</w:t>
                  </w:r>
                </w:p>
              </w:tc>
              <w:tc>
                <w:tcPr>
                  <w:tcW w:w="2055" w:type="pct"/>
                  <w:gridSpan w:val="2"/>
                  <w:tcBorders>
                    <w:tl2br w:val="nil"/>
                    <w:tr2bl w:val="nil"/>
                  </w:tcBorders>
                  <w:noWrap w:val="0"/>
                  <w:vAlign w:val="center"/>
                </w:tcPr>
                <w:p w14:paraId="73541A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18"/>
                      <w:szCs w:val="18"/>
                    </w:rPr>
                  </w:pPr>
                  <w:r>
                    <w:rPr>
                      <w:rFonts w:hint="eastAsia" w:ascii="Times New Roman" w:hAnsi="Times New Roman"/>
                      <w:color w:val="auto"/>
                      <w:sz w:val="18"/>
                      <w:szCs w:val="18"/>
                      <w:lang w:val="en-US" w:eastAsia="zh-CN"/>
                    </w:rPr>
                    <w:t>/</w:t>
                  </w:r>
                </w:p>
              </w:tc>
            </w:tr>
            <w:tr w14:paraId="004AE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7FFCFF1F">
                  <w:pPr>
                    <w:pStyle w:val="18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val="0"/>
                      <w:bCs/>
                      <w:color w:val="auto"/>
                      <w:sz w:val="18"/>
                      <w:szCs w:val="18"/>
                    </w:rPr>
                  </w:pPr>
                </w:p>
              </w:tc>
              <w:tc>
                <w:tcPr>
                  <w:tcW w:w="776" w:type="pct"/>
                  <w:tcBorders>
                    <w:tl2br w:val="nil"/>
                    <w:tr2bl w:val="nil"/>
                  </w:tcBorders>
                  <w:noWrap w:val="0"/>
                  <w:vAlign w:val="center"/>
                </w:tcPr>
                <w:p w14:paraId="32174F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val="0"/>
                      <w:bCs/>
                      <w:color w:val="auto"/>
                      <w:sz w:val="18"/>
                      <w:szCs w:val="18"/>
                    </w:rPr>
                  </w:pPr>
                  <w:r>
                    <w:rPr>
                      <w:rFonts w:ascii="Times New Roman" w:hAnsi="Times New Roman"/>
                      <w:bCs/>
                      <w:color w:val="auto"/>
                      <w:sz w:val="18"/>
                      <w:szCs w:val="18"/>
                    </w:rPr>
                    <w:t>事故应急池</w:t>
                  </w:r>
                </w:p>
              </w:tc>
              <w:tc>
                <w:tcPr>
                  <w:tcW w:w="1727" w:type="pct"/>
                  <w:gridSpan w:val="3"/>
                  <w:tcBorders>
                    <w:tl2br w:val="nil"/>
                    <w:tr2bl w:val="nil"/>
                  </w:tcBorders>
                  <w:noWrap w:val="0"/>
                  <w:vAlign w:val="center"/>
                </w:tcPr>
                <w:p w14:paraId="40C855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color w:val="auto"/>
                      <w:sz w:val="18"/>
                      <w:szCs w:val="18"/>
                    </w:rPr>
                    <w:t>310</w:t>
                  </w:r>
                  <w:r>
                    <w:rPr>
                      <w:rFonts w:ascii="Times New Roman" w:hAnsi="Times New Roman"/>
                      <w:color w:val="auto"/>
                      <w:sz w:val="18"/>
                      <w:szCs w:val="18"/>
                    </w:rPr>
                    <w:t>m</w:t>
                  </w:r>
                  <w:r>
                    <w:rPr>
                      <w:rFonts w:ascii="Times New Roman" w:hAnsi="Times New Roman"/>
                      <w:color w:val="auto"/>
                      <w:sz w:val="18"/>
                      <w:szCs w:val="18"/>
                      <w:vertAlign w:val="superscript"/>
                    </w:rPr>
                    <w:t>3</w:t>
                  </w:r>
                </w:p>
              </w:tc>
              <w:tc>
                <w:tcPr>
                  <w:tcW w:w="1990" w:type="pct"/>
                  <w:tcBorders>
                    <w:tl2br w:val="nil"/>
                    <w:tr2bl w:val="nil"/>
                  </w:tcBorders>
                  <w:noWrap w:val="0"/>
                  <w:vAlign w:val="center"/>
                </w:tcPr>
                <w:p w14:paraId="29E341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lang w:eastAsia="zh-CN"/>
                    </w:rPr>
                  </w:pPr>
                  <w:r>
                    <w:rPr>
                      <w:rFonts w:hint="eastAsia"/>
                      <w:color w:val="auto"/>
                      <w:sz w:val="18"/>
                      <w:szCs w:val="18"/>
                      <w:lang w:val="en-US" w:eastAsia="zh-CN"/>
                    </w:rPr>
                    <w:t>/</w:t>
                  </w:r>
                </w:p>
              </w:tc>
            </w:tr>
            <w:tr w14:paraId="01122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5" w:type="pct"/>
                <w:trHeight w:val="23" w:hRule="atLeast"/>
                <w:jc w:val="center"/>
              </w:trPr>
              <w:tc>
                <w:tcPr>
                  <w:tcW w:w="441" w:type="pct"/>
                  <w:vMerge w:val="continue"/>
                  <w:tcBorders>
                    <w:tl2br w:val="nil"/>
                    <w:tr2bl w:val="nil"/>
                  </w:tcBorders>
                  <w:noWrap w:val="0"/>
                  <w:vAlign w:val="center"/>
                </w:tcPr>
                <w:p w14:paraId="7653C3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c>
                <w:tcPr>
                  <w:tcW w:w="776" w:type="pct"/>
                  <w:tcBorders>
                    <w:tl2br w:val="nil"/>
                    <w:tr2bl w:val="nil"/>
                  </w:tcBorders>
                  <w:noWrap w:val="0"/>
                  <w:vAlign w:val="center"/>
                </w:tcPr>
                <w:p w14:paraId="2CEF92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r>
                    <w:rPr>
                      <w:rFonts w:ascii="Times New Roman" w:hAnsi="Times New Roman"/>
                      <w:bCs/>
                      <w:color w:val="auto"/>
                      <w:sz w:val="18"/>
                      <w:szCs w:val="18"/>
                    </w:rPr>
                    <w:t>初期雨水池</w:t>
                  </w:r>
                </w:p>
              </w:tc>
              <w:tc>
                <w:tcPr>
                  <w:tcW w:w="1727" w:type="pct"/>
                  <w:gridSpan w:val="3"/>
                  <w:tcBorders>
                    <w:tl2br w:val="nil"/>
                    <w:tr2bl w:val="nil"/>
                  </w:tcBorders>
                  <w:noWrap w:val="0"/>
                  <w:vAlign w:val="center"/>
                </w:tcPr>
                <w:p w14:paraId="6CAF1B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bCs/>
                      <w:color w:val="auto"/>
                      <w:sz w:val="18"/>
                      <w:szCs w:val="18"/>
                    </w:rPr>
                  </w:pPr>
                  <w:r>
                    <w:rPr>
                      <w:rFonts w:hint="eastAsia" w:ascii="Times New Roman" w:hAnsi="Times New Roman"/>
                      <w:color w:val="auto"/>
                      <w:sz w:val="18"/>
                      <w:szCs w:val="18"/>
                    </w:rPr>
                    <w:t>1385</w:t>
                  </w:r>
                  <w:r>
                    <w:rPr>
                      <w:rFonts w:ascii="Times New Roman" w:hAnsi="Times New Roman"/>
                      <w:color w:val="auto"/>
                      <w:sz w:val="18"/>
                      <w:szCs w:val="18"/>
                    </w:rPr>
                    <w:t>m</w:t>
                  </w:r>
                  <w:r>
                    <w:rPr>
                      <w:rFonts w:ascii="Times New Roman" w:hAnsi="Times New Roman"/>
                      <w:color w:val="auto"/>
                      <w:sz w:val="18"/>
                      <w:szCs w:val="18"/>
                      <w:vertAlign w:val="superscript"/>
                    </w:rPr>
                    <w:t>3</w:t>
                  </w:r>
                </w:p>
              </w:tc>
              <w:tc>
                <w:tcPr>
                  <w:tcW w:w="1990" w:type="pct"/>
                  <w:tcBorders>
                    <w:tl2br w:val="nil"/>
                    <w:tr2bl w:val="nil"/>
                  </w:tcBorders>
                  <w:noWrap w:val="0"/>
                  <w:vAlign w:val="center"/>
                </w:tcPr>
                <w:p w14:paraId="7921675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olor w:val="auto"/>
                      <w:sz w:val="18"/>
                      <w:szCs w:val="18"/>
                    </w:rPr>
                  </w:pPr>
                  <w:r>
                    <w:rPr>
                      <w:rFonts w:hint="eastAsia"/>
                      <w:color w:val="auto"/>
                      <w:sz w:val="18"/>
                      <w:szCs w:val="18"/>
                      <w:lang w:val="en-US" w:eastAsia="zh-CN"/>
                    </w:rPr>
                    <w:t>/</w:t>
                  </w:r>
                </w:p>
              </w:tc>
            </w:tr>
          </w:tbl>
          <w:p w14:paraId="7B028BB9">
            <w:pPr>
              <w:numPr>
                <w:ilvl w:val="0"/>
                <w:numId w:val="3"/>
              </w:numPr>
              <w:ind w:firstLine="420"/>
              <w:rPr>
                <w:color w:val="auto"/>
              </w:rPr>
            </w:pPr>
            <w:r>
              <w:rPr>
                <w:rFonts w:hint="eastAsia"/>
                <w:color w:val="auto"/>
              </w:rPr>
              <w:t>现有污染防治措施及排放情况</w:t>
            </w:r>
          </w:p>
          <w:p w14:paraId="2BB73B42">
            <w:pPr>
              <w:ind w:left="420" w:leftChars="200" w:firstLine="0" w:firstLineChars="0"/>
              <w:rPr>
                <w:rFonts w:hint="default" w:eastAsia="宋体"/>
                <w:color w:val="auto"/>
                <w:szCs w:val="21"/>
                <w:lang w:val="en-US" w:eastAsia="zh-CN"/>
              </w:rPr>
            </w:pPr>
            <w:r>
              <w:rPr>
                <w:rFonts w:hint="eastAsia"/>
                <w:color w:val="auto"/>
                <w:szCs w:val="21"/>
              </w:rPr>
              <w:t>①废水</w:t>
            </w:r>
          </w:p>
          <w:p w14:paraId="2F6920FA">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hint="eastAsia"/>
                <w:bCs/>
                <w:color w:val="auto"/>
                <w:szCs w:val="21"/>
              </w:rPr>
            </w:pPr>
            <w:r>
              <w:rPr>
                <w:rFonts w:hint="eastAsia"/>
                <w:bCs/>
                <w:color w:val="auto"/>
                <w:szCs w:val="21"/>
              </w:rPr>
              <w:t>现有项目厂区排水实行“雨污分流、清污分流”制。</w:t>
            </w:r>
            <w:r>
              <w:rPr>
                <w:rFonts w:hint="eastAsia"/>
                <w:bCs/>
                <w:color w:val="auto"/>
                <w:szCs w:val="21"/>
                <w:lang w:val="en-US" w:eastAsia="zh-CN"/>
              </w:rPr>
              <w:t>废水包括清洗废水、喷淋废水、初期雨水、食堂废水、纯水制备浓水和生活污水。定期排放的喷淋废水与清洗废水收集排入厂区污水处理站处理后与生活污水（经化粪池预处理）、食堂废水（经隔油池预处理）和纯水制备浓水、初期雨水接管海门经济技术开发区污水处理厂处理，尾水达到《城镇污水处理厂污染物排 放标准》（GB18918-2002）中一级 A 标准后排入长江</w:t>
            </w:r>
            <w:r>
              <w:rPr>
                <w:rFonts w:hint="eastAsia"/>
                <w:bCs/>
                <w:color w:val="auto"/>
                <w:szCs w:val="21"/>
              </w:rPr>
              <w:t>。</w:t>
            </w:r>
          </w:p>
          <w:p w14:paraId="0F97AD15">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color w:val="auto"/>
                <w:spacing w:val="1"/>
              </w:rPr>
            </w:pPr>
            <w:r>
              <w:rPr>
                <w:rFonts w:hint="eastAsia"/>
                <w:color w:val="auto"/>
                <w:spacing w:val="1"/>
              </w:rPr>
              <w:t>根据现有验收监测报告</w:t>
            </w:r>
            <w:r>
              <w:rPr>
                <w:rFonts w:hint="eastAsia"/>
                <w:color w:val="auto"/>
                <w:spacing w:val="1"/>
                <w:lang w:val="en-US" w:eastAsia="zh-CN"/>
              </w:rPr>
              <w:t>及</w:t>
            </w:r>
            <w:r>
              <w:rPr>
                <w:rFonts w:hint="eastAsia"/>
                <w:color w:val="auto"/>
                <w:lang w:val="en-US" w:eastAsia="zh-CN"/>
              </w:rPr>
              <w:t>自行监测数据</w:t>
            </w:r>
            <w:r>
              <w:rPr>
                <w:color w:val="auto"/>
                <w:spacing w:val="1"/>
              </w:rPr>
              <w:t>，现有项目废</w:t>
            </w:r>
            <w:r>
              <w:rPr>
                <w:rFonts w:hint="eastAsia"/>
                <w:color w:val="auto"/>
                <w:spacing w:val="1"/>
              </w:rPr>
              <w:t>水</w:t>
            </w:r>
            <w:r>
              <w:rPr>
                <w:color w:val="auto"/>
                <w:spacing w:val="1"/>
              </w:rPr>
              <w:t>监测结果统计如下。</w:t>
            </w:r>
          </w:p>
          <w:p w14:paraId="57570F39">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10</w:t>
            </w:r>
            <w:r>
              <w:rPr>
                <w:rFonts w:hint="eastAsia" w:ascii="Times New Roman" w:hAnsi="Times New Roman" w:eastAsia="宋体" w:cs="Times New Roman"/>
                <w:b/>
                <w:color w:val="auto"/>
                <w:sz w:val="21"/>
                <w:szCs w:val="21"/>
                <w:highlight w:val="none"/>
                <w:lang w:val="en-US" w:eastAsia="zh-CN"/>
              </w:rPr>
              <w:t xml:space="preserve">  现有废水监测数据</w:t>
            </w:r>
          </w:p>
          <w:tbl>
            <w:tblPr>
              <w:tblStyle w:val="15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15"/>
              <w:gridCol w:w="838"/>
              <w:gridCol w:w="772"/>
              <w:gridCol w:w="879"/>
              <w:gridCol w:w="1028"/>
              <w:gridCol w:w="908"/>
              <w:gridCol w:w="968"/>
              <w:gridCol w:w="782"/>
              <w:gridCol w:w="717"/>
              <w:gridCol w:w="663"/>
            </w:tblGrid>
            <w:tr w14:paraId="5E6823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restart"/>
                  <w:tcBorders>
                    <w:tl2br w:val="nil"/>
                    <w:tr2bl w:val="nil"/>
                  </w:tcBorders>
                  <w:shd w:val="clear" w:color="auto" w:fill="D7D7D7" w:themeFill="background1" w:themeFillShade="D8"/>
                  <w:vAlign w:val="center"/>
                </w:tcPr>
                <w:p w14:paraId="098EC9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 w:val="18"/>
                      <w:szCs w:val="18"/>
                      <w:lang w:val="en-US" w:eastAsia="zh-CN"/>
                    </w:rPr>
                  </w:pPr>
                  <w:r>
                    <w:rPr>
                      <w:b/>
                      <w:bCs/>
                      <w:color w:val="auto"/>
                      <w:sz w:val="18"/>
                      <w:szCs w:val="18"/>
                    </w:rPr>
                    <w:t>采样地点</w:t>
                  </w:r>
                  <w:r>
                    <w:rPr>
                      <w:rFonts w:hint="eastAsia"/>
                      <w:b/>
                      <w:bCs/>
                      <w:color w:val="auto"/>
                      <w:sz w:val="18"/>
                      <w:szCs w:val="18"/>
                      <w:lang w:val="en-US" w:eastAsia="zh-CN"/>
                    </w:rPr>
                    <w:t>日期</w:t>
                  </w:r>
                </w:p>
              </w:tc>
              <w:tc>
                <w:tcPr>
                  <w:tcW w:w="500" w:type="pct"/>
                  <w:vMerge w:val="restart"/>
                  <w:tcBorders>
                    <w:tl2br w:val="nil"/>
                    <w:tr2bl w:val="nil"/>
                  </w:tcBorders>
                  <w:shd w:val="clear" w:color="auto" w:fill="D7D7D7" w:themeFill="background1" w:themeFillShade="D8"/>
                  <w:vAlign w:val="center"/>
                </w:tcPr>
                <w:p w14:paraId="38D00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检测项目</w:t>
                  </w:r>
                </w:p>
              </w:tc>
              <w:tc>
                <w:tcPr>
                  <w:tcW w:w="461" w:type="pct"/>
                  <w:vMerge w:val="restart"/>
                  <w:tcBorders>
                    <w:tl2br w:val="nil"/>
                    <w:tr2bl w:val="nil"/>
                  </w:tcBorders>
                  <w:shd w:val="clear" w:color="auto" w:fill="D7D7D7" w:themeFill="background1" w:themeFillShade="D8"/>
                  <w:vAlign w:val="center"/>
                </w:tcPr>
                <w:p w14:paraId="5F8A68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单位</w:t>
                  </w:r>
                </w:p>
              </w:tc>
              <w:tc>
                <w:tcPr>
                  <w:tcW w:w="2259" w:type="pct"/>
                  <w:gridSpan w:val="4"/>
                  <w:tcBorders>
                    <w:tl2br w:val="nil"/>
                    <w:tr2bl w:val="nil"/>
                  </w:tcBorders>
                  <w:shd w:val="clear" w:color="auto" w:fill="D7D7D7" w:themeFill="background1" w:themeFillShade="D8"/>
                  <w:vAlign w:val="center"/>
                </w:tcPr>
                <w:p w14:paraId="6CD117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检测值</w:t>
                  </w:r>
                </w:p>
              </w:tc>
              <w:tc>
                <w:tcPr>
                  <w:tcW w:w="467" w:type="pct"/>
                  <w:vMerge w:val="restart"/>
                  <w:tcBorders>
                    <w:tl2br w:val="nil"/>
                    <w:tr2bl w:val="nil"/>
                  </w:tcBorders>
                  <w:shd w:val="clear" w:color="auto" w:fill="D7D7D7" w:themeFill="background1" w:themeFillShade="D8"/>
                  <w:vAlign w:val="center"/>
                </w:tcPr>
                <w:p w14:paraId="316D0F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平均值</w:t>
                  </w:r>
                </w:p>
              </w:tc>
              <w:tc>
                <w:tcPr>
                  <w:tcW w:w="428" w:type="pct"/>
                  <w:vMerge w:val="restart"/>
                  <w:tcBorders>
                    <w:tl2br w:val="nil"/>
                    <w:tr2bl w:val="nil"/>
                  </w:tcBorders>
                  <w:shd w:val="clear" w:color="auto" w:fill="D7D7D7" w:themeFill="background1" w:themeFillShade="D8"/>
                  <w:vAlign w:val="center"/>
                </w:tcPr>
                <w:p w14:paraId="18CC85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标准限值</w:t>
                  </w:r>
                </w:p>
              </w:tc>
              <w:tc>
                <w:tcPr>
                  <w:tcW w:w="396" w:type="pct"/>
                  <w:vMerge w:val="restart"/>
                  <w:tcBorders>
                    <w:tl2br w:val="nil"/>
                    <w:tr2bl w:val="nil"/>
                  </w:tcBorders>
                  <w:shd w:val="clear" w:color="auto" w:fill="D7D7D7" w:themeFill="background1" w:themeFillShade="D8"/>
                  <w:vAlign w:val="center"/>
                </w:tcPr>
                <w:p w14:paraId="29C79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达标情况</w:t>
                  </w:r>
                </w:p>
              </w:tc>
            </w:tr>
            <w:tr w14:paraId="7A6A1F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shd w:val="clear" w:color="auto" w:fill="D7D7D7" w:themeFill="background1" w:themeFillShade="D8"/>
                  <w:vAlign w:val="center"/>
                </w:tcPr>
                <w:p w14:paraId="713F4F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p>
              </w:tc>
              <w:tc>
                <w:tcPr>
                  <w:tcW w:w="500" w:type="pct"/>
                  <w:vMerge w:val="continue"/>
                  <w:tcBorders>
                    <w:tl2br w:val="nil"/>
                    <w:tr2bl w:val="nil"/>
                  </w:tcBorders>
                  <w:shd w:val="clear" w:color="auto" w:fill="D7D7D7" w:themeFill="background1" w:themeFillShade="D8"/>
                  <w:vAlign w:val="center"/>
                </w:tcPr>
                <w:p w14:paraId="671584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p>
              </w:tc>
              <w:tc>
                <w:tcPr>
                  <w:tcW w:w="461" w:type="pct"/>
                  <w:vMerge w:val="continue"/>
                  <w:tcBorders>
                    <w:tl2br w:val="nil"/>
                    <w:tr2bl w:val="nil"/>
                  </w:tcBorders>
                  <w:shd w:val="clear" w:color="auto" w:fill="D7D7D7" w:themeFill="background1" w:themeFillShade="D8"/>
                  <w:vAlign w:val="center"/>
                </w:tcPr>
                <w:p w14:paraId="3E6AC9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p>
              </w:tc>
              <w:tc>
                <w:tcPr>
                  <w:tcW w:w="525" w:type="pct"/>
                  <w:tcBorders>
                    <w:tl2br w:val="nil"/>
                    <w:tr2bl w:val="nil"/>
                  </w:tcBorders>
                  <w:shd w:val="clear" w:color="auto" w:fill="D7D7D7" w:themeFill="background1" w:themeFillShade="D8"/>
                  <w:vAlign w:val="center"/>
                </w:tcPr>
                <w:p w14:paraId="6E49F1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第一次</w:t>
                  </w:r>
                </w:p>
              </w:tc>
              <w:tc>
                <w:tcPr>
                  <w:tcW w:w="614" w:type="pct"/>
                  <w:tcBorders>
                    <w:tl2br w:val="nil"/>
                    <w:tr2bl w:val="nil"/>
                  </w:tcBorders>
                  <w:shd w:val="clear" w:color="auto" w:fill="D7D7D7" w:themeFill="background1" w:themeFillShade="D8"/>
                  <w:vAlign w:val="center"/>
                </w:tcPr>
                <w:p w14:paraId="72D9EB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第二次</w:t>
                  </w:r>
                </w:p>
              </w:tc>
              <w:tc>
                <w:tcPr>
                  <w:tcW w:w="542" w:type="pct"/>
                  <w:tcBorders>
                    <w:tl2br w:val="nil"/>
                    <w:tr2bl w:val="nil"/>
                  </w:tcBorders>
                  <w:shd w:val="clear" w:color="auto" w:fill="D7D7D7" w:themeFill="background1" w:themeFillShade="D8"/>
                  <w:vAlign w:val="center"/>
                </w:tcPr>
                <w:p w14:paraId="753FE3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第三次</w:t>
                  </w:r>
                </w:p>
              </w:tc>
              <w:tc>
                <w:tcPr>
                  <w:tcW w:w="578" w:type="pct"/>
                  <w:tcBorders>
                    <w:tl2br w:val="nil"/>
                    <w:tr2bl w:val="nil"/>
                  </w:tcBorders>
                  <w:shd w:val="clear" w:color="auto" w:fill="D7D7D7" w:themeFill="background1" w:themeFillShade="D8"/>
                  <w:vAlign w:val="center"/>
                </w:tcPr>
                <w:p w14:paraId="62D02B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18"/>
                      <w:szCs w:val="18"/>
                    </w:rPr>
                  </w:pPr>
                  <w:r>
                    <w:rPr>
                      <w:b/>
                      <w:bCs/>
                      <w:color w:val="auto"/>
                      <w:sz w:val="18"/>
                      <w:szCs w:val="18"/>
                    </w:rPr>
                    <w:t>第四次</w:t>
                  </w:r>
                </w:p>
              </w:tc>
              <w:tc>
                <w:tcPr>
                  <w:tcW w:w="467" w:type="pct"/>
                  <w:vMerge w:val="continue"/>
                  <w:tcBorders>
                    <w:tl2br w:val="nil"/>
                    <w:tr2bl w:val="nil"/>
                  </w:tcBorders>
                  <w:shd w:val="clear" w:color="auto" w:fill="D7D7D7" w:themeFill="background1" w:themeFillShade="D8"/>
                  <w:vAlign w:val="center"/>
                </w:tcPr>
                <w:p w14:paraId="00DFD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c>
                <w:tcPr>
                  <w:tcW w:w="428" w:type="pct"/>
                  <w:vMerge w:val="continue"/>
                  <w:tcBorders>
                    <w:tl2br w:val="nil"/>
                    <w:tr2bl w:val="nil"/>
                  </w:tcBorders>
                  <w:shd w:val="clear" w:color="auto" w:fill="D7D7D7" w:themeFill="background1" w:themeFillShade="D8"/>
                  <w:vAlign w:val="center"/>
                </w:tcPr>
                <w:p w14:paraId="7ECC58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c>
                <w:tcPr>
                  <w:tcW w:w="396" w:type="pct"/>
                  <w:vMerge w:val="continue"/>
                  <w:tcBorders>
                    <w:tl2br w:val="nil"/>
                    <w:tr2bl w:val="nil"/>
                  </w:tcBorders>
                  <w:shd w:val="clear" w:color="auto" w:fill="D7D7D7" w:themeFill="background1" w:themeFillShade="D8"/>
                  <w:vAlign w:val="center"/>
                </w:tcPr>
                <w:p w14:paraId="5FD1C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18"/>
                      <w:szCs w:val="18"/>
                    </w:rPr>
                  </w:pPr>
                </w:p>
              </w:tc>
            </w:tr>
            <w:tr w14:paraId="58C421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restart"/>
                  <w:tcBorders>
                    <w:tl2br w:val="nil"/>
                    <w:tr2bl w:val="nil"/>
                  </w:tcBorders>
                  <w:vAlign w:val="center"/>
                </w:tcPr>
                <w:p w14:paraId="24D13D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废水排口</w:t>
                  </w:r>
                  <w:r>
                    <w:rPr>
                      <w:rFonts w:hint="default" w:ascii="Times New Roman" w:hAnsi="Times New Roman" w:eastAsia="宋体" w:cs="Times New Roman"/>
                      <w:color w:val="auto"/>
                      <w:sz w:val="18"/>
                      <w:szCs w:val="18"/>
                      <w:lang w:val="en-US" w:eastAsia="zh-CN"/>
                    </w:rPr>
                    <w:t>2025.</w:t>
                  </w:r>
                  <w:r>
                    <w:rPr>
                      <w:rFonts w:hint="default" w:ascii="Times New Roman" w:hAnsi="Times New Roman" w:eastAsia="宋体" w:cs="Times New Roman"/>
                      <w:color w:val="auto"/>
                      <w:sz w:val="18"/>
                      <w:szCs w:val="18"/>
                    </w:rPr>
                    <w:t>7.17</w:t>
                  </w:r>
                </w:p>
              </w:tc>
              <w:tc>
                <w:tcPr>
                  <w:tcW w:w="500" w:type="pct"/>
                  <w:tcBorders>
                    <w:tl2br w:val="nil"/>
                    <w:tr2bl w:val="nil"/>
                  </w:tcBorders>
                  <w:vAlign w:val="center"/>
                </w:tcPr>
                <w:p w14:paraId="7F1750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pH值</w:t>
                  </w:r>
                </w:p>
              </w:tc>
              <w:tc>
                <w:tcPr>
                  <w:tcW w:w="461" w:type="pct"/>
                  <w:tcBorders>
                    <w:tl2br w:val="nil"/>
                    <w:tr2bl w:val="nil"/>
                  </w:tcBorders>
                  <w:vAlign w:val="center"/>
                </w:tcPr>
                <w:p w14:paraId="04ABE3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无量纲</w:t>
                  </w:r>
                </w:p>
              </w:tc>
              <w:tc>
                <w:tcPr>
                  <w:tcW w:w="525" w:type="pct"/>
                  <w:tcBorders>
                    <w:tl2br w:val="nil"/>
                    <w:tr2bl w:val="nil"/>
                  </w:tcBorders>
                  <w:vAlign w:val="center"/>
                </w:tcPr>
                <w:p w14:paraId="538499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614" w:type="pct"/>
                  <w:tcBorders>
                    <w:tl2br w:val="nil"/>
                    <w:tr2bl w:val="nil"/>
                  </w:tcBorders>
                  <w:vAlign w:val="center"/>
                </w:tcPr>
                <w:p w14:paraId="65ABBC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542" w:type="pct"/>
                  <w:tcBorders>
                    <w:tl2br w:val="nil"/>
                    <w:tr2bl w:val="nil"/>
                  </w:tcBorders>
                  <w:vAlign w:val="center"/>
                </w:tcPr>
                <w:p w14:paraId="6CE21A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578" w:type="pct"/>
                  <w:tcBorders>
                    <w:tl2br w:val="nil"/>
                    <w:tr2bl w:val="nil"/>
                  </w:tcBorders>
                  <w:vAlign w:val="center"/>
                </w:tcPr>
                <w:p w14:paraId="0CD7F6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467" w:type="pct"/>
                  <w:tcBorders>
                    <w:tl2br w:val="nil"/>
                    <w:tr2bl w:val="nil"/>
                  </w:tcBorders>
                  <w:vAlign w:val="center"/>
                </w:tcPr>
                <w:p w14:paraId="2309BF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7.4</w:t>
                  </w:r>
                </w:p>
              </w:tc>
              <w:tc>
                <w:tcPr>
                  <w:tcW w:w="428" w:type="pct"/>
                  <w:tcBorders>
                    <w:tl2br w:val="nil"/>
                    <w:tr2bl w:val="nil"/>
                  </w:tcBorders>
                  <w:vAlign w:val="center"/>
                </w:tcPr>
                <w:p w14:paraId="615FF0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396" w:type="pct"/>
                  <w:tcBorders>
                    <w:tl2br w:val="nil"/>
                    <w:tr2bl w:val="nil"/>
                  </w:tcBorders>
                  <w:vAlign w:val="center"/>
                </w:tcPr>
                <w:p w14:paraId="0DA359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10636D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4B8EF7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677847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悬浮物</w:t>
                  </w:r>
                </w:p>
              </w:tc>
              <w:tc>
                <w:tcPr>
                  <w:tcW w:w="461" w:type="pct"/>
                  <w:tcBorders>
                    <w:tl2br w:val="nil"/>
                    <w:tr2bl w:val="nil"/>
                  </w:tcBorders>
                  <w:vAlign w:val="center"/>
                </w:tcPr>
                <w:p w14:paraId="0E9E64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2BCC0B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614" w:type="pct"/>
                  <w:tcBorders>
                    <w:tl2br w:val="nil"/>
                    <w:tr2bl w:val="nil"/>
                  </w:tcBorders>
                  <w:vAlign w:val="center"/>
                </w:tcPr>
                <w:p w14:paraId="408DB3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542" w:type="pct"/>
                  <w:tcBorders>
                    <w:tl2br w:val="nil"/>
                    <w:tr2bl w:val="nil"/>
                  </w:tcBorders>
                  <w:vAlign w:val="center"/>
                </w:tcPr>
                <w:p w14:paraId="75DD75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578" w:type="pct"/>
                  <w:tcBorders>
                    <w:tl2br w:val="nil"/>
                    <w:tr2bl w:val="nil"/>
                  </w:tcBorders>
                  <w:vAlign w:val="center"/>
                </w:tcPr>
                <w:p w14:paraId="2C986B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467" w:type="pct"/>
                  <w:tcBorders>
                    <w:tl2br w:val="nil"/>
                    <w:tr2bl w:val="nil"/>
                  </w:tcBorders>
                  <w:vAlign w:val="center"/>
                </w:tcPr>
                <w:p w14:paraId="465B4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428" w:type="pct"/>
                  <w:tcBorders>
                    <w:tl2br w:val="nil"/>
                    <w:tr2bl w:val="nil"/>
                  </w:tcBorders>
                  <w:vAlign w:val="center"/>
                </w:tcPr>
                <w:p w14:paraId="36CBAE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tc>
              <w:tc>
                <w:tcPr>
                  <w:tcW w:w="396" w:type="pct"/>
                  <w:tcBorders>
                    <w:tl2br w:val="nil"/>
                    <w:tr2bl w:val="nil"/>
                  </w:tcBorders>
                  <w:vAlign w:val="center"/>
                </w:tcPr>
                <w:p w14:paraId="15178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50EB76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2351B0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0CF1BD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化学需氧量</w:t>
                  </w:r>
                </w:p>
              </w:tc>
              <w:tc>
                <w:tcPr>
                  <w:tcW w:w="461" w:type="pct"/>
                  <w:tcBorders>
                    <w:tl2br w:val="nil"/>
                    <w:tr2bl w:val="nil"/>
                  </w:tcBorders>
                  <w:vAlign w:val="center"/>
                </w:tcPr>
                <w:p w14:paraId="21C88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53CFAE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58</w:t>
                  </w:r>
                </w:p>
              </w:tc>
              <w:tc>
                <w:tcPr>
                  <w:tcW w:w="614" w:type="pct"/>
                  <w:tcBorders>
                    <w:tl2br w:val="nil"/>
                    <w:tr2bl w:val="nil"/>
                  </w:tcBorders>
                  <w:vAlign w:val="center"/>
                </w:tcPr>
                <w:p w14:paraId="227E11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51</w:t>
                  </w:r>
                </w:p>
              </w:tc>
              <w:tc>
                <w:tcPr>
                  <w:tcW w:w="542" w:type="pct"/>
                  <w:tcBorders>
                    <w:tl2br w:val="nil"/>
                    <w:tr2bl w:val="nil"/>
                  </w:tcBorders>
                  <w:vAlign w:val="center"/>
                </w:tcPr>
                <w:p w14:paraId="3F158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578" w:type="pct"/>
                  <w:tcBorders>
                    <w:tl2br w:val="nil"/>
                    <w:tr2bl w:val="nil"/>
                  </w:tcBorders>
                  <w:vAlign w:val="center"/>
                </w:tcPr>
                <w:p w14:paraId="27A8D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c>
                <w:tcPr>
                  <w:tcW w:w="467" w:type="pct"/>
                  <w:tcBorders>
                    <w:tl2br w:val="nil"/>
                    <w:tr2bl w:val="nil"/>
                  </w:tcBorders>
                  <w:vAlign w:val="center"/>
                </w:tcPr>
                <w:p w14:paraId="5675E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428" w:type="pct"/>
                  <w:tcBorders>
                    <w:tl2br w:val="nil"/>
                    <w:tr2bl w:val="nil"/>
                  </w:tcBorders>
                  <w:vAlign w:val="center"/>
                </w:tcPr>
                <w:p w14:paraId="6F79DC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w:t>
                  </w:r>
                </w:p>
              </w:tc>
              <w:tc>
                <w:tcPr>
                  <w:tcW w:w="396" w:type="pct"/>
                  <w:tcBorders>
                    <w:tl2br w:val="nil"/>
                    <w:tr2bl w:val="nil"/>
                  </w:tcBorders>
                  <w:vAlign w:val="center"/>
                </w:tcPr>
                <w:p w14:paraId="0FEBEE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1E1C8D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322CE2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15FFC3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氨氮</w:t>
                  </w:r>
                </w:p>
              </w:tc>
              <w:tc>
                <w:tcPr>
                  <w:tcW w:w="461" w:type="pct"/>
                  <w:tcBorders>
                    <w:tl2br w:val="nil"/>
                    <w:tr2bl w:val="nil"/>
                  </w:tcBorders>
                  <w:vAlign w:val="center"/>
                </w:tcPr>
                <w:p w14:paraId="346FE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05456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0.835</w:t>
                  </w:r>
                </w:p>
              </w:tc>
              <w:tc>
                <w:tcPr>
                  <w:tcW w:w="614" w:type="pct"/>
                  <w:tcBorders>
                    <w:tl2br w:val="nil"/>
                    <w:tr2bl w:val="nil"/>
                  </w:tcBorders>
                  <w:vAlign w:val="center"/>
                </w:tcPr>
                <w:p w14:paraId="7AF67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0.956</w:t>
                  </w:r>
                </w:p>
              </w:tc>
              <w:tc>
                <w:tcPr>
                  <w:tcW w:w="542" w:type="pct"/>
                  <w:tcBorders>
                    <w:tl2br w:val="nil"/>
                    <w:tr2bl w:val="nil"/>
                  </w:tcBorders>
                  <w:vAlign w:val="center"/>
                </w:tcPr>
                <w:p w14:paraId="5CBE3C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0.878</w:t>
                  </w:r>
                </w:p>
              </w:tc>
              <w:tc>
                <w:tcPr>
                  <w:tcW w:w="578" w:type="pct"/>
                  <w:tcBorders>
                    <w:tl2br w:val="nil"/>
                    <w:tr2bl w:val="nil"/>
                  </w:tcBorders>
                  <w:vAlign w:val="center"/>
                </w:tcPr>
                <w:p w14:paraId="6A4B68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0.976</w:t>
                  </w:r>
                </w:p>
              </w:tc>
              <w:tc>
                <w:tcPr>
                  <w:tcW w:w="467" w:type="pct"/>
                  <w:tcBorders>
                    <w:tl2br w:val="nil"/>
                    <w:tr2bl w:val="nil"/>
                  </w:tcBorders>
                  <w:vAlign w:val="center"/>
                </w:tcPr>
                <w:p w14:paraId="5A04D2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0.911</w:t>
                  </w:r>
                </w:p>
              </w:tc>
              <w:tc>
                <w:tcPr>
                  <w:tcW w:w="428" w:type="pct"/>
                  <w:tcBorders>
                    <w:tl2br w:val="nil"/>
                    <w:tr2bl w:val="nil"/>
                  </w:tcBorders>
                  <w:vAlign w:val="center"/>
                </w:tcPr>
                <w:p w14:paraId="2B1652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w:t>
                  </w:r>
                </w:p>
              </w:tc>
              <w:tc>
                <w:tcPr>
                  <w:tcW w:w="396" w:type="pct"/>
                  <w:tcBorders>
                    <w:tl2br w:val="nil"/>
                    <w:tr2bl w:val="nil"/>
                  </w:tcBorders>
                  <w:vAlign w:val="center"/>
                </w:tcPr>
                <w:p w14:paraId="76DF6D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63E94C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3C5274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5CB61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总磷</w:t>
                  </w:r>
                </w:p>
              </w:tc>
              <w:tc>
                <w:tcPr>
                  <w:tcW w:w="461" w:type="pct"/>
                  <w:tcBorders>
                    <w:tl2br w:val="nil"/>
                    <w:tr2bl w:val="nil"/>
                  </w:tcBorders>
                  <w:vAlign w:val="center"/>
                </w:tcPr>
                <w:p w14:paraId="60733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32E94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614" w:type="pct"/>
                  <w:tcBorders>
                    <w:tl2br w:val="nil"/>
                    <w:tr2bl w:val="nil"/>
                  </w:tcBorders>
                  <w:vAlign w:val="center"/>
                </w:tcPr>
                <w:p w14:paraId="4EE2D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542" w:type="pct"/>
                  <w:tcBorders>
                    <w:tl2br w:val="nil"/>
                    <w:tr2bl w:val="nil"/>
                  </w:tcBorders>
                  <w:vAlign w:val="center"/>
                </w:tcPr>
                <w:p w14:paraId="2CFA17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578" w:type="pct"/>
                  <w:tcBorders>
                    <w:tl2br w:val="nil"/>
                    <w:tr2bl w:val="nil"/>
                  </w:tcBorders>
                  <w:vAlign w:val="center"/>
                </w:tcPr>
                <w:p w14:paraId="2A833B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467" w:type="pct"/>
                  <w:tcBorders>
                    <w:tl2br w:val="nil"/>
                    <w:tr2bl w:val="nil"/>
                  </w:tcBorders>
                  <w:vAlign w:val="center"/>
                </w:tcPr>
                <w:p w14:paraId="0C92C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28" w:type="pct"/>
                  <w:tcBorders>
                    <w:tl2br w:val="nil"/>
                    <w:tr2bl w:val="nil"/>
                  </w:tcBorders>
                  <w:vAlign w:val="center"/>
                </w:tcPr>
                <w:p w14:paraId="2AAC7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396" w:type="pct"/>
                  <w:tcBorders>
                    <w:tl2br w:val="nil"/>
                    <w:tr2bl w:val="nil"/>
                  </w:tcBorders>
                  <w:vAlign w:val="center"/>
                </w:tcPr>
                <w:p w14:paraId="764207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78B855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07FEA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495FDE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总氮</w:t>
                  </w:r>
                </w:p>
              </w:tc>
              <w:tc>
                <w:tcPr>
                  <w:tcW w:w="461" w:type="pct"/>
                  <w:tcBorders>
                    <w:tl2br w:val="nil"/>
                    <w:tr2bl w:val="nil"/>
                  </w:tcBorders>
                  <w:vAlign w:val="center"/>
                </w:tcPr>
                <w:p w14:paraId="17F08E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50B5D6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614" w:type="pct"/>
                  <w:tcBorders>
                    <w:tl2br w:val="nil"/>
                    <w:tr2bl w:val="nil"/>
                  </w:tcBorders>
                  <w:vAlign w:val="center"/>
                </w:tcPr>
                <w:p w14:paraId="2E457F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2.18</w:t>
                  </w:r>
                </w:p>
              </w:tc>
              <w:tc>
                <w:tcPr>
                  <w:tcW w:w="542" w:type="pct"/>
                  <w:tcBorders>
                    <w:tl2br w:val="nil"/>
                    <w:tr2bl w:val="nil"/>
                  </w:tcBorders>
                  <w:vAlign w:val="center"/>
                </w:tcPr>
                <w:p w14:paraId="2C4FD4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2. 12</w:t>
                  </w:r>
                </w:p>
              </w:tc>
              <w:tc>
                <w:tcPr>
                  <w:tcW w:w="578" w:type="pct"/>
                  <w:tcBorders>
                    <w:tl2br w:val="nil"/>
                    <w:tr2bl w:val="nil"/>
                  </w:tcBorders>
                  <w:vAlign w:val="center"/>
                </w:tcPr>
                <w:p w14:paraId="38A854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1.37</w:t>
                  </w:r>
                </w:p>
              </w:tc>
              <w:tc>
                <w:tcPr>
                  <w:tcW w:w="467" w:type="pct"/>
                  <w:tcBorders>
                    <w:tl2br w:val="nil"/>
                    <w:tr2bl w:val="nil"/>
                  </w:tcBorders>
                  <w:vAlign w:val="center"/>
                </w:tcPr>
                <w:p w14:paraId="632147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w:t>
                  </w:r>
                </w:p>
              </w:tc>
              <w:tc>
                <w:tcPr>
                  <w:tcW w:w="428" w:type="pct"/>
                  <w:tcBorders>
                    <w:tl2br w:val="nil"/>
                    <w:tr2bl w:val="nil"/>
                  </w:tcBorders>
                  <w:vAlign w:val="center"/>
                </w:tcPr>
                <w:p w14:paraId="4B4E75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c>
                <w:tcPr>
                  <w:tcW w:w="396" w:type="pct"/>
                  <w:tcBorders>
                    <w:tl2br w:val="nil"/>
                    <w:tr2bl w:val="nil"/>
                  </w:tcBorders>
                  <w:vAlign w:val="center"/>
                </w:tcPr>
                <w:p w14:paraId="013F80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677456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468EB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2AF4FA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动植物油</w:t>
                  </w:r>
                </w:p>
              </w:tc>
              <w:tc>
                <w:tcPr>
                  <w:tcW w:w="461" w:type="pct"/>
                  <w:tcBorders>
                    <w:tl2br w:val="nil"/>
                    <w:tr2bl w:val="nil"/>
                  </w:tcBorders>
                  <w:vAlign w:val="center"/>
                </w:tcPr>
                <w:p w14:paraId="2B259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750E7B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0.18</w:t>
                  </w:r>
                </w:p>
              </w:tc>
              <w:tc>
                <w:tcPr>
                  <w:tcW w:w="614" w:type="pct"/>
                  <w:tcBorders>
                    <w:tl2br w:val="nil"/>
                    <w:tr2bl w:val="nil"/>
                  </w:tcBorders>
                  <w:vAlign w:val="center"/>
                </w:tcPr>
                <w:p w14:paraId="07175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0.18</w:t>
                  </w:r>
                </w:p>
              </w:tc>
              <w:tc>
                <w:tcPr>
                  <w:tcW w:w="542" w:type="pct"/>
                  <w:tcBorders>
                    <w:tl2br w:val="nil"/>
                    <w:tr2bl w:val="nil"/>
                  </w:tcBorders>
                  <w:vAlign w:val="center"/>
                </w:tcPr>
                <w:p w14:paraId="0CF6E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0.17</w:t>
                  </w:r>
                </w:p>
              </w:tc>
              <w:tc>
                <w:tcPr>
                  <w:tcW w:w="578" w:type="pct"/>
                  <w:tcBorders>
                    <w:tl2br w:val="nil"/>
                    <w:tr2bl w:val="nil"/>
                  </w:tcBorders>
                  <w:vAlign w:val="center"/>
                </w:tcPr>
                <w:p w14:paraId="7560A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0.16</w:t>
                  </w:r>
                </w:p>
              </w:tc>
              <w:tc>
                <w:tcPr>
                  <w:tcW w:w="467" w:type="pct"/>
                  <w:tcBorders>
                    <w:tl2br w:val="nil"/>
                    <w:tr2bl w:val="nil"/>
                  </w:tcBorders>
                  <w:vAlign w:val="center"/>
                </w:tcPr>
                <w:p w14:paraId="127F6E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0.17</w:t>
                  </w:r>
                </w:p>
              </w:tc>
              <w:tc>
                <w:tcPr>
                  <w:tcW w:w="428" w:type="pct"/>
                  <w:tcBorders>
                    <w:tl2br w:val="nil"/>
                    <w:tr2bl w:val="nil"/>
                  </w:tcBorders>
                  <w:vAlign w:val="center"/>
                </w:tcPr>
                <w:p w14:paraId="450836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396" w:type="pct"/>
                  <w:tcBorders>
                    <w:tl2br w:val="nil"/>
                    <w:tr2bl w:val="nil"/>
                  </w:tcBorders>
                  <w:vAlign w:val="center"/>
                </w:tcPr>
                <w:p w14:paraId="6AE351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0B43FA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49D9CB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296FF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TOC</w:t>
                  </w:r>
                </w:p>
              </w:tc>
              <w:tc>
                <w:tcPr>
                  <w:tcW w:w="461" w:type="pct"/>
                  <w:tcBorders>
                    <w:tl2br w:val="nil"/>
                    <w:tr2bl w:val="nil"/>
                  </w:tcBorders>
                  <w:vAlign w:val="center"/>
                </w:tcPr>
                <w:p w14:paraId="70055F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403B23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9.7</w:t>
                  </w:r>
                </w:p>
              </w:tc>
              <w:tc>
                <w:tcPr>
                  <w:tcW w:w="614" w:type="pct"/>
                  <w:tcBorders>
                    <w:tl2br w:val="nil"/>
                    <w:tr2bl w:val="nil"/>
                  </w:tcBorders>
                  <w:vAlign w:val="center"/>
                </w:tcPr>
                <w:p w14:paraId="26B766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7.8</w:t>
                  </w:r>
                </w:p>
              </w:tc>
              <w:tc>
                <w:tcPr>
                  <w:tcW w:w="542" w:type="pct"/>
                  <w:tcBorders>
                    <w:tl2br w:val="nil"/>
                    <w:tr2bl w:val="nil"/>
                  </w:tcBorders>
                  <w:vAlign w:val="center"/>
                </w:tcPr>
                <w:p w14:paraId="78BB6B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10.2</w:t>
                  </w:r>
                </w:p>
              </w:tc>
              <w:tc>
                <w:tcPr>
                  <w:tcW w:w="578" w:type="pct"/>
                  <w:tcBorders>
                    <w:tl2br w:val="nil"/>
                    <w:tr2bl w:val="nil"/>
                  </w:tcBorders>
                  <w:vAlign w:val="center"/>
                </w:tcPr>
                <w:p w14:paraId="6B309B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467" w:type="pct"/>
                  <w:tcBorders>
                    <w:tl2br w:val="nil"/>
                    <w:tr2bl w:val="nil"/>
                  </w:tcBorders>
                  <w:vAlign w:val="center"/>
                </w:tcPr>
                <w:p w14:paraId="109D0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9.23</w:t>
                  </w:r>
                </w:p>
              </w:tc>
              <w:tc>
                <w:tcPr>
                  <w:tcW w:w="428" w:type="pct"/>
                  <w:tcBorders>
                    <w:tl2br w:val="nil"/>
                    <w:tr2bl w:val="nil"/>
                  </w:tcBorders>
                  <w:vAlign w:val="center"/>
                </w:tcPr>
                <w:p w14:paraId="2298F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396" w:type="pct"/>
                  <w:tcBorders>
                    <w:tl2br w:val="nil"/>
                    <w:tr2bl w:val="nil"/>
                  </w:tcBorders>
                  <w:vAlign w:val="center"/>
                </w:tcPr>
                <w:p w14:paraId="5E957A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r>
            <w:tr w14:paraId="2355AE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0C3A9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363770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AOX</w:t>
                  </w:r>
                </w:p>
              </w:tc>
              <w:tc>
                <w:tcPr>
                  <w:tcW w:w="461" w:type="pct"/>
                  <w:tcBorders>
                    <w:tl2br w:val="nil"/>
                    <w:tr2bl w:val="nil"/>
                  </w:tcBorders>
                  <w:vAlign w:val="center"/>
                </w:tcPr>
                <w:p w14:paraId="15277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40601F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1.26</w:t>
                  </w:r>
                </w:p>
              </w:tc>
              <w:tc>
                <w:tcPr>
                  <w:tcW w:w="614" w:type="pct"/>
                  <w:tcBorders>
                    <w:tl2br w:val="nil"/>
                    <w:tr2bl w:val="nil"/>
                  </w:tcBorders>
                  <w:vAlign w:val="center"/>
                </w:tcPr>
                <w:p w14:paraId="30332F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1.26</w:t>
                  </w:r>
                </w:p>
              </w:tc>
              <w:tc>
                <w:tcPr>
                  <w:tcW w:w="542" w:type="pct"/>
                  <w:tcBorders>
                    <w:tl2br w:val="nil"/>
                    <w:tr2bl w:val="nil"/>
                  </w:tcBorders>
                  <w:vAlign w:val="center"/>
                </w:tcPr>
                <w:p w14:paraId="48982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1.26</w:t>
                  </w:r>
                </w:p>
              </w:tc>
              <w:tc>
                <w:tcPr>
                  <w:tcW w:w="578" w:type="pct"/>
                  <w:tcBorders>
                    <w:tl2br w:val="nil"/>
                    <w:tr2bl w:val="nil"/>
                  </w:tcBorders>
                  <w:vAlign w:val="center"/>
                </w:tcPr>
                <w:p w14:paraId="2827D2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467" w:type="pct"/>
                  <w:tcBorders>
                    <w:tl2br w:val="nil"/>
                    <w:tr2bl w:val="nil"/>
                  </w:tcBorders>
                  <w:vAlign w:val="center"/>
                </w:tcPr>
                <w:p w14:paraId="2975CE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1.26</w:t>
                  </w:r>
                </w:p>
              </w:tc>
              <w:tc>
                <w:tcPr>
                  <w:tcW w:w="428" w:type="pct"/>
                  <w:tcBorders>
                    <w:tl2br w:val="nil"/>
                    <w:tr2bl w:val="nil"/>
                  </w:tcBorders>
                  <w:vAlign w:val="center"/>
                </w:tcPr>
                <w:p w14:paraId="60CA5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w:t>
                  </w:r>
                </w:p>
              </w:tc>
              <w:tc>
                <w:tcPr>
                  <w:tcW w:w="396" w:type="pct"/>
                  <w:tcBorders>
                    <w:tl2br w:val="nil"/>
                    <w:tr2bl w:val="nil"/>
                  </w:tcBorders>
                  <w:vAlign w:val="center"/>
                </w:tcPr>
                <w:p w14:paraId="5F1149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r>
            <w:tr w14:paraId="1FCE4C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restart"/>
                  <w:tcBorders>
                    <w:tl2br w:val="nil"/>
                    <w:tr2bl w:val="nil"/>
                  </w:tcBorders>
                  <w:vAlign w:val="center"/>
                </w:tcPr>
                <w:p w14:paraId="78D680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废水排口</w:t>
                  </w:r>
                  <w:r>
                    <w:rPr>
                      <w:rFonts w:hint="default" w:ascii="Times New Roman" w:hAnsi="Times New Roman" w:eastAsia="宋体" w:cs="Times New Roman"/>
                      <w:color w:val="auto"/>
                      <w:sz w:val="18"/>
                      <w:szCs w:val="18"/>
                      <w:lang w:val="en-US" w:eastAsia="zh-CN"/>
                    </w:rPr>
                    <w:t>2025.</w:t>
                  </w:r>
                  <w:r>
                    <w:rPr>
                      <w:rFonts w:hint="default" w:ascii="Times New Roman" w:hAnsi="Times New Roman" w:eastAsia="宋体" w:cs="Times New Roman"/>
                      <w:color w:val="auto"/>
                      <w:sz w:val="18"/>
                      <w:szCs w:val="18"/>
                    </w:rPr>
                    <w:t>7.18</w:t>
                  </w:r>
                </w:p>
              </w:tc>
              <w:tc>
                <w:tcPr>
                  <w:tcW w:w="500" w:type="pct"/>
                  <w:tcBorders>
                    <w:tl2br w:val="nil"/>
                    <w:tr2bl w:val="nil"/>
                  </w:tcBorders>
                  <w:vAlign w:val="center"/>
                </w:tcPr>
                <w:p w14:paraId="187A3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pH值</w:t>
                  </w:r>
                </w:p>
              </w:tc>
              <w:tc>
                <w:tcPr>
                  <w:tcW w:w="461" w:type="pct"/>
                  <w:tcBorders>
                    <w:tl2br w:val="nil"/>
                    <w:tr2bl w:val="nil"/>
                  </w:tcBorders>
                  <w:vAlign w:val="center"/>
                </w:tcPr>
                <w:p w14:paraId="715CC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无量纲</w:t>
                  </w:r>
                </w:p>
              </w:tc>
              <w:tc>
                <w:tcPr>
                  <w:tcW w:w="525" w:type="pct"/>
                  <w:tcBorders>
                    <w:tl2br w:val="nil"/>
                    <w:tr2bl w:val="nil"/>
                  </w:tcBorders>
                  <w:vAlign w:val="center"/>
                </w:tcPr>
                <w:p w14:paraId="2CADC8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614" w:type="pct"/>
                  <w:tcBorders>
                    <w:tl2br w:val="nil"/>
                    <w:tr2bl w:val="nil"/>
                  </w:tcBorders>
                  <w:vAlign w:val="center"/>
                </w:tcPr>
                <w:p w14:paraId="170AB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542" w:type="pct"/>
                  <w:tcBorders>
                    <w:tl2br w:val="nil"/>
                    <w:tr2bl w:val="nil"/>
                  </w:tcBorders>
                  <w:vAlign w:val="center"/>
                </w:tcPr>
                <w:p w14:paraId="12E273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578" w:type="pct"/>
                  <w:tcBorders>
                    <w:tl2br w:val="nil"/>
                    <w:tr2bl w:val="nil"/>
                  </w:tcBorders>
                  <w:vAlign w:val="center"/>
                </w:tcPr>
                <w:p w14:paraId="314776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467" w:type="pct"/>
                  <w:tcBorders>
                    <w:tl2br w:val="nil"/>
                    <w:tr2bl w:val="nil"/>
                  </w:tcBorders>
                  <w:vAlign w:val="center"/>
                </w:tcPr>
                <w:p w14:paraId="734504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7.4</w:t>
                  </w:r>
                </w:p>
              </w:tc>
              <w:tc>
                <w:tcPr>
                  <w:tcW w:w="428" w:type="pct"/>
                  <w:tcBorders>
                    <w:tl2br w:val="nil"/>
                    <w:tr2bl w:val="nil"/>
                  </w:tcBorders>
                  <w:vAlign w:val="center"/>
                </w:tcPr>
                <w:p w14:paraId="164BD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396" w:type="pct"/>
                  <w:tcBorders>
                    <w:tl2br w:val="nil"/>
                    <w:tr2bl w:val="nil"/>
                  </w:tcBorders>
                  <w:vAlign w:val="center"/>
                </w:tcPr>
                <w:p w14:paraId="0E67C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032F1E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62BDD5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4B1B7E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悬浮物</w:t>
                  </w:r>
                </w:p>
              </w:tc>
              <w:tc>
                <w:tcPr>
                  <w:tcW w:w="461" w:type="pct"/>
                  <w:tcBorders>
                    <w:tl2br w:val="nil"/>
                    <w:tr2bl w:val="nil"/>
                  </w:tcBorders>
                  <w:vAlign w:val="center"/>
                </w:tcPr>
                <w:p w14:paraId="1F0FEC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4A955F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614" w:type="pct"/>
                  <w:tcBorders>
                    <w:tl2br w:val="nil"/>
                    <w:tr2bl w:val="nil"/>
                  </w:tcBorders>
                  <w:vAlign w:val="center"/>
                </w:tcPr>
                <w:p w14:paraId="002014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542" w:type="pct"/>
                  <w:tcBorders>
                    <w:tl2br w:val="nil"/>
                    <w:tr2bl w:val="nil"/>
                  </w:tcBorders>
                  <w:vAlign w:val="center"/>
                </w:tcPr>
                <w:p w14:paraId="0B39C9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78" w:type="pct"/>
                  <w:tcBorders>
                    <w:tl2br w:val="nil"/>
                    <w:tr2bl w:val="nil"/>
                  </w:tcBorders>
                  <w:vAlign w:val="center"/>
                </w:tcPr>
                <w:p w14:paraId="1C597C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w:t>
                  </w:r>
                </w:p>
              </w:tc>
              <w:tc>
                <w:tcPr>
                  <w:tcW w:w="467" w:type="pct"/>
                  <w:tcBorders>
                    <w:tl2br w:val="nil"/>
                    <w:tr2bl w:val="nil"/>
                  </w:tcBorders>
                  <w:vAlign w:val="center"/>
                </w:tcPr>
                <w:p w14:paraId="4B2A5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428" w:type="pct"/>
                  <w:tcBorders>
                    <w:tl2br w:val="nil"/>
                    <w:tr2bl w:val="nil"/>
                  </w:tcBorders>
                  <w:vAlign w:val="center"/>
                </w:tcPr>
                <w:p w14:paraId="297D1E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tc>
              <w:tc>
                <w:tcPr>
                  <w:tcW w:w="396" w:type="pct"/>
                  <w:tcBorders>
                    <w:tl2br w:val="nil"/>
                    <w:tr2bl w:val="nil"/>
                  </w:tcBorders>
                  <w:vAlign w:val="center"/>
                </w:tcPr>
                <w:p w14:paraId="1E86E5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608DBE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3D271D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20CC04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化学需氧量</w:t>
                  </w:r>
                </w:p>
              </w:tc>
              <w:tc>
                <w:tcPr>
                  <w:tcW w:w="461" w:type="pct"/>
                  <w:tcBorders>
                    <w:tl2br w:val="nil"/>
                    <w:tr2bl w:val="nil"/>
                  </w:tcBorders>
                  <w:vAlign w:val="center"/>
                </w:tcPr>
                <w:p w14:paraId="1E0E3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59BF8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c>
                <w:tcPr>
                  <w:tcW w:w="614" w:type="pct"/>
                  <w:tcBorders>
                    <w:tl2br w:val="nil"/>
                    <w:tr2bl w:val="nil"/>
                  </w:tcBorders>
                  <w:vAlign w:val="center"/>
                </w:tcPr>
                <w:p w14:paraId="48FD9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71</w:t>
                  </w:r>
                </w:p>
              </w:tc>
              <w:tc>
                <w:tcPr>
                  <w:tcW w:w="542" w:type="pct"/>
                  <w:tcBorders>
                    <w:tl2br w:val="nil"/>
                    <w:tr2bl w:val="nil"/>
                  </w:tcBorders>
                  <w:vAlign w:val="center"/>
                </w:tcPr>
                <w:p w14:paraId="1B08AC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578" w:type="pct"/>
                  <w:tcBorders>
                    <w:tl2br w:val="nil"/>
                    <w:tr2bl w:val="nil"/>
                  </w:tcBorders>
                  <w:vAlign w:val="center"/>
                </w:tcPr>
                <w:p w14:paraId="52D19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w:t>
                  </w:r>
                </w:p>
              </w:tc>
              <w:tc>
                <w:tcPr>
                  <w:tcW w:w="467" w:type="pct"/>
                  <w:tcBorders>
                    <w:tl2br w:val="nil"/>
                    <w:tr2bl w:val="nil"/>
                  </w:tcBorders>
                  <w:vAlign w:val="center"/>
                </w:tcPr>
                <w:p w14:paraId="3CFF9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428" w:type="pct"/>
                  <w:tcBorders>
                    <w:tl2br w:val="nil"/>
                    <w:tr2bl w:val="nil"/>
                  </w:tcBorders>
                  <w:vAlign w:val="center"/>
                </w:tcPr>
                <w:p w14:paraId="03B6E5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w:t>
                  </w:r>
                </w:p>
              </w:tc>
              <w:tc>
                <w:tcPr>
                  <w:tcW w:w="396" w:type="pct"/>
                  <w:tcBorders>
                    <w:tl2br w:val="nil"/>
                    <w:tr2bl w:val="nil"/>
                  </w:tcBorders>
                  <w:vAlign w:val="center"/>
                </w:tcPr>
                <w:p w14:paraId="1DC650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2174D1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5A151D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58B021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氨氮</w:t>
                  </w:r>
                </w:p>
              </w:tc>
              <w:tc>
                <w:tcPr>
                  <w:tcW w:w="461" w:type="pct"/>
                  <w:tcBorders>
                    <w:tl2br w:val="nil"/>
                    <w:tr2bl w:val="nil"/>
                  </w:tcBorders>
                  <w:vAlign w:val="center"/>
                </w:tcPr>
                <w:p w14:paraId="11DA8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2F1BCB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1.55</w:t>
                  </w:r>
                </w:p>
              </w:tc>
              <w:tc>
                <w:tcPr>
                  <w:tcW w:w="614" w:type="pct"/>
                  <w:tcBorders>
                    <w:tl2br w:val="nil"/>
                    <w:tr2bl w:val="nil"/>
                  </w:tcBorders>
                  <w:vAlign w:val="center"/>
                </w:tcPr>
                <w:p w14:paraId="758500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1.46</w:t>
                  </w:r>
                </w:p>
              </w:tc>
              <w:tc>
                <w:tcPr>
                  <w:tcW w:w="542" w:type="pct"/>
                  <w:tcBorders>
                    <w:tl2br w:val="nil"/>
                    <w:tr2bl w:val="nil"/>
                  </w:tcBorders>
                  <w:vAlign w:val="center"/>
                </w:tcPr>
                <w:p w14:paraId="720919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1.59</w:t>
                  </w:r>
                </w:p>
              </w:tc>
              <w:tc>
                <w:tcPr>
                  <w:tcW w:w="578" w:type="pct"/>
                  <w:tcBorders>
                    <w:tl2br w:val="nil"/>
                    <w:tr2bl w:val="nil"/>
                  </w:tcBorders>
                  <w:vAlign w:val="center"/>
                </w:tcPr>
                <w:p w14:paraId="7E155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1.72</w:t>
                  </w:r>
                </w:p>
              </w:tc>
              <w:tc>
                <w:tcPr>
                  <w:tcW w:w="467" w:type="pct"/>
                  <w:tcBorders>
                    <w:tl2br w:val="nil"/>
                    <w:tr2bl w:val="nil"/>
                  </w:tcBorders>
                  <w:vAlign w:val="center"/>
                </w:tcPr>
                <w:p w14:paraId="72D413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1.58</w:t>
                  </w:r>
                </w:p>
              </w:tc>
              <w:tc>
                <w:tcPr>
                  <w:tcW w:w="428" w:type="pct"/>
                  <w:tcBorders>
                    <w:tl2br w:val="nil"/>
                    <w:tr2bl w:val="nil"/>
                  </w:tcBorders>
                  <w:vAlign w:val="center"/>
                </w:tcPr>
                <w:p w14:paraId="012542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w:t>
                  </w:r>
                </w:p>
              </w:tc>
              <w:tc>
                <w:tcPr>
                  <w:tcW w:w="396" w:type="pct"/>
                  <w:tcBorders>
                    <w:tl2br w:val="nil"/>
                    <w:tr2bl w:val="nil"/>
                  </w:tcBorders>
                  <w:vAlign w:val="center"/>
                </w:tcPr>
                <w:p w14:paraId="35B00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3DCF05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37615B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7E674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总磷</w:t>
                  </w:r>
                </w:p>
              </w:tc>
              <w:tc>
                <w:tcPr>
                  <w:tcW w:w="461" w:type="pct"/>
                  <w:tcBorders>
                    <w:tl2br w:val="nil"/>
                    <w:tr2bl w:val="nil"/>
                  </w:tcBorders>
                  <w:vAlign w:val="center"/>
                </w:tcPr>
                <w:p w14:paraId="4AA1BE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21CBE7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614" w:type="pct"/>
                  <w:tcBorders>
                    <w:tl2br w:val="nil"/>
                    <w:tr2bl w:val="nil"/>
                  </w:tcBorders>
                  <w:vAlign w:val="center"/>
                </w:tcPr>
                <w:p w14:paraId="03BFF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542" w:type="pct"/>
                  <w:tcBorders>
                    <w:tl2br w:val="nil"/>
                    <w:tr2bl w:val="nil"/>
                  </w:tcBorders>
                  <w:vAlign w:val="center"/>
                </w:tcPr>
                <w:p w14:paraId="640F6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578" w:type="pct"/>
                  <w:tcBorders>
                    <w:tl2br w:val="nil"/>
                    <w:tr2bl w:val="nil"/>
                  </w:tcBorders>
                  <w:vAlign w:val="center"/>
                </w:tcPr>
                <w:p w14:paraId="7FD7D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67" w:type="pct"/>
                  <w:tcBorders>
                    <w:tl2br w:val="nil"/>
                    <w:tr2bl w:val="nil"/>
                  </w:tcBorders>
                  <w:vAlign w:val="center"/>
                </w:tcPr>
                <w:p w14:paraId="6A5C1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28" w:type="pct"/>
                  <w:tcBorders>
                    <w:tl2br w:val="nil"/>
                    <w:tr2bl w:val="nil"/>
                  </w:tcBorders>
                  <w:vAlign w:val="center"/>
                </w:tcPr>
                <w:p w14:paraId="48FAB5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396" w:type="pct"/>
                  <w:tcBorders>
                    <w:tl2br w:val="nil"/>
                    <w:tr2bl w:val="nil"/>
                  </w:tcBorders>
                  <w:vAlign w:val="center"/>
                </w:tcPr>
                <w:p w14:paraId="28530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6A0A4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770A2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465633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总氮</w:t>
                  </w:r>
                </w:p>
              </w:tc>
              <w:tc>
                <w:tcPr>
                  <w:tcW w:w="461" w:type="pct"/>
                  <w:tcBorders>
                    <w:tl2br w:val="nil"/>
                    <w:tr2bl w:val="nil"/>
                  </w:tcBorders>
                  <w:vAlign w:val="center"/>
                </w:tcPr>
                <w:p w14:paraId="3A8A1F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5BB0CF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4.66</w:t>
                  </w:r>
                </w:p>
              </w:tc>
              <w:tc>
                <w:tcPr>
                  <w:tcW w:w="614" w:type="pct"/>
                  <w:tcBorders>
                    <w:tl2br w:val="nil"/>
                    <w:tr2bl w:val="nil"/>
                  </w:tcBorders>
                  <w:vAlign w:val="center"/>
                </w:tcPr>
                <w:p w14:paraId="34C2F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4.53</w:t>
                  </w:r>
                </w:p>
              </w:tc>
              <w:tc>
                <w:tcPr>
                  <w:tcW w:w="542" w:type="pct"/>
                  <w:tcBorders>
                    <w:tl2br w:val="nil"/>
                    <w:tr2bl w:val="nil"/>
                  </w:tcBorders>
                  <w:vAlign w:val="center"/>
                </w:tcPr>
                <w:p w14:paraId="3BEE8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4.39</w:t>
                  </w:r>
                </w:p>
              </w:tc>
              <w:tc>
                <w:tcPr>
                  <w:tcW w:w="578" w:type="pct"/>
                  <w:tcBorders>
                    <w:tl2br w:val="nil"/>
                    <w:tr2bl w:val="nil"/>
                  </w:tcBorders>
                  <w:vAlign w:val="center"/>
                </w:tcPr>
                <w:p w14:paraId="54FCF7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4.23</w:t>
                  </w:r>
                </w:p>
              </w:tc>
              <w:tc>
                <w:tcPr>
                  <w:tcW w:w="467" w:type="pct"/>
                  <w:tcBorders>
                    <w:tl2br w:val="nil"/>
                    <w:tr2bl w:val="nil"/>
                  </w:tcBorders>
                  <w:vAlign w:val="center"/>
                </w:tcPr>
                <w:p w14:paraId="0239D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4.45</w:t>
                  </w:r>
                </w:p>
              </w:tc>
              <w:tc>
                <w:tcPr>
                  <w:tcW w:w="428" w:type="pct"/>
                  <w:tcBorders>
                    <w:tl2br w:val="nil"/>
                    <w:tr2bl w:val="nil"/>
                  </w:tcBorders>
                  <w:vAlign w:val="center"/>
                </w:tcPr>
                <w:p w14:paraId="2137CA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c>
                <w:tcPr>
                  <w:tcW w:w="396" w:type="pct"/>
                  <w:tcBorders>
                    <w:tl2br w:val="nil"/>
                    <w:tr2bl w:val="nil"/>
                  </w:tcBorders>
                  <w:vAlign w:val="center"/>
                </w:tcPr>
                <w:p w14:paraId="09F763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2B2DBA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058C6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008D9C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动植物油</w:t>
                  </w:r>
                </w:p>
              </w:tc>
              <w:tc>
                <w:tcPr>
                  <w:tcW w:w="461" w:type="pct"/>
                  <w:tcBorders>
                    <w:tl2br w:val="nil"/>
                    <w:tr2bl w:val="nil"/>
                  </w:tcBorders>
                  <w:vAlign w:val="center"/>
                </w:tcPr>
                <w:p w14:paraId="18432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50DA8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0. 12</w:t>
                  </w:r>
                </w:p>
              </w:tc>
              <w:tc>
                <w:tcPr>
                  <w:tcW w:w="614" w:type="pct"/>
                  <w:tcBorders>
                    <w:tl2br w:val="nil"/>
                    <w:tr2bl w:val="nil"/>
                  </w:tcBorders>
                  <w:vAlign w:val="center"/>
                </w:tcPr>
                <w:p w14:paraId="300930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0.15</w:t>
                  </w:r>
                </w:p>
              </w:tc>
              <w:tc>
                <w:tcPr>
                  <w:tcW w:w="542" w:type="pct"/>
                  <w:tcBorders>
                    <w:tl2br w:val="nil"/>
                    <w:tr2bl w:val="nil"/>
                  </w:tcBorders>
                  <w:vAlign w:val="center"/>
                </w:tcPr>
                <w:p w14:paraId="11579F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0.15</w:t>
                  </w:r>
                </w:p>
              </w:tc>
              <w:tc>
                <w:tcPr>
                  <w:tcW w:w="578" w:type="pct"/>
                  <w:tcBorders>
                    <w:tl2br w:val="nil"/>
                    <w:tr2bl w:val="nil"/>
                  </w:tcBorders>
                  <w:vAlign w:val="center"/>
                </w:tcPr>
                <w:p w14:paraId="578278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0.13</w:t>
                  </w:r>
                </w:p>
              </w:tc>
              <w:tc>
                <w:tcPr>
                  <w:tcW w:w="467" w:type="pct"/>
                  <w:tcBorders>
                    <w:tl2br w:val="nil"/>
                    <w:tr2bl w:val="nil"/>
                  </w:tcBorders>
                  <w:vAlign w:val="center"/>
                </w:tcPr>
                <w:p w14:paraId="12B278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0. 14</w:t>
                  </w:r>
                </w:p>
              </w:tc>
              <w:tc>
                <w:tcPr>
                  <w:tcW w:w="428" w:type="pct"/>
                  <w:tcBorders>
                    <w:tl2br w:val="nil"/>
                    <w:tr2bl w:val="nil"/>
                  </w:tcBorders>
                  <w:vAlign w:val="center"/>
                </w:tcPr>
                <w:p w14:paraId="6853E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396" w:type="pct"/>
                  <w:tcBorders>
                    <w:tl2br w:val="nil"/>
                    <w:tr2bl w:val="nil"/>
                  </w:tcBorders>
                  <w:vAlign w:val="center"/>
                </w:tcPr>
                <w:p w14:paraId="4F2426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6AF617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restart"/>
                  <w:tcBorders>
                    <w:tl2br w:val="nil"/>
                    <w:tr2bl w:val="nil"/>
                  </w:tcBorders>
                  <w:vAlign w:val="center"/>
                </w:tcPr>
                <w:p w14:paraId="44025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雨水排口</w:t>
                  </w:r>
                  <w:r>
                    <w:rPr>
                      <w:rFonts w:hint="default" w:ascii="Times New Roman" w:hAnsi="Times New Roman" w:eastAsia="宋体" w:cs="Times New Roman"/>
                      <w:color w:val="auto"/>
                      <w:sz w:val="18"/>
                      <w:szCs w:val="18"/>
                      <w:lang w:val="en-US" w:eastAsia="zh-CN"/>
                    </w:rPr>
                    <w:t>2025.</w:t>
                  </w:r>
                  <w:r>
                    <w:rPr>
                      <w:rFonts w:hint="default" w:ascii="Times New Roman" w:hAnsi="Times New Roman" w:eastAsia="宋体" w:cs="Times New Roman"/>
                      <w:color w:val="auto"/>
                      <w:sz w:val="18"/>
                      <w:szCs w:val="18"/>
                    </w:rPr>
                    <w:t>10.23</w:t>
                  </w:r>
                </w:p>
              </w:tc>
              <w:tc>
                <w:tcPr>
                  <w:tcW w:w="500" w:type="pct"/>
                  <w:tcBorders>
                    <w:tl2br w:val="nil"/>
                    <w:tr2bl w:val="nil"/>
                  </w:tcBorders>
                  <w:vAlign w:val="center"/>
                </w:tcPr>
                <w:p w14:paraId="28EDC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 值</w:t>
                  </w:r>
                </w:p>
              </w:tc>
              <w:tc>
                <w:tcPr>
                  <w:tcW w:w="461" w:type="pct"/>
                  <w:tcBorders>
                    <w:tl2br w:val="nil"/>
                    <w:tr2bl w:val="nil"/>
                  </w:tcBorders>
                  <w:vAlign w:val="center"/>
                </w:tcPr>
                <w:p w14:paraId="2DF25B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无量纲</w:t>
                  </w:r>
                </w:p>
              </w:tc>
              <w:tc>
                <w:tcPr>
                  <w:tcW w:w="525" w:type="pct"/>
                  <w:tcBorders>
                    <w:tl2br w:val="nil"/>
                    <w:tr2bl w:val="nil"/>
                  </w:tcBorders>
                  <w:vAlign w:val="center"/>
                </w:tcPr>
                <w:p w14:paraId="05BD4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614" w:type="pct"/>
                  <w:tcBorders>
                    <w:tl2br w:val="nil"/>
                    <w:tr2bl w:val="nil"/>
                  </w:tcBorders>
                  <w:vAlign w:val="center"/>
                </w:tcPr>
                <w:p w14:paraId="2A9BFB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542" w:type="pct"/>
                  <w:tcBorders>
                    <w:tl2br w:val="nil"/>
                    <w:tr2bl w:val="nil"/>
                  </w:tcBorders>
                  <w:vAlign w:val="center"/>
                </w:tcPr>
                <w:p w14:paraId="1B9ED0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578" w:type="pct"/>
                  <w:tcBorders>
                    <w:tl2br w:val="nil"/>
                    <w:tr2bl w:val="nil"/>
                  </w:tcBorders>
                  <w:vAlign w:val="center"/>
                </w:tcPr>
                <w:p w14:paraId="1478D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467" w:type="pct"/>
                  <w:tcBorders>
                    <w:tl2br w:val="nil"/>
                    <w:tr2bl w:val="nil"/>
                  </w:tcBorders>
                  <w:vAlign w:val="center"/>
                </w:tcPr>
                <w:p w14:paraId="0A4ED6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8" w:type="pct"/>
                  <w:tcBorders>
                    <w:tl2br w:val="nil"/>
                    <w:tr2bl w:val="nil"/>
                  </w:tcBorders>
                  <w:vAlign w:val="center"/>
                </w:tcPr>
                <w:p w14:paraId="2B5D4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396" w:type="pct"/>
                  <w:tcBorders>
                    <w:tl2br w:val="nil"/>
                    <w:tr2bl w:val="nil"/>
                  </w:tcBorders>
                  <w:vAlign w:val="center"/>
                </w:tcPr>
                <w:p w14:paraId="0F51B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3BE25C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680E2A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340218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悬浮物</w:t>
                  </w:r>
                </w:p>
              </w:tc>
              <w:tc>
                <w:tcPr>
                  <w:tcW w:w="461" w:type="pct"/>
                  <w:tcBorders>
                    <w:tl2br w:val="nil"/>
                    <w:tr2bl w:val="nil"/>
                  </w:tcBorders>
                  <w:vAlign w:val="center"/>
                </w:tcPr>
                <w:p w14:paraId="6B2E68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5C4271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614" w:type="pct"/>
                  <w:tcBorders>
                    <w:tl2br w:val="nil"/>
                    <w:tr2bl w:val="nil"/>
                  </w:tcBorders>
                  <w:vAlign w:val="center"/>
                </w:tcPr>
                <w:p w14:paraId="385D63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542" w:type="pct"/>
                  <w:tcBorders>
                    <w:tl2br w:val="nil"/>
                    <w:tr2bl w:val="nil"/>
                  </w:tcBorders>
                  <w:vAlign w:val="center"/>
                </w:tcPr>
                <w:p w14:paraId="01B3BB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w:t>
                  </w:r>
                </w:p>
              </w:tc>
              <w:tc>
                <w:tcPr>
                  <w:tcW w:w="578" w:type="pct"/>
                  <w:tcBorders>
                    <w:tl2br w:val="nil"/>
                    <w:tr2bl w:val="nil"/>
                  </w:tcBorders>
                  <w:vAlign w:val="center"/>
                </w:tcPr>
                <w:p w14:paraId="0175D5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467" w:type="pct"/>
                  <w:tcBorders>
                    <w:tl2br w:val="nil"/>
                    <w:tr2bl w:val="nil"/>
                  </w:tcBorders>
                  <w:vAlign w:val="center"/>
                </w:tcPr>
                <w:p w14:paraId="16C371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428" w:type="pct"/>
                  <w:tcBorders>
                    <w:tl2br w:val="nil"/>
                    <w:tr2bl w:val="nil"/>
                  </w:tcBorders>
                  <w:vAlign w:val="center"/>
                </w:tcPr>
                <w:p w14:paraId="0F48D4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396" w:type="pct"/>
                  <w:tcBorders>
                    <w:tl2br w:val="nil"/>
                    <w:tr2bl w:val="nil"/>
                  </w:tcBorders>
                  <w:vAlign w:val="center"/>
                </w:tcPr>
                <w:p w14:paraId="4F341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6E963F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6" w:type="pct"/>
                  <w:vMerge w:val="continue"/>
                  <w:tcBorders>
                    <w:tl2br w:val="nil"/>
                    <w:tr2bl w:val="nil"/>
                  </w:tcBorders>
                  <w:vAlign w:val="center"/>
                </w:tcPr>
                <w:p w14:paraId="03C3B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500" w:type="pct"/>
                  <w:tcBorders>
                    <w:tl2br w:val="nil"/>
                    <w:tr2bl w:val="nil"/>
                  </w:tcBorders>
                  <w:vAlign w:val="center"/>
                </w:tcPr>
                <w:p w14:paraId="396BEF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化学需氧量</w:t>
                  </w:r>
                </w:p>
              </w:tc>
              <w:tc>
                <w:tcPr>
                  <w:tcW w:w="461" w:type="pct"/>
                  <w:tcBorders>
                    <w:tl2br w:val="nil"/>
                    <w:tr2bl w:val="nil"/>
                  </w:tcBorders>
                  <w:vAlign w:val="center"/>
                </w:tcPr>
                <w:p w14:paraId="0DD93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mg/L</w:t>
                  </w:r>
                </w:p>
              </w:tc>
              <w:tc>
                <w:tcPr>
                  <w:tcW w:w="525" w:type="pct"/>
                  <w:tcBorders>
                    <w:tl2br w:val="nil"/>
                    <w:tr2bl w:val="nil"/>
                  </w:tcBorders>
                  <w:vAlign w:val="center"/>
                </w:tcPr>
                <w:p w14:paraId="1D8498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w:t>
                  </w:r>
                </w:p>
              </w:tc>
              <w:tc>
                <w:tcPr>
                  <w:tcW w:w="614" w:type="pct"/>
                  <w:tcBorders>
                    <w:tl2br w:val="nil"/>
                    <w:tr2bl w:val="nil"/>
                  </w:tcBorders>
                  <w:vAlign w:val="center"/>
                </w:tcPr>
                <w:p w14:paraId="1E8617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542" w:type="pct"/>
                  <w:tcBorders>
                    <w:tl2br w:val="nil"/>
                    <w:tr2bl w:val="nil"/>
                  </w:tcBorders>
                  <w:vAlign w:val="center"/>
                </w:tcPr>
                <w:p w14:paraId="552ABB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578" w:type="pct"/>
                  <w:tcBorders>
                    <w:tl2br w:val="nil"/>
                    <w:tr2bl w:val="nil"/>
                  </w:tcBorders>
                  <w:vAlign w:val="center"/>
                </w:tcPr>
                <w:p w14:paraId="56099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467" w:type="pct"/>
                  <w:tcBorders>
                    <w:tl2br w:val="nil"/>
                    <w:tr2bl w:val="nil"/>
                  </w:tcBorders>
                  <w:vAlign w:val="center"/>
                </w:tcPr>
                <w:p w14:paraId="5E78C7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w:t>
                  </w:r>
                </w:p>
              </w:tc>
              <w:tc>
                <w:tcPr>
                  <w:tcW w:w="428" w:type="pct"/>
                  <w:tcBorders>
                    <w:tl2br w:val="nil"/>
                    <w:tr2bl w:val="nil"/>
                  </w:tcBorders>
                  <w:vAlign w:val="center"/>
                </w:tcPr>
                <w:p w14:paraId="5FC1D0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396" w:type="pct"/>
                  <w:tcBorders>
                    <w:tl2br w:val="nil"/>
                    <w:tr2bl w:val="nil"/>
                  </w:tcBorders>
                  <w:vAlign w:val="center"/>
                </w:tcPr>
                <w:p w14:paraId="4C710C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bl>
          <w:p w14:paraId="6F22F407">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bCs/>
                <w:color w:val="auto"/>
                <w:szCs w:val="21"/>
              </w:rPr>
            </w:pPr>
            <w:r>
              <w:rPr>
                <w:rFonts w:hint="eastAsia"/>
                <w:bCs/>
                <w:color w:val="auto"/>
                <w:szCs w:val="21"/>
              </w:rPr>
              <w:t>②废气</w:t>
            </w:r>
          </w:p>
          <w:p w14:paraId="5B6A51BB">
            <w:pPr>
              <w:keepNext w:val="0"/>
              <w:keepLines w:val="0"/>
              <w:pageBreakBefore w:val="0"/>
              <w:widowControl w:val="0"/>
              <w:kinsoku/>
              <w:wordWrap/>
              <w:overflowPunct/>
              <w:topLinePunct w:val="0"/>
              <w:autoSpaceDE/>
              <w:autoSpaceDN/>
              <w:bidi w:val="0"/>
              <w:adjustRightInd w:val="0"/>
              <w:snapToGrid w:val="0"/>
              <w:spacing w:line="360" w:lineRule="auto"/>
              <w:ind w:firstLine="424"/>
              <w:textAlignment w:val="auto"/>
              <w:rPr>
                <w:rFonts w:hint="eastAsia"/>
                <w:color w:val="auto"/>
                <w:spacing w:val="1"/>
                <w:lang w:val="en-US" w:eastAsia="zh-CN"/>
              </w:rPr>
            </w:pPr>
            <w:r>
              <w:rPr>
                <w:rFonts w:hint="eastAsia" w:ascii="Times New Roman" w:hAnsi="Times New Roman" w:eastAsia="宋体"/>
                <w:color w:val="auto"/>
                <w:spacing w:val="1"/>
                <w:lang w:val="en-US" w:eastAsia="zh-CN"/>
              </w:rPr>
              <w:t>现有项目PET车间挤出废气和涂布废气（非甲烷总烃）收集后通过废气处理系统“降温喷淋塔+干式过滤（除雾器）+二级活性炭吸附”工艺处理达标后，尾气经25m高排气筒PQ1排放。涂布车间配胶废气、涂布废气及涂布车间清洗装置废气收集后通过RTO装置处理尾气经25m高排气筒PQ2排放。</w:t>
            </w:r>
            <w:r>
              <w:rPr>
                <w:rFonts w:hint="eastAsia"/>
                <w:color w:val="auto"/>
                <w:spacing w:val="1"/>
                <w:lang w:val="en-US" w:eastAsia="zh-CN"/>
              </w:rPr>
              <w:t>危废仓库废气经二级活性炭装置处理后</w:t>
            </w:r>
            <w:r>
              <w:rPr>
                <w:rFonts w:hint="eastAsia" w:ascii="Times New Roman" w:hAnsi="Times New Roman" w:eastAsia="宋体"/>
                <w:color w:val="auto"/>
                <w:spacing w:val="1"/>
                <w:lang w:val="en-US" w:eastAsia="zh-CN"/>
              </w:rPr>
              <w:t>经</w:t>
            </w:r>
            <w:r>
              <w:rPr>
                <w:rFonts w:hint="eastAsia"/>
                <w:color w:val="auto"/>
                <w:spacing w:val="1"/>
                <w:lang w:val="en-US" w:eastAsia="zh-CN"/>
              </w:rPr>
              <w:t>1</w:t>
            </w:r>
            <w:r>
              <w:rPr>
                <w:rFonts w:hint="eastAsia" w:ascii="Times New Roman" w:hAnsi="Times New Roman" w:eastAsia="宋体"/>
                <w:color w:val="auto"/>
                <w:spacing w:val="1"/>
                <w:lang w:val="en-US" w:eastAsia="zh-CN"/>
              </w:rPr>
              <w:t>5m高排气筒PQ</w:t>
            </w:r>
            <w:r>
              <w:rPr>
                <w:rFonts w:hint="eastAsia"/>
                <w:color w:val="auto"/>
                <w:spacing w:val="1"/>
                <w:lang w:val="en-US" w:eastAsia="zh-CN"/>
              </w:rPr>
              <w:t>3</w:t>
            </w:r>
            <w:r>
              <w:rPr>
                <w:rFonts w:hint="eastAsia" w:ascii="Times New Roman" w:hAnsi="Times New Roman" w:eastAsia="宋体"/>
                <w:color w:val="auto"/>
                <w:spacing w:val="1"/>
                <w:lang w:val="en-US" w:eastAsia="zh-CN"/>
              </w:rPr>
              <w:t>排放</w:t>
            </w:r>
            <w:r>
              <w:rPr>
                <w:rFonts w:hint="eastAsia"/>
                <w:color w:val="auto"/>
                <w:spacing w:val="1"/>
                <w:lang w:val="en-US" w:eastAsia="zh-CN"/>
              </w:rPr>
              <w:t>。</w:t>
            </w:r>
          </w:p>
          <w:p w14:paraId="484044BF">
            <w:pPr>
              <w:keepNext w:val="0"/>
              <w:keepLines w:val="0"/>
              <w:pageBreakBefore w:val="0"/>
              <w:widowControl w:val="0"/>
              <w:kinsoku/>
              <w:wordWrap/>
              <w:overflowPunct/>
              <w:topLinePunct w:val="0"/>
              <w:autoSpaceDE/>
              <w:autoSpaceDN/>
              <w:bidi w:val="0"/>
              <w:adjustRightInd w:val="0"/>
              <w:snapToGrid w:val="0"/>
              <w:spacing w:line="360" w:lineRule="auto"/>
              <w:ind w:firstLine="424"/>
              <w:textAlignment w:val="auto"/>
              <w:rPr>
                <w:rFonts w:hint="eastAsia"/>
                <w:color w:val="auto"/>
                <w:spacing w:val="1"/>
                <w:lang w:eastAsia="zh-CN"/>
              </w:rPr>
            </w:pPr>
            <w:r>
              <w:rPr>
                <w:rFonts w:hint="eastAsia"/>
                <w:color w:val="auto"/>
                <w:spacing w:val="1"/>
              </w:rPr>
              <w:t>根据</w:t>
            </w:r>
            <w:r>
              <w:rPr>
                <w:rFonts w:hint="eastAsia"/>
                <w:color w:val="auto"/>
                <w:lang w:val="en-US" w:eastAsia="zh-CN"/>
              </w:rPr>
              <w:t>自行监测数据</w:t>
            </w:r>
            <w:r>
              <w:rPr>
                <w:color w:val="auto"/>
                <w:spacing w:val="1"/>
              </w:rPr>
              <w:t>，现有项目废气监测结果统计如下。</w:t>
            </w:r>
          </w:p>
          <w:p w14:paraId="42AA4995">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11</w:t>
            </w:r>
            <w:r>
              <w:rPr>
                <w:rFonts w:hint="eastAsia" w:ascii="Times New Roman" w:hAnsi="Times New Roman" w:eastAsia="宋体" w:cs="Times New Roman"/>
                <w:b/>
                <w:color w:val="auto"/>
                <w:sz w:val="21"/>
                <w:szCs w:val="21"/>
                <w:highlight w:val="none"/>
                <w:lang w:val="en-US" w:eastAsia="zh-CN"/>
              </w:rPr>
              <w:t xml:space="preserve"> 现有废气监测数据</w:t>
            </w:r>
          </w:p>
          <w:tbl>
            <w:tblPr>
              <w:tblStyle w:val="156"/>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97"/>
              <w:gridCol w:w="757"/>
              <w:gridCol w:w="637"/>
              <w:gridCol w:w="838"/>
              <w:gridCol w:w="673"/>
              <w:gridCol w:w="802"/>
              <w:gridCol w:w="797"/>
              <w:gridCol w:w="921"/>
              <w:gridCol w:w="979"/>
              <w:gridCol w:w="536"/>
              <w:gridCol w:w="628"/>
            </w:tblGrid>
            <w:tr w14:paraId="7A8D63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restart"/>
                  <w:tcBorders>
                    <w:tl2br w:val="nil"/>
                    <w:tr2bl w:val="nil"/>
                  </w:tcBorders>
                  <w:shd w:val="clear" w:color="auto" w:fill="D7D7D7" w:themeFill="background1" w:themeFillShade="D8"/>
                  <w:vAlign w:val="center"/>
                </w:tcPr>
                <w:p w14:paraId="041A19D4">
                  <w:pPr>
                    <w:pStyle w:val="167"/>
                    <w:autoSpaceDE/>
                    <w:autoSpaceDN/>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pacing w:val="4"/>
                      <w:sz w:val="18"/>
                      <w:szCs w:val="18"/>
                    </w:rPr>
                    <w:t>监测</w:t>
                  </w:r>
                  <w:r>
                    <w:rPr>
                      <w:rFonts w:ascii="Times New Roman" w:hAnsi="Times New Roman" w:cs="Times New Roman"/>
                      <w:b/>
                      <w:bCs/>
                      <w:color w:val="auto"/>
                      <w:spacing w:val="-1"/>
                      <w:sz w:val="18"/>
                      <w:szCs w:val="18"/>
                    </w:rPr>
                    <w:t>点位</w:t>
                  </w:r>
                </w:p>
              </w:tc>
              <w:tc>
                <w:tcPr>
                  <w:tcW w:w="452" w:type="pct"/>
                  <w:vMerge w:val="restart"/>
                  <w:tcBorders>
                    <w:tl2br w:val="nil"/>
                    <w:tr2bl w:val="nil"/>
                  </w:tcBorders>
                  <w:shd w:val="clear" w:color="auto" w:fill="D7D7D7" w:themeFill="background1" w:themeFillShade="D8"/>
                  <w:vAlign w:val="center"/>
                </w:tcPr>
                <w:p w14:paraId="1F7FADA3">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18"/>
                      <w:szCs w:val="18"/>
                    </w:rPr>
                  </w:pPr>
                  <w:r>
                    <w:rPr>
                      <w:rFonts w:ascii="Times New Roman" w:hAnsi="Times New Roman" w:cs="Times New Roman"/>
                      <w:b/>
                      <w:bCs/>
                      <w:color w:val="auto"/>
                      <w:spacing w:val="4"/>
                      <w:sz w:val="18"/>
                      <w:szCs w:val="18"/>
                    </w:rPr>
                    <w:t>监测</w:t>
                  </w:r>
                  <w:r>
                    <w:rPr>
                      <w:rFonts w:ascii="Times New Roman" w:hAnsi="Times New Roman" w:cs="Times New Roman"/>
                      <w:b/>
                      <w:bCs/>
                      <w:color w:val="auto"/>
                      <w:spacing w:val="-14"/>
                      <w:sz w:val="18"/>
                      <w:szCs w:val="18"/>
                    </w:rPr>
                    <w:t>日期</w:t>
                  </w:r>
                </w:p>
              </w:tc>
              <w:tc>
                <w:tcPr>
                  <w:tcW w:w="882" w:type="pct"/>
                  <w:gridSpan w:val="2"/>
                  <w:vMerge w:val="restart"/>
                  <w:tcBorders>
                    <w:tl2br w:val="nil"/>
                    <w:tr2bl w:val="nil"/>
                  </w:tcBorders>
                  <w:shd w:val="clear" w:color="auto" w:fill="D7D7D7" w:themeFill="background1" w:themeFillShade="D8"/>
                  <w:vAlign w:val="center"/>
                </w:tcPr>
                <w:p w14:paraId="3D0913D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18"/>
                      <w:szCs w:val="18"/>
                    </w:rPr>
                  </w:pPr>
                  <w:r>
                    <w:rPr>
                      <w:rFonts w:ascii="Times New Roman" w:hAnsi="Times New Roman" w:cs="Times New Roman"/>
                      <w:b/>
                      <w:bCs/>
                      <w:color w:val="auto"/>
                      <w:spacing w:val="7"/>
                      <w:sz w:val="18"/>
                      <w:szCs w:val="18"/>
                    </w:rPr>
                    <w:t>监测项目</w:t>
                  </w:r>
                </w:p>
              </w:tc>
              <w:tc>
                <w:tcPr>
                  <w:tcW w:w="402" w:type="pct"/>
                  <w:vMerge w:val="restart"/>
                  <w:tcBorders>
                    <w:tl2br w:val="nil"/>
                    <w:tr2bl w:val="nil"/>
                  </w:tcBorders>
                  <w:shd w:val="clear" w:color="auto" w:fill="D7D7D7" w:themeFill="background1" w:themeFillShade="D8"/>
                  <w:vAlign w:val="center"/>
                </w:tcPr>
                <w:p w14:paraId="7D6891E8">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18"/>
                      <w:szCs w:val="18"/>
                    </w:rPr>
                  </w:pPr>
                  <w:r>
                    <w:rPr>
                      <w:rFonts w:ascii="Times New Roman" w:hAnsi="Times New Roman" w:cs="Times New Roman"/>
                      <w:b/>
                      <w:bCs/>
                      <w:color w:val="auto"/>
                      <w:spacing w:val="3"/>
                      <w:sz w:val="18"/>
                      <w:szCs w:val="18"/>
                    </w:rPr>
                    <w:t>单位</w:t>
                  </w:r>
                </w:p>
              </w:tc>
              <w:tc>
                <w:tcPr>
                  <w:tcW w:w="2090" w:type="pct"/>
                  <w:gridSpan w:val="4"/>
                  <w:tcBorders>
                    <w:tl2br w:val="nil"/>
                    <w:tr2bl w:val="nil"/>
                  </w:tcBorders>
                  <w:shd w:val="clear" w:color="auto" w:fill="D7D7D7" w:themeFill="background1" w:themeFillShade="D8"/>
                  <w:vAlign w:val="center"/>
                </w:tcPr>
                <w:p w14:paraId="331ABF8B">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pacing w:val="7"/>
                      <w:sz w:val="18"/>
                      <w:szCs w:val="18"/>
                    </w:rPr>
                  </w:pPr>
                  <w:r>
                    <w:rPr>
                      <w:rFonts w:ascii="Times New Roman" w:hAnsi="Times New Roman" w:cs="Times New Roman"/>
                      <w:b/>
                      <w:bCs/>
                      <w:color w:val="auto"/>
                      <w:spacing w:val="7"/>
                      <w:sz w:val="18"/>
                      <w:szCs w:val="18"/>
                    </w:rPr>
                    <w:t>监测结果</w:t>
                  </w:r>
                </w:p>
              </w:tc>
              <w:tc>
                <w:tcPr>
                  <w:tcW w:w="320" w:type="pct"/>
                  <w:vMerge w:val="restart"/>
                  <w:tcBorders>
                    <w:tl2br w:val="nil"/>
                    <w:tr2bl w:val="nil"/>
                  </w:tcBorders>
                  <w:shd w:val="clear" w:color="auto" w:fill="D7D7D7" w:themeFill="background1" w:themeFillShade="D8"/>
                  <w:vAlign w:val="center"/>
                </w:tcPr>
                <w:p w14:paraId="61DFC2DF">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18"/>
                      <w:szCs w:val="18"/>
                    </w:rPr>
                  </w:pPr>
                  <w:r>
                    <w:rPr>
                      <w:rFonts w:ascii="Times New Roman" w:hAnsi="Times New Roman" w:cs="Times New Roman"/>
                      <w:b/>
                      <w:bCs/>
                      <w:color w:val="auto"/>
                      <w:spacing w:val="4"/>
                      <w:sz w:val="18"/>
                      <w:szCs w:val="18"/>
                    </w:rPr>
                    <w:t>排放标准</w:t>
                  </w:r>
                </w:p>
              </w:tc>
              <w:tc>
                <w:tcPr>
                  <w:tcW w:w="375" w:type="pct"/>
                  <w:vMerge w:val="restart"/>
                  <w:tcBorders>
                    <w:tl2br w:val="nil"/>
                    <w:tr2bl w:val="nil"/>
                  </w:tcBorders>
                  <w:shd w:val="clear" w:color="auto" w:fill="D7D7D7" w:themeFill="background1" w:themeFillShade="D8"/>
                  <w:vAlign w:val="center"/>
                </w:tcPr>
                <w:p w14:paraId="5EFE8CF3">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18"/>
                      <w:szCs w:val="18"/>
                    </w:rPr>
                  </w:pPr>
                  <w:r>
                    <w:rPr>
                      <w:rFonts w:ascii="Times New Roman" w:hAnsi="Times New Roman" w:cs="Times New Roman"/>
                      <w:b/>
                      <w:bCs/>
                      <w:color w:val="auto"/>
                      <w:spacing w:val="2"/>
                      <w:sz w:val="18"/>
                      <w:szCs w:val="18"/>
                    </w:rPr>
                    <w:t>结果</w:t>
                  </w:r>
                  <w:r>
                    <w:rPr>
                      <w:rFonts w:ascii="Times New Roman" w:hAnsi="Times New Roman" w:cs="Times New Roman"/>
                      <w:b/>
                      <w:bCs/>
                      <w:color w:val="auto"/>
                      <w:spacing w:val="5"/>
                      <w:sz w:val="18"/>
                      <w:szCs w:val="18"/>
                    </w:rPr>
                    <w:t>评定</w:t>
                  </w:r>
                </w:p>
              </w:tc>
            </w:tr>
            <w:tr w14:paraId="6AC987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2655C276">
                  <w:pPr>
                    <w:autoSpaceDE/>
                    <w:autoSpaceDN/>
                    <w:spacing w:line="240" w:lineRule="auto"/>
                    <w:ind w:firstLine="0" w:firstLineChars="0"/>
                    <w:jc w:val="center"/>
                    <w:rPr>
                      <w:rFonts w:cs="Times New Roman"/>
                      <w:color w:val="auto"/>
                      <w:sz w:val="18"/>
                      <w:szCs w:val="18"/>
                      <w:lang w:eastAsia="en-US"/>
                    </w:rPr>
                  </w:pPr>
                </w:p>
              </w:tc>
              <w:tc>
                <w:tcPr>
                  <w:tcW w:w="452" w:type="pct"/>
                  <w:vMerge w:val="continue"/>
                  <w:tcBorders>
                    <w:tl2br w:val="nil"/>
                    <w:tr2bl w:val="nil"/>
                  </w:tcBorders>
                  <w:vAlign w:val="center"/>
                </w:tcPr>
                <w:p w14:paraId="55C1CB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18"/>
                      <w:szCs w:val="18"/>
                      <w:lang w:eastAsia="en-US"/>
                    </w:rPr>
                  </w:pPr>
                </w:p>
              </w:tc>
              <w:tc>
                <w:tcPr>
                  <w:tcW w:w="882" w:type="pct"/>
                  <w:gridSpan w:val="2"/>
                  <w:vMerge w:val="continue"/>
                  <w:tcBorders>
                    <w:tl2br w:val="nil"/>
                    <w:tr2bl w:val="nil"/>
                  </w:tcBorders>
                  <w:vAlign w:val="center"/>
                </w:tcPr>
                <w:p w14:paraId="645005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18"/>
                      <w:szCs w:val="18"/>
                      <w:lang w:eastAsia="en-US"/>
                    </w:rPr>
                  </w:pPr>
                </w:p>
              </w:tc>
              <w:tc>
                <w:tcPr>
                  <w:tcW w:w="402" w:type="pct"/>
                  <w:vMerge w:val="continue"/>
                  <w:tcBorders>
                    <w:tl2br w:val="nil"/>
                    <w:tr2bl w:val="nil"/>
                  </w:tcBorders>
                  <w:vAlign w:val="center"/>
                </w:tcPr>
                <w:p w14:paraId="5206E7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18"/>
                      <w:szCs w:val="18"/>
                      <w:lang w:eastAsia="en-US"/>
                    </w:rPr>
                  </w:pPr>
                </w:p>
              </w:tc>
              <w:tc>
                <w:tcPr>
                  <w:tcW w:w="479" w:type="pct"/>
                  <w:tcBorders>
                    <w:tl2br w:val="nil"/>
                    <w:tr2bl w:val="nil"/>
                  </w:tcBorders>
                  <w:shd w:val="clear" w:color="auto" w:fill="D7D7D7" w:themeFill="background1" w:themeFillShade="D8"/>
                  <w:vAlign w:val="center"/>
                </w:tcPr>
                <w:p w14:paraId="5B1F46E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18"/>
                      <w:szCs w:val="18"/>
                    </w:rPr>
                  </w:pPr>
                  <w:r>
                    <w:rPr>
                      <w:rFonts w:ascii="Times New Roman" w:hAnsi="Times New Roman" w:cs="Times New Roman"/>
                      <w:b/>
                      <w:bCs/>
                      <w:color w:val="auto"/>
                      <w:spacing w:val="6"/>
                      <w:sz w:val="18"/>
                      <w:szCs w:val="18"/>
                    </w:rPr>
                    <w:t>第一次</w:t>
                  </w:r>
                </w:p>
              </w:tc>
              <w:tc>
                <w:tcPr>
                  <w:tcW w:w="476" w:type="pct"/>
                  <w:tcBorders>
                    <w:tl2br w:val="nil"/>
                    <w:tr2bl w:val="nil"/>
                  </w:tcBorders>
                  <w:shd w:val="clear" w:color="auto" w:fill="D7D7D7" w:themeFill="background1" w:themeFillShade="D8"/>
                  <w:vAlign w:val="center"/>
                </w:tcPr>
                <w:p w14:paraId="647BE84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18"/>
                      <w:szCs w:val="18"/>
                    </w:rPr>
                  </w:pPr>
                  <w:r>
                    <w:rPr>
                      <w:rFonts w:ascii="Times New Roman" w:hAnsi="Times New Roman" w:cs="Times New Roman"/>
                      <w:b/>
                      <w:bCs/>
                      <w:color w:val="auto"/>
                      <w:spacing w:val="6"/>
                      <w:sz w:val="18"/>
                      <w:szCs w:val="18"/>
                    </w:rPr>
                    <w:t>第二次</w:t>
                  </w:r>
                </w:p>
              </w:tc>
              <w:tc>
                <w:tcPr>
                  <w:tcW w:w="550" w:type="pct"/>
                  <w:tcBorders>
                    <w:tl2br w:val="nil"/>
                    <w:tr2bl w:val="nil"/>
                  </w:tcBorders>
                  <w:shd w:val="clear" w:color="auto" w:fill="D7D7D7" w:themeFill="background1" w:themeFillShade="D8"/>
                  <w:vAlign w:val="center"/>
                </w:tcPr>
                <w:p w14:paraId="6D6D3F9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18"/>
                      <w:szCs w:val="18"/>
                    </w:rPr>
                  </w:pPr>
                  <w:r>
                    <w:rPr>
                      <w:rFonts w:ascii="Times New Roman" w:hAnsi="Times New Roman" w:cs="Times New Roman"/>
                      <w:b/>
                      <w:bCs/>
                      <w:color w:val="auto"/>
                      <w:spacing w:val="6"/>
                      <w:sz w:val="18"/>
                      <w:szCs w:val="18"/>
                    </w:rPr>
                    <w:t>第三次</w:t>
                  </w:r>
                </w:p>
              </w:tc>
              <w:tc>
                <w:tcPr>
                  <w:tcW w:w="584" w:type="pct"/>
                  <w:tcBorders>
                    <w:tl2br w:val="nil"/>
                    <w:tr2bl w:val="nil"/>
                  </w:tcBorders>
                  <w:shd w:val="clear" w:color="auto" w:fill="D7D7D7" w:themeFill="background1" w:themeFillShade="D8"/>
                  <w:vAlign w:val="center"/>
                </w:tcPr>
                <w:p w14:paraId="1D8838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color w:val="auto"/>
                      <w:sz w:val="18"/>
                      <w:szCs w:val="18"/>
                      <w:lang w:val="en-US" w:eastAsia="zh-CN"/>
                    </w:rPr>
                  </w:pPr>
                  <w:r>
                    <w:rPr>
                      <w:rFonts w:hint="eastAsia" w:cs="Times New Roman"/>
                      <w:b/>
                      <w:bCs/>
                      <w:color w:val="auto"/>
                      <w:sz w:val="18"/>
                      <w:szCs w:val="18"/>
                      <w:lang w:val="en-US" w:eastAsia="zh-CN"/>
                    </w:rPr>
                    <w:t>平均值</w:t>
                  </w:r>
                </w:p>
              </w:tc>
              <w:tc>
                <w:tcPr>
                  <w:tcW w:w="320" w:type="pct"/>
                  <w:vMerge w:val="continue"/>
                  <w:tcBorders>
                    <w:tl2br w:val="nil"/>
                    <w:tr2bl w:val="nil"/>
                  </w:tcBorders>
                  <w:shd w:val="clear" w:color="auto" w:fill="D7D7D7" w:themeFill="background1" w:themeFillShade="D8"/>
                  <w:vAlign w:val="center"/>
                </w:tcPr>
                <w:p w14:paraId="7AEAEC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18"/>
                      <w:szCs w:val="18"/>
                      <w:lang w:eastAsia="en-US"/>
                    </w:rPr>
                  </w:pPr>
                </w:p>
              </w:tc>
              <w:tc>
                <w:tcPr>
                  <w:tcW w:w="375" w:type="pct"/>
                  <w:vMerge w:val="continue"/>
                  <w:tcBorders>
                    <w:tl2br w:val="nil"/>
                    <w:tr2bl w:val="nil"/>
                  </w:tcBorders>
                  <w:vAlign w:val="center"/>
                </w:tcPr>
                <w:p w14:paraId="21AE5C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18"/>
                      <w:szCs w:val="18"/>
                      <w:lang w:eastAsia="en-US"/>
                    </w:rPr>
                  </w:pPr>
                </w:p>
              </w:tc>
            </w:tr>
            <w:tr w14:paraId="1E6FD7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restart"/>
                  <w:tcBorders>
                    <w:tl2br w:val="nil"/>
                    <w:tr2bl w:val="nil"/>
                  </w:tcBorders>
                  <w:vAlign w:val="center"/>
                </w:tcPr>
                <w:p w14:paraId="21C08E47">
                  <w:pPr>
                    <w:pStyle w:val="167"/>
                    <w:autoSpaceDE/>
                    <w:autoSpaceDN/>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lang w:val="en-US" w:eastAsia="zh-CN"/>
                    </w:rPr>
                    <w:t>P1</w:t>
                  </w:r>
                  <w:r>
                    <w:rPr>
                      <w:rFonts w:hint="default" w:ascii="Times New Roman" w:hAnsi="Times New Roman" w:eastAsia="宋体" w:cs="Times New Roman"/>
                      <w:color w:val="auto"/>
                      <w:spacing w:val="1"/>
                      <w:sz w:val="18"/>
                      <w:szCs w:val="18"/>
                    </w:rPr>
                    <w:t>排气</w:t>
                  </w:r>
                  <w:r>
                    <w:rPr>
                      <w:rFonts w:hint="default" w:ascii="Times New Roman" w:hAnsi="Times New Roman" w:eastAsia="宋体" w:cs="Times New Roman"/>
                      <w:color w:val="auto"/>
                      <w:spacing w:val="5"/>
                      <w:sz w:val="18"/>
                      <w:szCs w:val="18"/>
                    </w:rPr>
                    <w:t>筒（</w:t>
                  </w:r>
                  <w:r>
                    <w:rPr>
                      <w:rFonts w:hint="default" w:ascii="Times New Roman" w:hAnsi="Times New Roman" w:eastAsia="宋体" w:cs="Times New Roman"/>
                      <w:color w:val="auto"/>
                      <w:spacing w:val="5"/>
                      <w:sz w:val="18"/>
                      <w:szCs w:val="18"/>
                      <w:lang w:val="en-US" w:eastAsia="zh-CN"/>
                    </w:rPr>
                    <w:t>PET</w:t>
                  </w:r>
                  <w:r>
                    <w:rPr>
                      <w:rFonts w:hint="default" w:ascii="Times New Roman" w:hAnsi="Times New Roman" w:eastAsia="宋体" w:cs="Times New Roman"/>
                      <w:color w:val="auto"/>
                      <w:spacing w:val="37"/>
                      <w:w w:val="107"/>
                      <w:sz w:val="18"/>
                      <w:szCs w:val="18"/>
                    </w:rPr>
                    <w:t>）</w:t>
                  </w:r>
                </w:p>
              </w:tc>
              <w:tc>
                <w:tcPr>
                  <w:tcW w:w="452" w:type="pct"/>
                  <w:vMerge w:val="restart"/>
                  <w:tcBorders>
                    <w:tl2br w:val="nil"/>
                    <w:tr2bl w:val="nil"/>
                  </w:tcBorders>
                  <w:vAlign w:val="center"/>
                </w:tcPr>
                <w:p w14:paraId="4420B9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3"/>
                      <w:sz w:val="18"/>
                      <w:szCs w:val="18"/>
                      <w:lang w:eastAsia="en-US"/>
                    </w:rPr>
                    <w:t>20</w:t>
                  </w:r>
                  <w:r>
                    <w:rPr>
                      <w:rFonts w:hint="default" w:ascii="Times New Roman" w:hAnsi="Times New Roman" w:eastAsia="宋体" w:cs="Times New Roman"/>
                      <w:color w:val="auto"/>
                      <w:spacing w:val="3"/>
                      <w:sz w:val="18"/>
                      <w:szCs w:val="18"/>
                      <w:lang w:val="en-US" w:eastAsia="zh-CN"/>
                    </w:rPr>
                    <w:t>25.7.1</w:t>
                  </w:r>
                  <w:r>
                    <w:rPr>
                      <w:rFonts w:hint="eastAsia" w:cs="Times New Roman"/>
                      <w:color w:val="auto"/>
                      <w:spacing w:val="3"/>
                      <w:sz w:val="18"/>
                      <w:szCs w:val="18"/>
                      <w:lang w:val="en-US" w:eastAsia="zh-CN"/>
                    </w:rPr>
                    <w:t>8</w:t>
                  </w:r>
                </w:p>
              </w:tc>
              <w:tc>
                <w:tcPr>
                  <w:tcW w:w="381" w:type="pct"/>
                  <w:vMerge w:val="restart"/>
                  <w:tcBorders>
                    <w:tl2br w:val="nil"/>
                    <w:tr2bl w:val="nil"/>
                  </w:tcBorders>
                  <w:vAlign w:val="center"/>
                </w:tcPr>
                <w:p w14:paraId="7FCE73E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非甲烷</w:t>
                  </w:r>
                  <w:r>
                    <w:rPr>
                      <w:rFonts w:hint="default" w:ascii="Times New Roman" w:hAnsi="Times New Roman" w:eastAsia="宋体" w:cs="Times New Roman"/>
                      <w:color w:val="auto"/>
                      <w:spacing w:val="2"/>
                      <w:sz w:val="18"/>
                      <w:szCs w:val="18"/>
                    </w:rPr>
                    <w:t>总烃</w:t>
                  </w:r>
                </w:p>
              </w:tc>
              <w:tc>
                <w:tcPr>
                  <w:tcW w:w="500" w:type="pct"/>
                  <w:tcBorders>
                    <w:tl2br w:val="nil"/>
                    <w:tr2bl w:val="nil"/>
                  </w:tcBorders>
                  <w:vAlign w:val="center"/>
                </w:tcPr>
                <w:p w14:paraId="1C1F4304">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36DB63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4DF303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rPr>
                    <w:t>4.09</w:t>
                  </w:r>
                </w:p>
              </w:tc>
              <w:tc>
                <w:tcPr>
                  <w:tcW w:w="476" w:type="pct"/>
                  <w:tcBorders>
                    <w:tl2br w:val="nil"/>
                    <w:tr2bl w:val="nil"/>
                  </w:tcBorders>
                  <w:vAlign w:val="center"/>
                </w:tcPr>
                <w:p w14:paraId="312CB1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rPr>
                    <w:t>4.44</w:t>
                  </w:r>
                </w:p>
              </w:tc>
              <w:tc>
                <w:tcPr>
                  <w:tcW w:w="550" w:type="pct"/>
                  <w:tcBorders>
                    <w:tl2br w:val="nil"/>
                    <w:tr2bl w:val="nil"/>
                  </w:tcBorders>
                  <w:vAlign w:val="center"/>
                </w:tcPr>
                <w:p w14:paraId="5DB52F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2"/>
                      <w:sz w:val="18"/>
                      <w:szCs w:val="18"/>
                    </w:rPr>
                    <w:t>3.91</w:t>
                  </w:r>
                </w:p>
              </w:tc>
              <w:tc>
                <w:tcPr>
                  <w:tcW w:w="584" w:type="pct"/>
                  <w:tcBorders>
                    <w:tl2br w:val="nil"/>
                    <w:tr2bl w:val="nil"/>
                  </w:tcBorders>
                  <w:vAlign w:val="center"/>
                </w:tcPr>
                <w:p w14:paraId="2CD916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 xml:space="preserve">4.15 </w:t>
                  </w:r>
                </w:p>
              </w:tc>
              <w:tc>
                <w:tcPr>
                  <w:tcW w:w="320" w:type="pct"/>
                  <w:tcBorders>
                    <w:tl2br w:val="nil"/>
                    <w:tr2bl w:val="nil"/>
                  </w:tcBorders>
                  <w:vAlign w:val="center"/>
                </w:tcPr>
                <w:p w14:paraId="0FE32A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60</w:t>
                  </w:r>
                </w:p>
              </w:tc>
              <w:tc>
                <w:tcPr>
                  <w:tcW w:w="375" w:type="pct"/>
                  <w:tcBorders>
                    <w:tl2br w:val="nil"/>
                    <w:tr2bl w:val="nil"/>
                  </w:tcBorders>
                  <w:vAlign w:val="center"/>
                </w:tcPr>
                <w:p w14:paraId="539B9598">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合格</w:t>
                  </w:r>
                </w:p>
              </w:tc>
            </w:tr>
            <w:tr w14:paraId="735348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2063CCEE">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52B2D6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6C909E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500" w:type="pct"/>
                  <w:tcBorders>
                    <w:tl2br w:val="nil"/>
                    <w:tr2bl w:val="nil"/>
                  </w:tcBorders>
                  <w:vAlign w:val="center"/>
                </w:tcPr>
                <w:p w14:paraId="0DA25562">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排放</w:t>
                  </w:r>
                  <w:r>
                    <w:rPr>
                      <w:rFonts w:hint="default" w:ascii="Times New Roman" w:hAnsi="Times New Roman" w:eastAsia="宋体" w:cs="Times New Roman"/>
                      <w:color w:val="auto"/>
                      <w:spacing w:val="5"/>
                      <w:sz w:val="18"/>
                      <w:szCs w:val="18"/>
                    </w:rPr>
                    <w:t>速率</w:t>
                  </w:r>
                </w:p>
              </w:tc>
              <w:tc>
                <w:tcPr>
                  <w:tcW w:w="402" w:type="pct"/>
                  <w:tcBorders>
                    <w:tl2br w:val="nil"/>
                    <w:tr2bl w:val="nil"/>
                  </w:tcBorders>
                  <w:vAlign w:val="center"/>
                </w:tcPr>
                <w:p w14:paraId="3F8AF2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5B4408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rPr>
                    <w:t>0.053</w:t>
                  </w:r>
                </w:p>
              </w:tc>
              <w:tc>
                <w:tcPr>
                  <w:tcW w:w="476" w:type="pct"/>
                  <w:tcBorders>
                    <w:tl2br w:val="nil"/>
                    <w:tr2bl w:val="nil"/>
                  </w:tcBorders>
                  <w:vAlign w:val="center"/>
                </w:tcPr>
                <w:p w14:paraId="22E1E8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rPr>
                    <w:t>0.06</w:t>
                  </w:r>
                </w:p>
              </w:tc>
              <w:tc>
                <w:tcPr>
                  <w:tcW w:w="550" w:type="pct"/>
                  <w:tcBorders>
                    <w:tl2br w:val="nil"/>
                    <w:tr2bl w:val="nil"/>
                  </w:tcBorders>
                  <w:vAlign w:val="center"/>
                </w:tcPr>
                <w:p w14:paraId="06E47C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rPr>
                    <w:t>0.049</w:t>
                  </w:r>
                </w:p>
              </w:tc>
              <w:tc>
                <w:tcPr>
                  <w:tcW w:w="584" w:type="pct"/>
                  <w:tcBorders>
                    <w:tl2br w:val="nil"/>
                    <w:tr2bl w:val="nil"/>
                  </w:tcBorders>
                  <w:vAlign w:val="center"/>
                </w:tcPr>
                <w:p w14:paraId="1381D1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0.054</w:t>
                  </w:r>
                </w:p>
              </w:tc>
              <w:tc>
                <w:tcPr>
                  <w:tcW w:w="320" w:type="pct"/>
                  <w:tcBorders>
                    <w:tl2br w:val="nil"/>
                    <w:tr2bl w:val="nil"/>
                  </w:tcBorders>
                  <w:vAlign w:val="center"/>
                </w:tcPr>
                <w:p w14:paraId="0A0EBB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3</w:t>
                  </w:r>
                </w:p>
              </w:tc>
              <w:tc>
                <w:tcPr>
                  <w:tcW w:w="375" w:type="pct"/>
                  <w:tcBorders>
                    <w:tl2br w:val="nil"/>
                    <w:tr2bl w:val="nil"/>
                  </w:tcBorders>
                  <w:vAlign w:val="center"/>
                </w:tcPr>
                <w:p w14:paraId="3790F1A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合格</w:t>
                  </w:r>
                </w:p>
              </w:tc>
            </w:tr>
            <w:tr w14:paraId="3D1D5F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716E3F51">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restart"/>
                  <w:tcBorders>
                    <w:tl2br w:val="nil"/>
                    <w:tr2bl w:val="nil"/>
                  </w:tcBorders>
                  <w:vAlign w:val="center"/>
                </w:tcPr>
                <w:p w14:paraId="6D6A8C6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lang w:eastAsia="en-US"/>
                    </w:rPr>
                    <w:t>20</w:t>
                  </w:r>
                  <w:r>
                    <w:rPr>
                      <w:rFonts w:hint="default" w:ascii="Times New Roman" w:hAnsi="Times New Roman" w:eastAsia="宋体" w:cs="Times New Roman"/>
                      <w:color w:val="auto"/>
                      <w:spacing w:val="3"/>
                      <w:sz w:val="18"/>
                      <w:szCs w:val="18"/>
                      <w:lang w:val="en-US" w:eastAsia="zh-CN"/>
                    </w:rPr>
                    <w:t>25.7.17</w:t>
                  </w:r>
                </w:p>
              </w:tc>
              <w:tc>
                <w:tcPr>
                  <w:tcW w:w="381" w:type="pct"/>
                  <w:vMerge w:val="restart"/>
                  <w:tcBorders>
                    <w:tl2br w:val="nil"/>
                    <w:tr2bl w:val="nil"/>
                  </w:tcBorders>
                  <w:vAlign w:val="center"/>
                </w:tcPr>
                <w:p w14:paraId="3DA7C6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8"/>
                      <w:szCs w:val="18"/>
                      <w:lang w:val="en-US" w:eastAsia="zh-CN"/>
                    </w:rPr>
                  </w:pPr>
                  <w:r>
                    <w:rPr>
                      <w:rFonts w:hint="default" w:ascii="Times New Roman" w:hAnsi="Times New Roman" w:eastAsia="宋体" w:cs="Times New Roman"/>
                      <w:color w:val="auto"/>
                      <w:spacing w:val="5"/>
                      <w:sz w:val="18"/>
                      <w:szCs w:val="18"/>
                    </w:rPr>
                    <w:t>非甲烷</w:t>
                  </w:r>
                  <w:r>
                    <w:rPr>
                      <w:rFonts w:hint="default" w:ascii="Times New Roman" w:hAnsi="Times New Roman" w:eastAsia="宋体" w:cs="Times New Roman"/>
                      <w:color w:val="auto"/>
                      <w:spacing w:val="2"/>
                      <w:sz w:val="18"/>
                      <w:szCs w:val="18"/>
                    </w:rPr>
                    <w:t>总烃</w:t>
                  </w:r>
                </w:p>
              </w:tc>
              <w:tc>
                <w:tcPr>
                  <w:tcW w:w="500" w:type="pct"/>
                  <w:tcBorders>
                    <w:tl2br w:val="nil"/>
                    <w:tr2bl w:val="nil"/>
                  </w:tcBorders>
                  <w:vAlign w:val="center"/>
                </w:tcPr>
                <w:p w14:paraId="23195AAF">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6A075A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65B385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3"/>
                      <w:sz w:val="18"/>
                      <w:szCs w:val="18"/>
                      <w:lang w:val="en-US" w:eastAsia="zh-CN"/>
                    </w:rPr>
                  </w:pPr>
                  <w:r>
                    <w:rPr>
                      <w:rFonts w:hint="default" w:ascii="Times New Roman" w:hAnsi="Times New Roman" w:eastAsia="宋体" w:cs="Times New Roman"/>
                      <w:color w:val="auto"/>
                      <w:spacing w:val="-2"/>
                      <w:sz w:val="18"/>
                      <w:szCs w:val="18"/>
                    </w:rPr>
                    <w:t>1.33</w:t>
                  </w:r>
                </w:p>
              </w:tc>
              <w:tc>
                <w:tcPr>
                  <w:tcW w:w="476" w:type="pct"/>
                  <w:tcBorders>
                    <w:tl2br w:val="nil"/>
                    <w:tr2bl w:val="nil"/>
                  </w:tcBorders>
                  <w:vAlign w:val="center"/>
                </w:tcPr>
                <w:p w14:paraId="76E752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3"/>
                      <w:sz w:val="18"/>
                      <w:szCs w:val="18"/>
                      <w:lang w:val="en-US" w:eastAsia="zh-CN"/>
                    </w:rPr>
                  </w:pPr>
                  <w:r>
                    <w:rPr>
                      <w:rFonts w:hint="default" w:ascii="Times New Roman" w:hAnsi="Times New Roman" w:eastAsia="宋体" w:cs="Times New Roman"/>
                      <w:color w:val="auto"/>
                      <w:spacing w:val="-2"/>
                      <w:sz w:val="18"/>
                      <w:szCs w:val="18"/>
                    </w:rPr>
                    <w:t>1.19</w:t>
                  </w:r>
                </w:p>
              </w:tc>
              <w:tc>
                <w:tcPr>
                  <w:tcW w:w="550" w:type="pct"/>
                  <w:tcBorders>
                    <w:tl2br w:val="nil"/>
                    <w:tr2bl w:val="nil"/>
                  </w:tcBorders>
                  <w:vAlign w:val="center"/>
                </w:tcPr>
                <w:p w14:paraId="6D4927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3"/>
                      <w:sz w:val="18"/>
                      <w:szCs w:val="18"/>
                      <w:lang w:val="en-US" w:eastAsia="zh-CN"/>
                    </w:rPr>
                  </w:pPr>
                  <w:r>
                    <w:rPr>
                      <w:rFonts w:hint="default" w:ascii="Times New Roman" w:hAnsi="Times New Roman" w:eastAsia="宋体" w:cs="Times New Roman"/>
                      <w:color w:val="auto"/>
                      <w:spacing w:val="-2"/>
                      <w:sz w:val="18"/>
                      <w:szCs w:val="18"/>
                    </w:rPr>
                    <w:t>1.58</w:t>
                  </w:r>
                </w:p>
              </w:tc>
              <w:tc>
                <w:tcPr>
                  <w:tcW w:w="584" w:type="pct"/>
                  <w:tcBorders>
                    <w:tl2br w:val="nil"/>
                    <w:tr2bl w:val="nil"/>
                  </w:tcBorders>
                  <w:vAlign w:val="center"/>
                </w:tcPr>
                <w:p w14:paraId="6EC633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 xml:space="preserve">1.37 </w:t>
                  </w:r>
                </w:p>
              </w:tc>
              <w:tc>
                <w:tcPr>
                  <w:tcW w:w="320" w:type="pct"/>
                  <w:tcBorders>
                    <w:tl2br w:val="nil"/>
                    <w:tr2bl w:val="nil"/>
                  </w:tcBorders>
                  <w:vAlign w:val="center"/>
                </w:tcPr>
                <w:p w14:paraId="420C07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8"/>
                      <w:szCs w:val="18"/>
                      <w:lang w:val="en-US" w:eastAsia="zh-CN"/>
                    </w:rPr>
                  </w:pPr>
                  <w:r>
                    <w:rPr>
                      <w:rFonts w:hint="default" w:ascii="Times New Roman" w:hAnsi="Times New Roman" w:eastAsia="宋体" w:cs="Times New Roman"/>
                      <w:color w:val="auto"/>
                      <w:sz w:val="18"/>
                      <w:szCs w:val="18"/>
                      <w:lang w:eastAsia="en-US"/>
                    </w:rPr>
                    <w:t>60</w:t>
                  </w:r>
                </w:p>
              </w:tc>
              <w:tc>
                <w:tcPr>
                  <w:tcW w:w="375" w:type="pct"/>
                  <w:tcBorders>
                    <w:tl2br w:val="nil"/>
                    <w:tr2bl w:val="nil"/>
                  </w:tcBorders>
                  <w:vAlign w:val="center"/>
                </w:tcPr>
                <w:p w14:paraId="59DCECD2">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7DDA8D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311B6DB9">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0A48AF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1BB705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8"/>
                      <w:szCs w:val="18"/>
                      <w:lang w:val="en-US" w:eastAsia="zh-CN"/>
                    </w:rPr>
                  </w:pPr>
                </w:p>
              </w:tc>
              <w:tc>
                <w:tcPr>
                  <w:tcW w:w="500" w:type="pct"/>
                  <w:tcBorders>
                    <w:tl2br w:val="nil"/>
                    <w:tr2bl w:val="nil"/>
                  </w:tcBorders>
                  <w:vAlign w:val="center"/>
                </w:tcPr>
                <w:p w14:paraId="328FA35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w:t>
                  </w:r>
                  <w:r>
                    <w:rPr>
                      <w:rFonts w:hint="default" w:ascii="Times New Roman" w:hAnsi="Times New Roman" w:eastAsia="宋体" w:cs="Times New Roman"/>
                      <w:color w:val="auto"/>
                      <w:spacing w:val="5"/>
                      <w:sz w:val="18"/>
                      <w:szCs w:val="18"/>
                    </w:rPr>
                    <w:t>速率</w:t>
                  </w:r>
                </w:p>
              </w:tc>
              <w:tc>
                <w:tcPr>
                  <w:tcW w:w="402" w:type="pct"/>
                  <w:tcBorders>
                    <w:tl2br w:val="nil"/>
                    <w:tr2bl w:val="nil"/>
                  </w:tcBorders>
                  <w:vAlign w:val="center"/>
                </w:tcPr>
                <w:p w14:paraId="681D4E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3B6461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3"/>
                      <w:sz w:val="18"/>
                      <w:szCs w:val="18"/>
                      <w:lang w:val="en-US" w:eastAsia="zh-CN"/>
                    </w:rPr>
                  </w:pPr>
                  <w:r>
                    <w:rPr>
                      <w:rFonts w:hint="default" w:ascii="Times New Roman" w:hAnsi="Times New Roman" w:eastAsia="宋体" w:cs="Times New Roman"/>
                      <w:color w:val="auto"/>
                      <w:spacing w:val="3"/>
                      <w:sz w:val="18"/>
                      <w:szCs w:val="18"/>
                    </w:rPr>
                    <w:t>0.015</w:t>
                  </w:r>
                </w:p>
              </w:tc>
              <w:tc>
                <w:tcPr>
                  <w:tcW w:w="476" w:type="pct"/>
                  <w:tcBorders>
                    <w:tl2br w:val="nil"/>
                    <w:tr2bl w:val="nil"/>
                  </w:tcBorders>
                  <w:vAlign w:val="center"/>
                </w:tcPr>
                <w:p w14:paraId="31FD49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3"/>
                      <w:sz w:val="18"/>
                      <w:szCs w:val="18"/>
                      <w:lang w:val="en-US" w:eastAsia="zh-CN"/>
                    </w:rPr>
                  </w:pPr>
                  <w:r>
                    <w:rPr>
                      <w:rFonts w:hint="default" w:ascii="Times New Roman" w:hAnsi="Times New Roman" w:eastAsia="宋体" w:cs="Times New Roman"/>
                      <w:color w:val="auto"/>
                      <w:spacing w:val="3"/>
                      <w:sz w:val="18"/>
                      <w:szCs w:val="18"/>
                    </w:rPr>
                    <w:t>0.016</w:t>
                  </w:r>
                </w:p>
              </w:tc>
              <w:tc>
                <w:tcPr>
                  <w:tcW w:w="550" w:type="pct"/>
                  <w:tcBorders>
                    <w:tl2br w:val="nil"/>
                    <w:tr2bl w:val="nil"/>
                  </w:tcBorders>
                  <w:vAlign w:val="center"/>
                </w:tcPr>
                <w:p w14:paraId="1C2569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3"/>
                      <w:sz w:val="18"/>
                      <w:szCs w:val="18"/>
                      <w:lang w:val="en-US" w:eastAsia="zh-CN"/>
                    </w:rPr>
                  </w:pPr>
                  <w:r>
                    <w:rPr>
                      <w:rFonts w:hint="default" w:ascii="Times New Roman" w:hAnsi="Times New Roman" w:eastAsia="宋体" w:cs="Times New Roman"/>
                      <w:color w:val="auto"/>
                      <w:spacing w:val="3"/>
                      <w:sz w:val="18"/>
                      <w:szCs w:val="18"/>
                    </w:rPr>
                    <w:t>0.019</w:t>
                  </w:r>
                </w:p>
              </w:tc>
              <w:tc>
                <w:tcPr>
                  <w:tcW w:w="584" w:type="pct"/>
                  <w:tcBorders>
                    <w:tl2br w:val="nil"/>
                    <w:tr2bl w:val="nil"/>
                  </w:tcBorders>
                  <w:vAlign w:val="center"/>
                </w:tcPr>
                <w:p w14:paraId="272745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 xml:space="preserve">0.02 </w:t>
                  </w:r>
                </w:p>
              </w:tc>
              <w:tc>
                <w:tcPr>
                  <w:tcW w:w="320" w:type="pct"/>
                  <w:tcBorders>
                    <w:tl2br w:val="nil"/>
                    <w:tr2bl w:val="nil"/>
                  </w:tcBorders>
                  <w:vAlign w:val="center"/>
                </w:tcPr>
                <w:p w14:paraId="398BA7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8"/>
                      <w:szCs w:val="18"/>
                      <w:lang w:val="en-US" w:eastAsia="zh-CN"/>
                    </w:rPr>
                  </w:pPr>
                  <w:r>
                    <w:rPr>
                      <w:rFonts w:hint="default" w:ascii="Times New Roman" w:hAnsi="Times New Roman" w:eastAsia="宋体" w:cs="Times New Roman"/>
                      <w:color w:val="auto"/>
                      <w:sz w:val="18"/>
                      <w:szCs w:val="18"/>
                      <w:lang w:eastAsia="en-US"/>
                    </w:rPr>
                    <w:t>3</w:t>
                  </w:r>
                </w:p>
              </w:tc>
              <w:tc>
                <w:tcPr>
                  <w:tcW w:w="375" w:type="pct"/>
                  <w:tcBorders>
                    <w:tl2br w:val="nil"/>
                    <w:tr2bl w:val="nil"/>
                  </w:tcBorders>
                  <w:vAlign w:val="center"/>
                </w:tcPr>
                <w:p w14:paraId="18674E32">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344978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2174318C">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6E8E72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2D1036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氮氧化物</w:t>
                  </w:r>
                </w:p>
              </w:tc>
              <w:tc>
                <w:tcPr>
                  <w:tcW w:w="500" w:type="pct"/>
                  <w:tcBorders>
                    <w:tl2br w:val="nil"/>
                    <w:tr2bl w:val="nil"/>
                  </w:tcBorders>
                  <w:vAlign w:val="center"/>
                </w:tcPr>
                <w:p w14:paraId="10A61AAF">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1CE083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19E12D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eastAsia" w:cs="Times New Roman"/>
                      <w:color w:val="auto"/>
                      <w:spacing w:val="3"/>
                      <w:sz w:val="18"/>
                      <w:szCs w:val="18"/>
                      <w:lang w:val="en-US" w:eastAsia="zh-CN"/>
                    </w:rPr>
                    <w:t>ND</w:t>
                  </w:r>
                </w:p>
              </w:tc>
              <w:tc>
                <w:tcPr>
                  <w:tcW w:w="476" w:type="pct"/>
                  <w:tcBorders>
                    <w:tl2br w:val="nil"/>
                    <w:tr2bl w:val="nil"/>
                  </w:tcBorders>
                  <w:vAlign w:val="center"/>
                </w:tcPr>
                <w:p w14:paraId="0239A0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eastAsia" w:cs="Times New Roman"/>
                      <w:color w:val="auto"/>
                      <w:spacing w:val="3"/>
                      <w:sz w:val="18"/>
                      <w:szCs w:val="18"/>
                      <w:lang w:val="en-US" w:eastAsia="zh-CN"/>
                    </w:rPr>
                    <w:t>ND</w:t>
                  </w:r>
                </w:p>
              </w:tc>
              <w:tc>
                <w:tcPr>
                  <w:tcW w:w="550" w:type="pct"/>
                  <w:tcBorders>
                    <w:tl2br w:val="nil"/>
                    <w:tr2bl w:val="nil"/>
                  </w:tcBorders>
                  <w:vAlign w:val="center"/>
                </w:tcPr>
                <w:p w14:paraId="08954A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eastAsia" w:cs="Times New Roman"/>
                      <w:color w:val="auto"/>
                      <w:spacing w:val="3"/>
                      <w:sz w:val="18"/>
                      <w:szCs w:val="18"/>
                      <w:lang w:val="en-US" w:eastAsia="zh-CN"/>
                    </w:rPr>
                    <w:t>ND</w:t>
                  </w:r>
                </w:p>
              </w:tc>
              <w:tc>
                <w:tcPr>
                  <w:tcW w:w="584" w:type="pct"/>
                  <w:tcBorders>
                    <w:tl2br w:val="nil"/>
                    <w:tr2bl w:val="nil"/>
                  </w:tcBorders>
                  <w:vAlign w:val="center"/>
                </w:tcPr>
                <w:p w14:paraId="213396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eastAsia" w:cs="Times New Roman"/>
                      <w:color w:val="auto"/>
                      <w:spacing w:val="-2"/>
                      <w:sz w:val="18"/>
                      <w:szCs w:val="18"/>
                      <w:lang w:val="en-US" w:eastAsia="zh-CN"/>
                    </w:rPr>
                    <w:t>ND</w:t>
                  </w:r>
                </w:p>
              </w:tc>
              <w:tc>
                <w:tcPr>
                  <w:tcW w:w="320" w:type="pct"/>
                  <w:tcBorders>
                    <w:tl2br w:val="nil"/>
                    <w:tr2bl w:val="nil"/>
                  </w:tcBorders>
                  <w:vAlign w:val="center"/>
                </w:tcPr>
                <w:p w14:paraId="7DB36E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100</w:t>
                  </w:r>
                </w:p>
              </w:tc>
              <w:tc>
                <w:tcPr>
                  <w:tcW w:w="375" w:type="pct"/>
                  <w:tcBorders>
                    <w:tl2br w:val="nil"/>
                    <w:tr2bl w:val="nil"/>
                  </w:tcBorders>
                  <w:vAlign w:val="center"/>
                </w:tcPr>
                <w:p w14:paraId="7C11C1B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4934A9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6" w:type="pct"/>
                  <w:vMerge w:val="continue"/>
                  <w:tcBorders>
                    <w:tl2br w:val="nil"/>
                    <w:tr2bl w:val="nil"/>
                  </w:tcBorders>
                  <w:vAlign w:val="center"/>
                </w:tcPr>
                <w:p w14:paraId="7452A914">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2EF645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24F4C7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500" w:type="pct"/>
                  <w:tcBorders>
                    <w:tl2br w:val="nil"/>
                    <w:tr2bl w:val="nil"/>
                  </w:tcBorders>
                  <w:vAlign w:val="center"/>
                </w:tcPr>
                <w:p w14:paraId="759F6C8B">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w:t>
                  </w:r>
                  <w:r>
                    <w:rPr>
                      <w:rFonts w:hint="default" w:ascii="Times New Roman" w:hAnsi="Times New Roman" w:eastAsia="宋体" w:cs="Times New Roman"/>
                      <w:color w:val="auto"/>
                      <w:spacing w:val="5"/>
                      <w:sz w:val="18"/>
                      <w:szCs w:val="18"/>
                    </w:rPr>
                    <w:t>速率</w:t>
                  </w:r>
                </w:p>
              </w:tc>
              <w:tc>
                <w:tcPr>
                  <w:tcW w:w="402" w:type="pct"/>
                  <w:tcBorders>
                    <w:tl2br w:val="nil"/>
                    <w:tr2bl w:val="nil"/>
                  </w:tcBorders>
                  <w:vAlign w:val="center"/>
                </w:tcPr>
                <w:p w14:paraId="017A60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4461AD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3"/>
                      <w:sz w:val="18"/>
                      <w:szCs w:val="18"/>
                      <w:lang w:val="en-US" w:eastAsia="zh-CN"/>
                    </w:rPr>
                  </w:pPr>
                  <w:r>
                    <w:rPr>
                      <w:rFonts w:hint="eastAsia" w:cs="Times New Roman"/>
                      <w:color w:val="auto"/>
                      <w:spacing w:val="3"/>
                      <w:sz w:val="18"/>
                      <w:szCs w:val="18"/>
                      <w:lang w:val="en-US" w:eastAsia="zh-CN"/>
                    </w:rPr>
                    <w:t>/</w:t>
                  </w:r>
                </w:p>
              </w:tc>
              <w:tc>
                <w:tcPr>
                  <w:tcW w:w="476" w:type="pct"/>
                  <w:tcBorders>
                    <w:tl2br w:val="nil"/>
                    <w:tr2bl w:val="nil"/>
                  </w:tcBorders>
                  <w:vAlign w:val="center"/>
                </w:tcPr>
                <w:p w14:paraId="553FE9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3"/>
                      <w:sz w:val="18"/>
                      <w:szCs w:val="18"/>
                      <w:lang w:val="en-US" w:eastAsia="zh-CN"/>
                    </w:rPr>
                  </w:pPr>
                  <w:r>
                    <w:rPr>
                      <w:rFonts w:hint="eastAsia" w:cs="Times New Roman"/>
                      <w:color w:val="auto"/>
                      <w:spacing w:val="3"/>
                      <w:sz w:val="18"/>
                      <w:szCs w:val="18"/>
                      <w:lang w:val="en-US" w:eastAsia="zh-CN"/>
                    </w:rPr>
                    <w:t>/</w:t>
                  </w:r>
                </w:p>
              </w:tc>
              <w:tc>
                <w:tcPr>
                  <w:tcW w:w="550" w:type="pct"/>
                  <w:tcBorders>
                    <w:tl2br w:val="nil"/>
                    <w:tr2bl w:val="nil"/>
                  </w:tcBorders>
                  <w:vAlign w:val="center"/>
                </w:tcPr>
                <w:p w14:paraId="25BD84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3"/>
                      <w:sz w:val="18"/>
                      <w:szCs w:val="18"/>
                      <w:lang w:val="en-US" w:eastAsia="zh-CN"/>
                    </w:rPr>
                  </w:pPr>
                  <w:r>
                    <w:rPr>
                      <w:rFonts w:hint="eastAsia" w:cs="Times New Roman"/>
                      <w:color w:val="auto"/>
                      <w:spacing w:val="3"/>
                      <w:sz w:val="18"/>
                      <w:szCs w:val="18"/>
                      <w:lang w:val="en-US" w:eastAsia="zh-CN"/>
                    </w:rPr>
                    <w:t>/</w:t>
                  </w:r>
                </w:p>
              </w:tc>
              <w:tc>
                <w:tcPr>
                  <w:tcW w:w="584" w:type="pct"/>
                  <w:tcBorders>
                    <w:tl2br w:val="nil"/>
                    <w:tr2bl w:val="nil"/>
                  </w:tcBorders>
                  <w:vAlign w:val="center"/>
                </w:tcPr>
                <w:p w14:paraId="35725F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eastAsia" w:cs="Times New Roman"/>
                      <w:color w:val="auto"/>
                      <w:spacing w:val="-2"/>
                      <w:sz w:val="18"/>
                      <w:szCs w:val="18"/>
                      <w:lang w:val="en-US" w:eastAsia="zh-CN"/>
                    </w:rPr>
                    <w:t>/</w:t>
                  </w:r>
                </w:p>
              </w:tc>
              <w:tc>
                <w:tcPr>
                  <w:tcW w:w="320" w:type="pct"/>
                  <w:tcBorders>
                    <w:tl2br w:val="nil"/>
                    <w:tr2bl w:val="nil"/>
                  </w:tcBorders>
                  <w:vAlign w:val="center"/>
                </w:tcPr>
                <w:p w14:paraId="09685C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0.47</w:t>
                  </w:r>
                </w:p>
              </w:tc>
              <w:tc>
                <w:tcPr>
                  <w:tcW w:w="375" w:type="pct"/>
                  <w:tcBorders>
                    <w:tl2br w:val="nil"/>
                    <w:tr2bl w:val="nil"/>
                  </w:tcBorders>
                  <w:vAlign w:val="center"/>
                </w:tcPr>
                <w:p w14:paraId="0EB1E1C3">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7F8868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2D2A095B">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44DB87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tcBorders>
                    <w:tl2br w:val="nil"/>
                    <w:tr2bl w:val="nil"/>
                  </w:tcBorders>
                  <w:vAlign w:val="center"/>
                </w:tcPr>
                <w:p w14:paraId="35BA6A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臭气浓度</w:t>
                  </w:r>
                </w:p>
              </w:tc>
              <w:tc>
                <w:tcPr>
                  <w:tcW w:w="903" w:type="pct"/>
                  <w:gridSpan w:val="2"/>
                  <w:tcBorders>
                    <w:tl2br w:val="nil"/>
                    <w:tr2bl w:val="nil"/>
                  </w:tcBorders>
                  <w:vAlign w:val="center"/>
                </w:tcPr>
                <w:p w14:paraId="1E5141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无量纲</w:t>
                  </w:r>
                </w:p>
              </w:tc>
              <w:tc>
                <w:tcPr>
                  <w:tcW w:w="479" w:type="pct"/>
                  <w:tcBorders>
                    <w:tl2br w:val="nil"/>
                    <w:tr2bl w:val="nil"/>
                  </w:tcBorders>
                  <w:vAlign w:val="center"/>
                </w:tcPr>
                <w:p w14:paraId="28E4B3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eastAsia" w:cs="Times New Roman"/>
                      <w:color w:val="auto"/>
                      <w:spacing w:val="3"/>
                      <w:sz w:val="18"/>
                      <w:szCs w:val="18"/>
                      <w:lang w:val="en-US" w:eastAsia="zh-CN"/>
                    </w:rPr>
                    <w:t>85</w:t>
                  </w:r>
                </w:p>
              </w:tc>
              <w:tc>
                <w:tcPr>
                  <w:tcW w:w="476" w:type="pct"/>
                  <w:tcBorders>
                    <w:tl2br w:val="nil"/>
                    <w:tr2bl w:val="nil"/>
                  </w:tcBorders>
                  <w:vAlign w:val="center"/>
                </w:tcPr>
                <w:p w14:paraId="1DC371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eastAsia" w:cs="Times New Roman"/>
                      <w:color w:val="auto"/>
                      <w:spacing w:val="3"/>
                      <w:sz w:val="18"/>
                      <w:szCs w:val="18"/>
                      <w:lang w:val="en-US" w:eastAsia="zh-CN"/>
                    </w:rPr>
                    <w:t>85</w:t>
                  </w:r>
                </w:p>
              </w:tc>
              <w:tc>
                <w:tcPr>
                  <w:tcW w:w="550" w:type="pct"/>
                  <w:tcBorders>
                    <w:tl2br w:val="nil"/>
                    <w:tr2bl w:val="nil"/>
                  </w:tcBorders>
                  <w:vAlign w:val="center"/>
                </w:tcPr>
                <w:p w14:paraId="59B8C1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eastAsia" w:cs="Times New Roman"/>
                      <w:color w:val="auto"/>
                      <w:spacing w:val="3"/>
                      <w:sz w:val="18"/>
                      <w:szCs w:val="18"/>
                      <w:lang w:val="en-US" w:eastAsia="zh-CN"/>
                    </w:rPr>
                    <w:t>97</w:t>
                  </w:r>
                </w:p>
              </w:tc>
              <w:tc>
                <w:tcPr>
                  <w:tcW w:w="584" w:type="pct"/>
                  <w:tcBorders>
                    <w:tl2br w:val="nil"/>
                    <w:tr2bl w:val="nil"/>
                  </w:tcBorders>
                  <w:vAlign w:val="center"/>
                </w:tcPr>
                <w:p w14:paraId="181A45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eastAsia" w:cs="Times New Roman"/>
                      <w:color w:val="auto"/>
                      <w:spacing w:val="-2"/>
                      <w:sz w:val="18"/>
                      <w:szCs w:val="18"/>
                      <w:lang w:val="en-US" w:eastAsia="zh-CN"/>
                    </w:rPr>
                    <w:t>89</w:t>
                  </w:r>
                </w:p>
              </w:tc>
              <w:tc>
                <w:tcPr>
                  <w:tcW w:w="320" w:type="pct"/>
                  <w:tcBorders>
                    <w:tl2br w:val="nil"/>
                    <w:tr2bl w:val="nil"/>
                  </w:tcBorders>
                  <w:vAlign w:val="center"/>
                </w:tcPr>
                <w:p w14:paraId="74C1B0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6000</w:t>
                  </w:r>
                </w:p>
              </w:tc>
              <w:tc>
                <w:tcPr>
                  <w:tcW w:w="375" w:type="pct"/>
                  <w:tcBorders>
                    <w:tl2br w:val="nil"/>
                    <w:tr2bl w:val="nil"/>
                  </w:tcBorders>
                  <w:vAlign w:val="center"/>
                </w:tcPr>
                <w:p w14:paraId="5E4E8EE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5C6293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restart"/>
                  <w:tcBorders>
                    <w:tl2br w:val="nil"/>
                    <w:tr2bl w:val="nil"/>
                  </w:tcBorders>
                  <w:vAlign w:val="center"/>
                </w:tcPr>
                <w:p w14:paraId="00F56242">
                  <w:pPr>
                    <w:pStyle w:val="167"/>
                    <w:autoSpaceDE/>
                    <w:autoSpaceDN/>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lang w:val="en-US" w:eastAsia="zh-CN"/>
                    </w:rPr>
                    <w:t>P2</w:t>
                  </w:r>
                  <w:r>
                    <w:rPr>
                      <w:rFonts w:hint="default" w:ascii="Times New Roman" w:hAnsi="Times New Roman" w:eastAsia="宋体" w:cs="Times New Roman"/>
                      <w:color w:val="auto"/>
                      <w:spacing w:val="1"/>
                      <w:sz w:val="18"/>
                      <w:szCs w:val="18"/>
                    </w:rPr>
                    <w:t>排气</w:t>
                  </w:r>
                  <w:r>
                    <w:rPr>
                      <w:rFonts w:hint="default" w:ascii="Times New Roman" w:hAnsi="Times New Roman" w:eastAsia="宋体" w:cs="Times New Roman"/>
                      <w:color w:val="auto"/>
                      <w:spacing w:val="5"/>
                      <w:sz w:val="18"/>
                      <w:szCs w:val="18"/>
                    </w:rPr>
                    <w:t>筒（涂</w:t>
                  </w:r>
                  <w:r>
                    <w:rPr>
                      <w:rFonts w:hint="default" w:ascii="Times New Roman" w:hAnsi="Times New Roman" w:eastAsia="宋体" w:cs="Times New Roman"/>
                      <w:color w:val="auto"/>
                      <w:spacing w:val="37"/>
                      <w:w w:val="107"/>
                      <w:sz w:val="18"/>
                      <w:szCs w:val="18"/>
                    </w:rPr>
                    <w:t>布）</w:t>
                  </w:r>
                </w:p>
              </w:tc>
              <w:tc>
                <w:tcPr>
                  <w:tcW w:w="452" w:type="pct"/>
                  <w:vMerge w:val="restart"/>
                  <w:tcBorders>
                    <w:tl2br w:val="nil"/>
                    <w:tr2bl w:val="nil"/>
                  </w:tcBorders>
                  <w:vAlign w:val="center"/>
                </w:tcPr>
                <w:p w14:paraId="244F35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lang w:eastAsia="en-US"/>
                    </w:rPr>
                    <w:t>20</w:t>
                  </w:r>
                  <w:r>
                    <w:rPr>
                      <w:rFonts w:hint="default" w:ascii="Times New Roman" w:hAnsi="Times New Roman" w:eastAsia="宋体" w:cs="Times New Roman"/>
                      <w:color w:val="auto"/>
                      <w:spacing w:val="3"/>
                      <w:sz w:val="18"/>
                      <w:szCs w:val="18"/>
                      <w:lang w:val="en-US" w:eastAsia="zh-CN"/>
                    </w:rPr>
                    <w:t>25.7.17</w:t>
                  </w:r>
                </w:p>
              </w:tc>
              <w:tc>
                <w:tcPr>
                  <w:tcW w:w="381" w:type="pct"/>
                  <w:vMerge w:val="restart"/>
                  <w:tcBorders>
                    <w:tl2br w:val="nil"/>
                    <w:tr2bl w:val="nil"/>
                  </w:tcBorders>
                  <w:vAlign w:val="center"/>
                </w:tcPr>
                <w:p w14:paraId="27109A78">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乙酸乙酯</w:t>
                  </w:r>
                </w:p>
              </w:tc>
              <w:tc>
                <w:tcPr>
                  <w:tcW w:w="500" w:type="pct"/>
                  <w:tcBorders>
                    <w:tl2br w:val="nil"/>
                    <w:tr2bl w:val="nil"/>
                  </w:tcBorders>
                  <w:vAlign w:val="center"/>
                </w:tcPr>
                <w:p w14:paraId="7C5B5371">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039CBA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6EA3FA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eastAsia="en-US"/>
                    </w:rPr>
                  </w:pPr>
                  <w:r>
                    <w:rPr>
                      <w:rFonts w:hint="default" w:ascii="Times New Roman" w:hAnsi="Times New Roman" w:eastAsia="宋体" w:cs="Times New Roman"/>
                      <w:color w:val="auto"/>
                      <w:spacing w:val="3"/>
                      <w:sz w:val="18"/>
                      <w:szCs w:val="18"/>
                    </w:rPr>
                    <w:t>ND</w:t>
                  </w:r>
                </w:p>
              </w:tc>
              <w:tc>
                <w:tcPr>
                  <w:tcW w:w="476" w:type="pct"/>
                  <w:tcBorders>
                    <w:tl2br w:val="nil"/>
                    <w:tr2bl w:val="nil"/>
                  </w:tcBorders>
                  <w:vAlign w:val="center"/>
                </w:tcPr>
                <w:p w14:paraId="605616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eastAsia="en-US"/>
                    </w:rPr>
                  </w:pPr>
                  <w:r>
                    <w:rPr>
                      <w:rFonts w:hint="default" w:ascii="Times New Roman" w:hAnsi="Times New Roman" w:eastAsia="宋体" w:cs="Times New Roman"/>
                      <w:color w:val="auto"/>
                      <w:spacing w:val="3"/>
                      <w:sz w:val="18"/>
                      <w:szCs w:val="18"/>
                    </w:rPr>
                    <w:t>ND</w:t>
                  </w:r>
                </w:p>
              </w:tc>
              <w:tc>
                <w:tcPr>
                  <w:tcW w:w="550" w:type="pct"/>
                  <w:tcBorders>
                    <w:tl2br w:val="nil"/>
                    <w:tr2bl w:val="nil"/>
                  </w:tcBorders>
                  <w:vAlign w:val="center"/>
                </w:tcPr>
                <w:p w14:paraId="651875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eastAsia="en-US"/>
                    </w:rPr>
                  </w:pPr>
                  <w:r>
                    <w:rPr>
                      <w:rFonts w:hint="default" w:ascii="Times New Roman" w:hAnsi="Times New Roman" w:eastAsia="宋体" w:cs="Times New Roman"/>
                      <w:color w:val="auto"/>
                      <w:spacing w:val="3"/>
                      <w:sz w:val="18"/>
                      <w:szCs w:val="18"/>
                    </w:rPr>
                    <w:t>ND</w:t>
                  </w:r>
                </w:p>
              </w:tc>
              <w:tc>
                <w:tcPr>
                  <w:tcW w:w="584" w:type="pct"/>
                  <w:tcBorders>
                    <w:tl2br w:val="nil"/>
                    <w:tr2bl w:val="nil"/>
                  </w:tcBorders>
                  <w:vAlign w:val="center"/>
                </w:tcPr>
                <w:p w14:paraId="36A68A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0B3A37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375" w:type="pct"/>
                  <w:tcBorders>
                    <w:tl2br w:val="nil"/>
                    <w:tr2bl w:val="nil"/>
                  </w:tcBorders>
                  <w:vAlign w:val="center"/>
                </w:tcPr>
                <w:p w14:paraId="3958569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pacing w:val="4"/>
                      <w:sz w:val="18"/>
                      <w:szCs w:val="18"/>
                      <w:lang w:val="en-US" w:eastAsia="zh-CN"/>
                    </w:rPr>
                    <w:t>/</w:t>
                  </w:r>
                </w:p>
              </w:tc>
            </w:tr>
            <w:tr w14:paraId="2EA925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05D6465C">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790E98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380839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500" w:type="pct"/>
                  <w:tcBorders>
                    <w:tl2br w:val="nil"/>
                    <w:tr2bl w:val="nil"/>
                  </w:tcBorders>
                  <w:vAlign w:val="center"/>
                </w:tcPr>
                <w:p w14:paraId="538F029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排放</w:t>
                  </w:r>
                  <w:r>
                    <w:rPr>
                      <w:rFonts w:hint="default" w:ascii="Times New Roman" w:hAnsi="Times New Roman" w:eastAsia="宋体" w:cs="Times New Roman"/>
                      <w:color w:val="auto"/>
                      <w:spacing w:val="5"/>
                      <w:sz w:val="18"/>
                      <w:szCs w:val="18"/>
                    </w:rPr>
                    <w:t>速率</w:t>
                  </w:r>
                </w:p>
              </w:tc>
              <w:tc>
                <w:tcPr>
                  <w:tcW w:w="402" w:type="pct"/>
                  <w:tcBorders>
                    <w:tl2br w:val="nil"/>
                    <w:tr2bl w:val="nil"/>
                  </w:tcBorders>
                  <w:vAlign w:val="center"/>
                </w:tcPr>
                <w:p w14:paraId="1ED9EF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317350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476" w:type="pct"/>
                  <w:tcBorders>
                    <w:tl2br w:val="nil"/>
                    <w:tr2bl w:val="nil"/>
                  </w:tcBorders>
                  <w:vAlign w:val="center"/>
                </w:tcPr>
                <w:p w14:paraId="20A9FA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50" w:type="pct"/>
                  <w:tcBorders>
                    <w:tl2br w:val="nil"/>
                    <w:tr2bl w:val="nil"/>
                  </w:tcBorders>
                  <w:vAlign w:val="center"/>
                </w:tcPr>
                <w:p w14:paraId="40A09C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84" w:type="pct"/>
                  <w:tcBorders>
                    <w:tl2br w:val="nil"/>
                    <w:tr2bl w:val="nil"/>
                  </w:tcBorders>
                  <w:vAlign w:val="center"/>
                </w:tcPr>
                <w:p w14:paraId="032AD4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317936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375" w:type="pct"/>
                  <w:tcBorders>
                    <w:tl2br w:val="nil"/>
                    <w:tr2bl w:val="nil"/>
                  </w:tcBorders>
                  <w:vAlign w:val="center"/>
                </w:tcPr>
                <w:p w14:paraId="3879E7D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pacing w:val="4"/>
                      <w:sz w:val="18"/>
                      <w:szCs w:val="18"/>
                      <w:lang w:val="en-US" w:eastAsia="zh-CN"/>
                    </w:rPr>
                    <w:t>/</w:t>
                  </w:r>
                </w:p>
              </w:tc>
            </w:tr>
            <w:tr w14:paraId="539F04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07E851C9">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1ABA64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2739B0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9"/>
                      <w:sz w:val="18"/>
                      <w:szCs w:val="18"/>
                    </w:rPr>
                    <w:t>甲苯</w:t>
                  </w:r>
                </w:p>
              </w:tc>
              <w:tc>
                <w:tcPr>
                  <w:tcW w:w="500" w:type="pct"/>
                  <w:tcBorders>
                    <w:tl2br w:val="nil"/>
                    <w:tr2bl w:val="nil"/>
                  </w:tcBorders>
                  <w:vAlign w:val="center"/>
                </w:tcPr>
                <w:p w14:paraId="57FBC608">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13E822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5637EB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476" w:type="pct"/>
                  <w:tcBorders>
                    <w:tl2br w:val="nil"/>
                    <w:tr2bl w:val="nil"/>
                  </w:tcBorders>
                  <w:vAlign w:val="center"/>
                </w:tcPr>
                <w:p w14:paraId="529B53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50" w:type="pct"/>
                  <w:tcBorders>
                    <w:tl2br w:val="nil"/>
                    <w:tr2bl w:val="nil"/>
                  </w:tcBorders>
                  <w:vAlign w:val="center"/>
                </w:tcPr>
                <w:p w14:paraId="6471AD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84" w:type="pct"/>
                  <w:tcBorders>
                    <w:tl2br w:val="nil"/>
                    <w:tr2bl w:val="nil"/>
                  </w:tcBorders>
                  <w:vAlign w:val="center"/>
                </w:tcPr>
                <w:p w14:paraId="7B4341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7679A2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375" w:type="pct"/>
                  <w:tcBorders>
                    <w:tl2br w:val="nil"/>
                    <w:tr2bl w:val="nil"/>
                  </w:tcBorders>
                  <w:vAlign w:val="center"/>
                </w:tcPr>
                <w:p w14:paraId="4622125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708EB6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158F4D0F">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1A8C1B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468F26D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p>
              </w:tc>
              <w:tc>
                <w:tcPr>
                  <w:tcW w:w="500" w:type="pct"/>
                  <w:tcBorders>
                    <w:tl2br w:val="nil"/>
                    <w:tr2bl w:val="nil"/>
                  </w:tcBorders>
                  <w:vAlign w:val="center"/>
                </w:tcPr>
                <w:p w14:paraId="07559DA7">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28C0BD44">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pacing w:val="4"/>
                      <w:sz w:val="18"/>
                      <w:szCs w:val="18"/>
                      <w:lang w:eastAsia="en-US"/>
                    </w:rPr>
                    <w:t>kg/h</w:t>
                  </w:r>
                </w:p>
              </w:tc>
              <w:tc>
                <w:tcPr>
                  <w:tcW w:w="479" w:type="pct"/>
                  <w:tcBorders>
                    <w:tl2br w:val="nil"/>
                    <w:tr2bl w:val="nil"/>
                  </w:tcBorders>
                  <w:vAlign w:val="center"/>
                </w:tcPr>
                <w:p w14:paraId="7A2C82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476" w:type="pct"/>
                  <w:tcBorders>
                    <w:tl2br w:val="nil"/>
                    <w:tr2bl w:val="nil"/>
                  </w:tcBorders>
                  <w:vAlign w:val="center"/>
                </w:tcPr>
                <w:p w14:paraId="1D7DB6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50" w:type="pct"/>
                  <w:tcBorders>
                    <w:tl2br w:val="nil"/>
                    <w:tr2bl w:val="nil"/>
                  </w:tcBorders>
                  <w:vAlign w:val="center"/>
                </w:tcPr>
                <w:p w14:paraId="062DC0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84" w:type="pct"/>
                  <w:tcBorders>
                    <w:tl2br w:val="nil"/>
                    <w:tr2bl w:val="nil"/>
                  </w:tcBorders>
                  <w:vAlign w:val="center"/>
                </w:tcPr>
                <w:p w14:paraId="4D7555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75E8640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0.2</w:t>
                  </w:r>
                </w:p>
              </w:tc>
              <w:tc>
                <w:tcPr>
                  <w:tcW w:w="375" w:type="pct"/>
                  <w:tcBorders>
                    <w:tl2br w:val="nil"/>
                    <w:tr2bl w:val="nil"/>
                  </w:tcBorders>
                  <w:vAlign w:val="center"/>
                </w:tcPr>
                <w:p w14:paraId="6D794D8C">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1BAB20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0225A41C">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25D8522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4C347E7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pacing w:val="4"/>
                      <w:sz w:val="18"/>
                      <w:szCs w:val="18"/>
                    </w:rPr>
                    <w:t>非甲烷总烃</w:t>
                  </w:r>
                </w:p>
              </w:tc>
              <w:tc>
                <w:tcPr>
                  <w:tcW w:w="500" w:type="pct"/>
                  <w:tcBorders>
                    <w:tl2br w:val="nil"/>
                    <w:tr2bl w:val="nil"/>
                  </w:tcBorders>
                  <w:vAlign w:val="center"/>
                </w:tcPr>
                <w:p w14:paraId="6E2297BB">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48BC12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71B754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2.45</w:t>
                  </w:r>
                </w:p>
              </w:tc>
              <w:tc>
                <w:tcPr>
                  <w:tcW w:w="476" w:type="pct"/>
                  <w:tcBorders>
                    <w:tl2br w:val="nil"/>
                    <w:tr2bl w:val="nil"/>
                  </w:tcBorders>
                  <w:vAlign w:val="center"/>
                </w:tcPr>
                <w:p w14:paraId="6530E5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1.92</w:t>
                  </w:r>
                </w:p>
              </w:tc>
              <w:tc>
                <w:tcPr>
                  <w:tcW w:w="550" w:type="pct"/>
                  <w:tcBorders>
                    <w:tl2br w:val="nil"/>
                    <w:tr2bl w:val="nil"/>
                  </w:tcBorders>
                  <w:vAlign w:val="center"/>
                </w:tcPr>
                <w:p w14:paraId="4C2347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1.62</w:t>
                  </w:r>
                </w:p>
              </w:tc>
              <w:tc>
                <w:tcPr>
                  <w:tcW w:w="584" w:type="pct"/>
                  <w:tcBorders>
                    <w:tl2br w:val="nil"/>
                    <w:tr2bl w:val="nil"/>
                  </w:tcBorders>
                  <w:vAlign w:val="center"/>
                </w:tcPr>
                <w:p w14:paraId="732E5D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 xml:space="preserve">2.00 </w:t>
                  </w:r>
                </w:p>
              </w:tc>
              <w:tc>
                <w:tcPr>
                  <w:tcW w:w="320" w:type="pct"/>
                  <w:tcBorders>
                    <w:tl2br w:val="nil"/>
                    <w:tr2bl w:val="nil"/>
                  </w:tcBorders>
                  <w:vAlign w:val="center"/>
                </w:tcPr>
                <w:p w14:paraId="595B02F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60</w:t>
                  </w:r>
                </w:p>
              </w:tc>
              <w:tc>
                <w:tcPr>
                  <w:tcW w:w="375" w:type="pct"/>
                  <w:tcBorders>
                    <w:tl2br w:val="nil"/>
                    <w:tr2bl w:val="nil"/>
                  </w:tcBorders>
                  <w:vAlign w:val="center"/>
                </w:tcPr>
                <w:p w14:paraId="3C9B6C28">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0119D3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4F9D69EE">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68D0C9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4710FDAD">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p>
              </w:tc>
              <w:tc>
                <w:tcPr>
                  <w:tcW w:w="500" w:type="pct"/>
                  <w:tcBorders>
                    <w:tl2br w:val="nil"/>
                    <w:tr2bl w:val="nil"/>
                  </w:tcBorders>
                  <w:vAlign w:val="center"/>
                </w:tcPr>
                <w:p w14:paraId="6E566DC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057AB5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0E02D8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0.091</w:t>
                  </w:r>
                </w:p>
              </w:tc>
              <w:tc>
                <w:tcPr>
                  <w:tcW w:w="476" w:type="pct"/>
                  <w:tcBorders>
                    <w:tl2br w:val="nil"/>
                    <w:tr2bl w:val="nil"/>
                  </w:tcBorders>
                  <w:vAlign w:val="center"/>
                </w:tcPr>
                <w:p w14:paraId="360310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0.070</w:t>
                  </w:r>
                </w:p>
              </w:tc>
              <w:tc>
                <w:tcPr>
                  <w:tcW w:w="550" w:type="pct"/>
                  <w:tcBorders>
                    <w:tl2br w:val="nil"/>
                    <w:tr2bl w:val="nil"/>
                  </w:tcBorders>
                  <w:vAlign w:val="center"/>
                </w:tcPr>
                <w:p w14:paraId="674148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0.067</w:t>
                  </w:r>
                </w:p>
              </w:tc>
              <w:tc>
                <w:tcPr>
                  <w:tcW w:w="584" w:type="pct"/>
                  <w:tcBorders>
                    <w:tl2br w:val="nil"/>
                    <w:tr2bl w:val="nil"/>
                  </w:tcBorders>
                  <w:vAlign w:val="center"/>
                </w:tcPr>
                <w:p w14:paraId="0BF0B4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0.076</w:t>
                  </w:r>
                </w:p>
              </w:tc>
              <w:tc>
                <w:tcPr>
                  <w:tcW w:w="320" w:type="pct"/>
                  <w:tcBorders>
                    <w:tl2br w:val="nil"/>
                    <w:tr2bl w:val="nil"/>
                  </w:tcBorders>
                  <w:vAlign w:val="center"/>
                </w:tcPr>
                <w:p w14:paraId="0F9C89D4">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3</w:t>
                  </w:r>
                </w:p>
              </w:tc>
              <w:tc>
                <w:tcPr>
                  <w:tcW w:w="375" w:type="pct"/>
                  <w:tcBorders>
                    <w:tl2br w:val="nil"/>
                    <w:tr2bl w:val="nil"/>
                  </w:tcBorders>
                  <w:vAlign w:val="center"/>
                </w:tcPr>
                <w:p w14:paraId="2A7B623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546F7A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3833176A">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1CDBC05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54F7ECCF">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pacing w:val="4"/>
                      <w:sz w:val="18"/>
                      <w:szCs w:val="18"/>
                    </w:rPr>
                    <w:t>丁酮</w:t>
                  </w:r>
                </w:p>
              </w:tc>
              <w:tc>
                <w:tcPr>
                  <w:tcW w:w="500" w:type="pct"/>
                  <w:tcBorders>
                    <w:tl2br w:val="nil"/>
                    <w:tr2bl w:val="nil"/>
                  </w:tcBorders>
                  <w:vAlign w:val="center"/>
                </w:tcPr>
                <w:p w14:paraId="36684F2F">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75B632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1B854F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476" w:type="pct"/>
                  <w:tcBorders>
                    <w:tl2br w:val="nil"/>
                    <w:tr2bl w:val="nil"/>
                  </w:tcBorders>
                  <w:vAlign w:val="center"/>
                </w:tcPr>
                <w:p w14:paraId="717377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50" w:type="pct"/>
                  <w:tcBorders>
                    <w:tl2br w:val="nil"/>
                    <w:tr2bl w:val="nil"/>
                  </w:tcBorders>
                  <w:vAlign w:val="center"/>
                </w:tcPr>
                <w:p w14:paraId="13AB0C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84" w:type="pct"/>
                  <w:tcBorders>
                    <w:tl2br w:val="nil"/>
                    <w:tr2bl w:val="nil"/>
                  </w:tcBorders>
                  <w:vAlign w:val="center"/>
                </w:tcPr>
                <w:p w14:paraId="10BAB1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6826F85D">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80</w:t>
                  </w:r>
                </w:p>
              </w:tc>
              <w:tc>
                <w:tcPr>
                  <w:tcW w:w="375" w:type="pct"/>
                  <w:tcBorders>
                    <w:tl2br w:val="nil"/>
                    <w:tr2bl w:val="nil"/>
                  </w:tcBorders>
                  <w:vAlign w:val="center"/>
                </w:tcPr>
                <w:p w14:paraId="4E587E0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73B89F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4F664DE2">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181A97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25FB55D4">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p>
              </w:tc>
              <w:tc>
                <w:tcPr>
                  <w:tcW w:w="500" w:type="pct"/>
                  <w:tcBorders>
                    <w:tl2br w:val="nil"/>
                    <w:tr2bl w:val="nil"/>
                  </w:tcBorders>
                  <w:vAlign w:val="center"/>
                </w:tcPr>
                <w:p w14:paraId="5807EAD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79476F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05AEAC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476" w:type="pct"/>
                  <w:tcBorders>
                    <w:tl2br w:val="nil"/>
                    <w:tr2bl w:val="nil"/>
                  </w:tcBorders>
                  <w:vAlign w:val="center"/>
                </w:tcPr>
                <w:p w14:paraId="7D94A3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50" w:type="pct"/>
                  <w:tcBorders>
                    <w:tl2br w:val="nil"/>
                    <w:tr2bl w:val="nil"/>
                  </w:tcBorders>
                  <w:vAlign w:val="center"/>
                </w:tcPr>
                <w:p w14:paraId="76A95C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84" w:type="pct"/>
                  <w:tcBorders>
                    <w:tl2br w:val="nil"/>
                    <w:tr2bl w:val="nil"/>
                  </w:tcBorders>
                  <w:vAlign w:val="center"/>
                </w:tcPr>
                <w:p w14:paraId="63B4A0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769F1FCB">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w:t>
                  </w:r>
                </w:p>
              </w:tc>
              <w:tc>
                <w:tcPr>
                  <w:tcW w:w="375" w:type="pct"/>
                  <w:tcBorders>
                    <w:tl2br w:val="nil"/>
                    <w:tr2bl w:val="nil"/>
                  </w:tcBorders>
                  <w:vAlign w:val="center"/>
                </w:tcPr>
                <w:p w14:paraId="6206D3CF">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w:t>
                  </w:r>
                </w:p>
              </w:tc>
            </w:tr>
            <w:tr w14:paraId="77F16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76" w:type="pct"/>
                  <w:vMerge w:val="continue"/>
                  <w:tcBorders>
                    <w:tl2br w:val="nil"/>
                    <w:tr2bl w:val="nil"/>
                  </w:tcBorders>
                  <w:vAlign w:val="center"/>
                </w:tcPr>
                <w:p w14:paraId="2E5142F5">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73D728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3A6C3EC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颗粒物</w:t>
                  </w:r>
                </w:p>
              </w:tc>
              <w:tc>
                <w:tcPr>
                  <w:tcW w:w="500" w:type="pct"/>
                  <w:tcBorders>
                    <w:tl2br w:val="nil"/>
                    <w:tr2bl w:val="nil"/>
                  </w:tcBorders>
                  <w:vAlign w:val="center"/>
                </w:tcPr>
                <w:p w14:paraId="7D67A0A4">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501D7B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6B9C3B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eastAsia="en-US"/>
                    </w:rPr>
                  </w:pPr>
                  <w:r>
                    <w:rPr>
                      <w:rFonts w:hint="default" w:ascii="Times New Roman" w:hAnsi="Times New Roman" w:eastAsia="宋体" w:cs="Times New Roman"/>
                      <w:color w:val="auto"/>
                      <w:spacing w:val="3"/>
                      <w:sz w:val="18"/>
                      <w:szCs w:val="18"/>
                    </w:rPr>
                    <w:t>3</w:t>
                  </w:r>
                </w:p>
              </w:tc>
              <w:tc>
                <w:tcPr>
                  <w:tcW w:w="476" w:type="pct"/>
                  <w:tcBorders>
                    <w:tl2br w:val="nil"/>
                    <w:tr2bl w:val="nil"/>
                  </w:tcBorders>
                  <w:vAlign w:val="center"/>
                </w:tcPr>
                <w:p w14:paraId="2B7AE9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eastAsia="en-US"/>
                    </w:rPr>
                  </w:pPr>
                  <w:r>
                    <w:rPr>
                      <w:rFonts w:hint="default" w:ascii="Times New Roman" w:hAnsi="Times New Roman" w:eastAsia="宋体" w:cs="Times New Roman"/>
                      <w:color w:val="auto"/>
                      <w:spacing w:val="3"/>
                      <w:sz w:val="18"/>
                      <w:szCs w:val="18"/>
                    </w:rPr>
                    <w:t>3.7</w:t>
                  </w:r>
                </w:p>
              </w:tc>
              <w:tc>
                <w:tcPr>
                  <w:tcW w:w="550" w:type="pct"/>
                  <w:tcBorders>
                    <w:tl2br w:val="nil"/>
                    <w:tr2bl w:val="nil"/>
                  </w:tcBorders>
                  <w:vAlign w:val="center"/>
                </w:tcPr>
                <w:p w14:paraId="0196FF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eastAsia="en-US"/>
                    </w:rPr>
                  </w:pPr>
                  <w:r>
                    <w:rPr>
                      <w:rFonts w:hint="default" w:ascii="Times New Roman" w:hAnsi="Times New Roman" w:eastAsia="宋体" w:cs="Times New Roman"/>
                      <w:color w:val="auto"/>
                      <w:spacing w:val="3"/>
                      <w:sz w:val="18"/>
                      <w:szCs w:val="18"/>
                    </w:rPr>
                    <w:t>3.4</w:t>
                  </w:r>
                </w:p>
              </w:tc>
              <w:tc>
                <w:tcPr>
                  <w:tcW w:w="584" w:type="pct"/>
                  <w:tcBorders>
                    <w:tl2br w:val="nil"/>
                    <w:tr2bl w:val="nil"/>
                  </w:tcBorders>
                  <w:vAlign w:val="center"/>
                </w:tcPr>
                <w:p w14:paraId="026EFD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 xml:space="preserve">3.37 </w:t>
                  </w:r>
                </w:p>
              </w:tc>
              <w:tc>
                <w:tcPr>
                  <w:tcW w:w="320" w:type="pct"/>
                  <w:tcBorders>
                    <w:tl2br w:val="nil"/>
                    <w:tr2bl w:val="nil"/>
                  </w:tcBorders>
                  <w:vAlign w:val="center"/>
                </w:tcPr>
                <w:p w14:paraId="3A405E51">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20</w:t>
                  </w:r>
                </w:p>
              </w:tc>
              <w:tc>
                <w:tcPr>
                  <w:tcW w:w="375" w:type="pct"/>
                  <w:tcBorders>
                    <w:tl2br w:val="nil"/>
                    <w:tr2bl w:val="nil"/>
                  </w:tcBorders>
                  <w:vAlign w:val="center"/>
                </w:tcPr>
                <w:p w14:paraId="594B093B">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合格</w:t>
                  </w:r>
                </w:p>
              </w:tc>
            </w:tr>
            <w:tr w14:paraId="53E060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6636A0AC">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35CEBC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77C94ED8">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p>
              </w:tc>
              <w:tc>
                <w:tcPr>
                  <w:tcW w:w="500" w:type="pct"/>
                  <w:tcBorders>
                    <w:tl2br w:val="nil"/>
                    <w:tr2bl w:val="nil"/>
                  </w:tcBorders>
                  <w:vAlign w:val="center"/>
                </w:tcPr>
                <w:p w14:paraId="6E3AAF49">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2B9CA1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3DD4CA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0. 11</w:t>
                  </w:r>
                </w:p>
              </w:tc>
              <w:tc>
                <w:tcPr>
                  <w:tcW w:w="476" w:type="pct"/>
                  <w:tcBorders>
                    <w:tl2br w:val="nil"/>
                    <w:tr2bl w:val="nil"/>
                  </w:tcBorders>
                  <w:vAlign w:val="center"/>
                </w:tcPr>
                <w:p w14:paraId="08652D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0.13</w:t>
                  </w:r>
                </w:p>
              </w:tc>
              <w:tc>
                <w:tcPr>
                  <w:tcW w:w="550" w:type="pct"/>
                  <w:tcBorders>
                    <w:tl2br w:val="nil"/>
                    <w:tr2bl w:val="nil"/>
                  </w:tcBorders>
                  <w:vAlign w:val="center"/>
                </w:tcPr>
                <w:p w14:paraId="33F13C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0. 14</w:t>
                  </w:r>
                </w:p>
              </w:tc>
              <w:tc>
                <w:tcPr>
                  <w:tcW w:w="584" w:type="pct"/>
                  <w:tcBorders>
                    <w:tl2br w:val="nil"/>
                    <w:tr2bl w:val="nil"/>
                  </w:tcBorders>
                  <w:vAlign w:val="center"/>
                </w:tcPr>
                <w:p w14:paraId="509FD8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0.13</w:t>
                  </w:r>
                </w:p>
              </w:tc>
              <w:tc>
                <w:tcPr>
                  <w:tcW w:w="320" w:type="pct"/>
                  <w:tcBorders>
                    <w:tl2br w:val="nil"/>
                    <w:tr2bl w:val="nil"/>
                  </w:tcBorders>
                  <w:vAlign w:val="center"/>
                </w:tcPr>
                <w:p w14:paraId="29D53AD9">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1</w:t>
                  </w:r>
                </w:p>
              </w:tc>
              <w:tc>
                <w:tcPr>
                  <w:tcW w:w="375" w:type="pct"/>
                  <w:tcBorders>
                    <w:tl2br w:val="nil"/>
                    <w:tr2bl w:val="nil"/>
                  </w:tcBorders>
                  <w:vAlign w:val="center"/>
                </w:tcPr>
                <w:p w14:paraId="135B51F7">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合格</w:t>
                  </w:r>
                </w:p>
              </w:tc>
            </w:tr>
            <w:tr w14:paraId="3437F6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5317B351">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187612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44CE901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pacing w:val="4"/>
                      <w:sz w:val="18"/>
                      <w:szCs w:val="18"/>
                    </w:rPr>
                    <w:t>二氧化硫</w:t>
                  </w:r>
                </w:p>
              </w:tc>
              <w:tc>
                <w:tcPr>
                  <w:tcW w:w="500" w:type="pct"/>
                  <w:tcBorders>
                    <w:tl2br w:val="nil"/>
                    <w:tr2bl w:val="nil"/>
                  </w:tcBorders>
                  <w:vAlign w:val="center"/>
                </w:tcPr>
                <w:p w14:paraId="6C1FBEF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41D8EB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1751F0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476" w:type="pct"/>
                  <w:tcBorders>
                    <w:tl2br w:val="nil"/>
                    <w:tr2bl w:val="nil"/>
                  </w:tcBorders>
                  <w:vAlign w:val="center"/>
                </w:tcPr>
                <w:p w14:paraId="193201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50" w:type="pct"/>
                  <w:tcBorders>
                    <w:tl2br w:val="nil"/>
                    <w:tr2bl w:val="nil"/>
                  </w:tcBorders>
                  <w:vAlign w:val="center"/>
                </w:tcPr>
                <w:p w14:paraId="6A6551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84" w:type="pct"/>
                  <w:tcBorders>
                    <w:tl2br w:val="nil"/>
                    <w:tr2bl w:val="nil"/>
                  </w:tcBorders>
                  <w:vAlign w:val="center"/>
                </w:tcPr>
                <w:p w14:paraId="1D3758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081F025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200</w:t>
                  </w:r>
                </w:p>
              </w:tc>
              <w:tc>
                <w:tcPr>
                  <w:tcW w:w="375" w:type="pct"/>
                  <w:tcBorders>
                    <w:tl2br w:val="nil"/>
                    <w:tr2bl w:val="nil"/>
                  </w:tcBorders>
                  <w:vAlign w:val="center"/>
                </w:tcPr>
                <w:p w14:paraId="6458ED89">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7A9128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3D1984C0">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76F0B9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7B649B62">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p>
              </w:tc>
              <w:tc>
                <w:tcPr>
                  <w:tcW w:w="500" w:type="pct"/>
                  <w:tcBorders>
                    <w:tl2br w:val="nil"/>
                    <w:tr2bl w:val="nil"/>
                  </w:tcBorders>
                  <w:vAlign w:val="center"/>
                </w:tcPr>
                <w:p w14:paraId="1A4E052F">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727EA1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29F9A4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476" w:type="pct"/>
                  <w:tcBorders>
                    <w:tl2br w:val="nil"/>
                    <w:tr2bl w:val="nil"/>
                  </w:tcBorders>
                  <w:vAlign w:val="center"/>
                </w:tcPr>
                <w:p w14:paraId="7084F5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50" w:type="pct"/>
                  <w:tcBorders>
                    <w:tl2br w:val="nil"/>
                    <w:tr2bl w:val="nil"/>
                  </w:tcBorders>
                  <w:vAlign w:val="center"/>
                </w:tcPr>
                <w:p w14:paraId="422721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84" w:type="pct"/>
                  <w:tcBorders>
                    <w:tl2br w:val="nil"/>
                    <w:tr2bl w:val="nil"/>
                  </w:tcBorders>
                  <w:vAlign w:val="center"/>
                </w:tcPr>
                <w:p w14:paraId="4E050C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796FBB7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1.4</w:t>
                  </w:r>
                </w:p>
              </w:tc>
              <w:tc>
                <w:tcPr>
                  <w:tcW w:w="375" w:type="pct"/>
                  <w:tcBorders>
                    <w:tl2br w:val="nil"/>
                    <w:tr2bl w:val="nil"/>
                  </w:tcBorders>
                  <w:vAlign w:val="center"/>
                </w:tcPr>
                <w:p w14:paraId="237C0AC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39657B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28EF3B37">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6EB290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505E5D1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pacing w:val="4"/>
                      <w:sz w:val="18"/>
                      <w:szCs w:val="18"/>
                    </w:rPr>
                    <w:t>氮氧化物</w:t>
                  </w:r>
                </w:p>
              </w:tc>
              <w:tc>
                <w:tcPr>
                  <w:tcW w:w="500" w:type="pct"/>
                  <w:tcBorders>
                    <w:tl2br w:val="nil"/>
                    <w:tr2bl w:val="nil"/>
                  </w:tcBorders>
                  <w:vAlign w:val="center"/>
                </w:tcPr>
                <w:p w14:paraId="035100DB">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1C4CC9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4A38E0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476" w:type="pct"/>
                  <w:tcBorders>
                    <w:tl2br w:val="nil"/>
                    <w:tr2bl w:val="nil"/>
                  </w:tcBorders>
                  <w:vAlign w:val="center"/>
                </w:tcPr>
                <w:p w14:paraId="3C9EEE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50" w:type="pct"/>
                  <w:tcBorders>
                    <w:tl2br w:val="nil"/>
                    <w:tr2bl w:val="nil"/>
                  </w:tcBorders>
                  <w:vAlign w:val="center"/>
                </w:tcPr>
                <w:p w14:paraId="2F92E2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84" w:type="pct"/>
                  <w:tcBorders>
                    <w:tl2br w:val="nil"/>
                    <w:tr2bl w:val="nil"/>
                  </w:tcBorders>
                  <w:vAlign w:val="center"/>
                </w:tcPr>
                <w:p w14:paraId="58A06C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050C28E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100</w:t>
                  </w:r>
                </w:p>
              </w:tc>
              <w:tc>
                <w:tcPr>
                  <w:tcW w:w="375" w:type="pct"/>
                  <w:tcBorders>
                    <w:tl2br w:val="nil"/>
                    <w:tr2bl w:val="nil"/>
                  </w:tcBorders>
                  <w:vAlign w:val="center"/>
                </w:tcPr>
                <w:p w14:paraId="2E1C252D">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214E97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09CB4EB1">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5B329A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594920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p>
              </w:tc>
              <w:tc>
                <w:tcPr>
                  <w:tcW w:w="500" w:type="pct"/>
                  <w:tcBorders>
                    <w:tl2br w:val="nil"/>
                    <w:tr2bl w:val="nil"/>
                  </w:tcBorders>
                  <w:vAlign w:val="center"/>
                </w:tcPr>
                <w:p w14:paraId="7525B181">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w:t>
                  </w:r>
                  <w:r>
                    <w:rPr>
                      <w:rFonts w:hint="default" w:ascii="Times New Roman" w:hAnsi="Times New Roman" w:eastAsia="宋体" w:cs="Times New Roman"/>
                      <w:color w:val="auto"/>
                      <w:spacing w:val="5"/>
                      <w:sz w:val="18"/>
                      <w:szCs w:val="18"/>
                    </w:rPr>
                    <w:t>速率</w:t>
                  </w:r>
                </w:p>
              </w:tc>
              <w:tc>
                <w:tcPr>
                  <w:tcW w:w="402" w:type="pct"/>
                  <w:tcBorders>
                    <w:tl2br w:val="nil"/>
                    <w:tr2bl w:val="nil"/>
                  </w:tcBorders>
                  <w:vAlign w:val="center"/>
                </w:tcPr>
                <w:p w14:paraId="72147A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4BD562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476" w:type="pct"/>
                  <w:tcBorders>
                    <w:tl2br w:val="nil"/>
                    <w:tr2bl w:val="nil"/>
                  </w:tcBorders>
                  <w:vAlign w:val="center"/>
                </w:tcPr>
                <w:p w14:paraId="26B3D0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50" w:type="pct"/>
                  <w:tcBorders>
                    <w:tl2br w:val="nil"/>
                    <w:tr2bl w:val="nil"/>
                  </w:tcBorders>
                  <w:vAlign w:val="center"/>
                </w:tcPr>
                <w:p w14:paraId="5BB8A3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84" w:type="pct"/>
                  <w:tcBorders>
                    <w:tl2br w:val="nil"/>
                    <w:tr2bl w:val="nil"/>
                  </w:tcBorders>
                  <w:vAlign w:val="center"/>
                </w:tcPr>
                <w:p w14:paraId="73052D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356A48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0.47</w:t>
                  </w:r>
                </w:p>
              </w:tc>
              <w:tc>
                <w:tcPr>
                  <w:tcW w:w="375" w:type="pct"/>
                  <w:tcBorders>
                    <w:tl2br w:val="nil"/>
                    <w:tr2bl w:val="nil"/>
                  </w:tcBorders>
                  <w:vAlign w:val="center"/>
                </w:tcPr>
                <w:p w14:paraId="6C1AF8B2">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786586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30A9614F">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restart"/>
                  <w:tcBorders>
                    <w:tl2br w:val="nil"/>
                    <w:tr2bl w:val="nil"/>
                  </w:tcBorders>
                  <w:vAlign w:val="center"/>
                </w:tcPr>
                <w:p w14:paraId="477B08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lang w:eastAsia="en-US"/>
                    </w:rPr>
                    <w:t>20</w:t>
                  </w:r>
                  <w:r>
                    <w:rPr>
                      <w:rFonts w:hint="default" w:ascii="Times New Roman" w:hAnsi="Times New Roman" w:eastAsia="宋体" w:cs="Times New Roman"/>
                      <w:color w:val="auto"/>
                      <w:spacing w:val="3"/>
                      <w:sz w:val="18"/>
                      <w:szCs w:val="18"/>
                      <w:lang w:val="en-US" w:eastAsia="zh-CN"/>
                    </w:rPr>
                    <w:t>25.7.18</w:t>
                  </w:r>
                </w:p>
              </w:tc>
              <w:tc>
                <w:tcPr>
                  <w:tcW w:w="381" w:type="pct"/>
                  <w:vMerge w:val="restart"/>
                  <w:tcBorders>
                    <w:tl2br w:val="nil"/>
                    <w:tr2bl w:val="nil"/>
                  </w:tcBorders>
                  <w:vAlign w:val="center"/>
                </w:tcPr>
                <w:p w14:paraId="557E548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r>
                    <w:rPr>
                      <w:rFonts w:hint="default" w:ascii="Times New Roman" w:hAnsi="Times New Roman" w:eastAsia="宋体" w:cs="Times New Roman"/>
                      <w:color w:val="auto"/>
                      <w:spacing w:val="2"/>
                      <w:sz w:val="18"/>
                      <w:szCs w:val="18"/>
                    </w:rPr>
                    <w:t>乙酸乙酯</w:t>
                  </w:r>
                </w:p>
              </w:tc>
              <w:tc>
                <w:tcPr>
                  <w:tcW w:w="500" w:type="pct"/>
                  <w:tcBorders>
                    <w:tl2br w:val="nil"/>
                    <w:tr2bl w:val="nil"/>
                  </w:tcBorders>
                  <w:vAlign w:val="center"/>
                </w:tcPr>
                <w:p w14:paraId="53C533C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537A8E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55FA98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476" w:type="pct"/>
                  <w:tcBorders>
                    <w:tl2br w:val="nil"/>
                    <w:tr2bl w:val="nil"/>
                  </w:tcBorders>
                  <w:vAlign w:val="center"/>
                </w:tcPr>
                <w:p w14:paraId="7970E2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50" w:type="pct"/>
                  <w:tcBorders>
                    <w:tl2br w:val="nil"/>
                    <w:tr2bl w:val="nil"/>
                  </w:tcBorders>
                  <w:vAlign w:val="center"/>
                </w:tcPr>
                <w:p w14:paraId="0401BD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84" w:type="pct"/>
                  <w:tcBorders>
                    <w:tl2br w:val="nil"/>
                    <w:tr2bl w:val="nil"/>
                  </w:tcBorders>
                  <w:vAlign w:val="center"/>
                </w:tcPr>
                <w:p w14:paraId="17B22D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0E5CE9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375" w:type="pct"/>
                  <w:tcBorders>
                    <w:tl2br w:val="nil"/>
                    <w:tr2bl w:val="nil"/>
                  </w:tcBorders>
                  <w:vAlign w:val="center"/>
                </w:tcPr>
                <w:p w14:paraId="758B2B72">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lang w:val="en-US" w:eastAsia="zh-CN"/>
                    </w:rPr>
                    <w:t>/</w:t>
                  </w:r>
                </w:p>
              </w:tc>
            </w:tr>
            <w:tr w14:paraId="27735A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10E84530">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5F6FAC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2A87BD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p>
              </w:tc>
              <w:tc>
                <w:tcPr>
                  <w:tcW w:w="500" w:type="pct"/>
                  <w:tcBorders>
                    <w:tl2br w:val="nil"/>
                    <w:tr2bl w:val="nil"/>
                  </w:tcBorders>
                  <w:vAlign w:val="center"/>
                </w:tcPr>
                <w:p w14:paraId="62347BD2">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w:t>
                  </w:r>
                  <w:r>
                    <w:rPr>
                      <w:rFonts w:hint="default" w:ascii="Times New Roman" w:hAnsi="Times New Roman" w:eastAsia="宋体" w:cs="Times New Roman"/>
                      <w:color w:val="auto"/>
                      <w:spacing w:val="5"/>
                      <w:sz w:val="18"/>
                      <w:szCs w:val="18"/>
                    </w:rPr>
                    <w:t>速率</w:t>
                  </w:r>
                </w:p>
              </w:tc>
              <w:tc>
                <w:tcPr>
                  <w:tcW w:w="402" w:type="pct"/>
                  <w:tcBorders>
                    <w:tl2br w:val="nil"/>
                    <w:tr2bl w:val="nil"/>
                  </w:tcBorders>
                  <w:vAlign w:val="center"/>
                </w:tcPr>
                <w:p w14:paraId="0EB643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062322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476" w:type="pct"/>
                  <w:tcBorders>
                    <w:tl2br w:val="nil"/>
                    <w:tr2bl w:val="nil"/>
                  </w:tcBorders>
                  <w:vAlign w:val="center"/>
                </w:tcPr>
                <w:p w14:paraId="035AC3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50" w:type="pct"/>
                  <w:tcBorders>
                    <w:tl2br w:val="nil"/>
                    <w:tr2bl w:val="nil"/>
                  </w:tcBorders>
                  <w:vAlign w:val="center"/>
                </w:tcPr>
                <w:p w14:paraId="124737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84" w:type="pct"/>
                  <w:tcBorders>
                    <w:tl2br w:val="nil"/>
                    <w:tr2bl w:val="nil"/>
                  </w:tcBorders>
                  <w:vAlign w:val="center"/>
                </w:tcPr>
                <w:p w14:paraId="6ECDFE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4E78D9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375" w:type="pct"/>
                  <w:tcBorders>
                    <w:tl2br w:val="nil"/>
                    <w:tr2bl w:val="nil"/>
                  </w:tcBorders>
                  <w:vAlign w:val="center"/>
                </w:tcPr>
                <w:p w14:paraId="0E71FBF2">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lang w:val="en-US" w:eastAsia="zh-CN"/>
                    </w:rPr>
                    <w:t>/</w:t>
                  </w:r>
                </w:p>
              </w:tc>
            </w:tr>
            <w:tr w14:paraId="0483FA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3FBE1463">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76AADD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2D5858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r>
                    <w:rPr>
                      <w:rFonts w:hint="default" w:ascii="Times New Roman" w:hAnsi="Times New Roman" w:eastAsia="宋体" w:cs="Times New Roman"/>
                      <w:color w:val="auto"/>
                      <w:spacing w:val="-9"/>
                      <w:sz w:val="18"/>
                      <w:szCs w:val="18"/>
                    </w:rPr>
                    <w:t>甲苯</w:t>
                  </w:r>
                </w:p>
              </w:tc>
              <w:tc>
                <w:tcPr>
                  <w:tcW w:w="500" w:type="pct"/>
                  <w:tcBorders>
                    <w:tl2br w:val="nil"/>
                    <w:tr2bl w:val="nil"/>
                  </w:tcBorders>
                  <w:vAlign w:val="center"/>
                </w:tcPr>
                <w:p w14:paraId="3A907653">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068ED6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437CF5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476" w:type="pct"/>
                  <w:tcBorders>
                    <w:tl2br w:val="nil"/>
                    <w:tr2bl w:val="nil"/>
                  </w:tcBorders>
                  <w:vAlign w:val="center"/>
                </w:tcPr>
                <w:p w14:paraId="55D7AE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50" w:type="pct"/>
                  <w:tcBorders>
                    <w:tl2br w:val="nil"/>
                    <w:tr2bl w:val="nil"/>
                  </w:tcBorders>
                  <w:vAlign w:val="center"/>
                </w:tcPr>
                <w:p w14:paraId="2768EF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84" w:type="pct"/>
                  <w:tcBorders>
                    <w:tl2br w:val="nil"/>
                    <w:tr2bl w:val="nil"/>
                  </w:tcBorders>
                  <w:vAlign w:val="center"/>
                </w:tcPr>
                <w:p w14:paraId="72205B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4E8BF9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375" w:type="pct"/>
                  <w:tcBorders>
                    <w:tl2br w:val="nil"/>
                    <w:tr2bl w:val="nil"/>
                  </w:tcBorders>
                  <w:vAlign w:val="center"/>
                </w:tcPr>
                <w:p w14:paraId="2312A7E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217F9E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46B3F170">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3E43B5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0C9AA159">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p>
              </w:tc>
              <w:tc>
                <w:tcPr>
                  <w:tcW w:w="500" w:type="pct"/>
                  <w:tcBorders>
                    <w:tl2br w:val="nil"/>
                    <w:tr2bl w:val="nil"/>
                  </w:tcBorders>
                  <w:vAlign w:val="center"/>
                </w:tcPr>
                <w:p w14:paraId="58FC0DD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24D2C1C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4"/>
                      <w:sz w:val="18"/>
                      <w:szCs w:val="18"/>
                      <w:lang w:eastAsia="en-US"/>
                    </w:rPr>
                    <w:t>kg/h</w:t>
                  </w:r>
                </w:p>
              </w:tc>
              <w:tc>
                <w:tcPr>
                  <w:tcW w:w="479" w:type="pct"/>
                  <w:tcBorders>
                    <w:tl2br w:val="nil"/>
                    <w:tr2bl w:val="nil"/>
                  </w:tcBorders>
                  <w:vAlign w:val="center"/>
                </w:tcPr>
                <w:p w14:paraId="7F6BB8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476" w:type="pct"/>
                  <w:tcBorders>
                    <w:tl2br w:val="nil"/>
                    <w:tr2bl w:val="nil"/>
                  </w:tcBorders>
                  <w:vAlign w:val="center"/>
                </w:tcPr>
                <w:p w14:paraId="2A6D06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50" w:type="pct"/>
                  <w:tcBorders>
                    <w:tl2br w:val="nil"/>
                    <w:tr2bl w:val="nil"/>
                  </w:tcBorders>
                  <w:vAlign w:val="center"/>
                </w:tcPr>
                <w:p w14:paraId="78BEF8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84" w:type="pct"/>
                  <w:tcBorders>
                    <w:tl2br w:val="nil"/>
                    <w:tr2bl w:val="nil"/>
                  </w:tcBorders>
                  <w:vAlign w:val="center"/>
                </w:tcPr>
                <w:p w14:paraId="66A858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7B3AC751">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0.2</w:t>
                  </w:r>
                </w:p>
              </w:tc>
              <w:tc>
                <w:tcPr>
                  <w:tcW w:w="375" w:type="pct"/>
                  <w:tcBorders>
                    <w:tl2br w:val="nil"/>
                    <w:tr2bl w:val="nil"/>
                  </w:tcBorders>
                  <w:vAlign w:val="center"/>
                </w:tcPr>
                <w:p w14:paraId="63360124">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5D29D0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0C1E6C05">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1902DD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07480919">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r>
                    <w:rPr>
                      <w:rFonts w:hint="default" w:ascii="Times New Roman" w:hAnsi="Times New Roman" w:eastAsia="宋体" w:cs="Times New Roman"/>
                      <w:color w:val="auto"/>
                      <w:spacing w:val="4"/>
                      <w:sz w:val="18"/>
                      <w:szCs w:val="18"/>
                    </w:rPr>
                    <w:t>非甲烷总烃</w:t>
                  </w:r>
                </w:p>
              </w:tc>
              <w:tc>
                <w:tcPr>
                  <w:tcW w:w="500" w:type="pct"/>
                  <w:tcBorders>
                    <w:tl2br w:val="nil"/>
                    <w:tr2bl w:val="nil"/>
                  </w:tcBorders>
                  <w:vAlign w:val="center"/>
                </w:tcPr>
                <w:p w14:paraId="64AB58F4">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060180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0CEF2B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3.69</w:t>
                  </w:r>
                </w:p>
              </w:tc>
              <w:tc>
                <w:tcPr>
                  <w:tcW w:w="476" w:type="pct"/>
                  <w:tcBorders>
                    <w:tl2br w:val="nil"/>
                    <w:tr2bl w:val="nil"/>
                  </w:tcBorders>
                  <w:vAlign w:val="center"/>
                </w:tcPr>
                <w:p w14:paraId="4AF05D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3.54</w:t>
                  </w:r>
                </w:p>
              </w:tc>
              <w:tc>
                <w:tcPr>
                  <w:tcW w:w="550" w:type="pct"/>
                  <w:tcBorders>
                    <w:tl2br w:val="nil"/>
                    <w:tr2bl w:val="nil"/>
                  </w:tcBorders>
                  <w:vAlign w:val="center"/>
                </w:tcPr>
                <w:p w14:paraId="480E0B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3.59</w:t>
                  </w:r>
                </w:p>
              </w:tc>
              <w:tc>
                <w:tcPr>
                  <w:tcW w:w="584" w:type="pct"/>
                  <w:tcBorders>
                    <w:tl2br w:val="nil"/>
                    <w:tr2bl w:val="nil"/>
                  </w:tcBorders>
                  <w:vAlign w:val="center"/>
                </w:tcPr>
                <w:p w14:paraId="27C8E2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 xml:space="preserve">3.61 </w:t>
                  </w:r>
                </w:p>
              </w:tc>
              <w:tc>
                <w:tcPr>
                  <w:tcW w:w="320" w:type="pct"/>
                  <w:tcBorders>
                    <w:tl2br w:val="nil"/>
                    <w:tr2bl w:val="nil"/>
                  </w:tcBorders>
                  <w:vAlign w:val="center"/>
                </w:tcPr>
                <w:p w14:paraId="12F0B9E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60</w:t>
                  </w:r>
                </w:p>
              </w:tc>
              <w:tc>
                <w:tcPr>
                  <w:tcW w:w="375" w:type="pct"/>
                  <w:tcBorders>
                    <w:tl2br w:val="nil"/>
                    <w:tr2bl w:val="nil"/>
                  </w:tcBorders>
                  <w:vAlign w:val="center"/>
                </w:tcPr>
                <w:p w14:paraId="2B765AE8">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75ACF1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2A4DE3FE">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4EA3BE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09C6C67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p>
              </w:tc>
              <w:tc>
                <w:tcPr>
                  <w:tcW w:w="500" w:type="pct"/>
                  <w:tcBorders>
                    <w:tl2br w:val="nil"/>
                    <w:tr2bl w:val="nil"/>
                  </w:tcBorders>
                  <w:vAlign w:val="center"/>
                </w:tcPr>
                <w:p w14:paraId="6A111B4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5DD156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7C0C49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0.15</w:t>
                  </w:r>
                </w:p>
              </w:tc>
              <w:tc>
                <w:tcPr>
                  <w:tcW w:w="476" w:type="pct"/>
                  <w:tcBorders>
                    <w:tl2br w:val="nil"/>
                    <w:tr2bl w:val="nil"/>
                  </w:tcBorders>
                  <w:vAlign w:val="center"/>
                </w:tcPr>
                <w:p w14:paraId="163624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0. 14</w:t>
                  </w:r>
                </w:p>
              </w:tc>
              <w:tc>
                <w:tcPr>
                  <w:tcW w:w="550" w:type="pct"/>
                  <w:tcBorders>
                    <w:tl2br w:val="nil"/>
                    <w:tr2bl w:val="nil"/>
                  </w:tcBorders>
                  <w:vAlign w:val="center"/>
                </w:tcPr>
                <w:p w14:paraId="1B2BCE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0. 14</w:t>
                  </w:r>
                </w:p>
              </w:tc>
              <w:tc>
                <w:tcPr>
                  <w:tcW w:w="584" w:type="pct"/>
                  <w:tcBorders>
                    <w:tl2br w:val="nil"/>
                    <w:tr2bl w:val="nil"/>
                  </w:tcBorders>
                  <w:vAlign w:val="center"/>
                </w:tcPr>
                <w:p w14:paraId="29A513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0.15</w:t>
                  </w:r>
                </w:p>
              </w:tc>
              <w:tc>
                <w:tcPr>
                  <w:tcW w:w="320" w:type="pct"/>
                  <w:tcBorders>
                    <w:tl2br w:val="nil"/>
                    <w:tr2bl w:val="nil"/>
                  </w:tcBorders>
                  <w:vAlign w:val="center"/>
                </w:tcPr>
                <w:p w14:paraId="738F6E61">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3</w:t>
                  </w:r>
                </w:p>
              </w:tc>
              <w:tc>
                <w:tcPr>
                  <w:tcW w:w="375" w:type="pct"/>
                  <w:tcBorders>
                    <w:tl2br w:val="nil"/>
                    <w:tr2bl w:val="nil"/>
                  </w:tcBorders>
                  <w:vAlign w:val="center"/>
                </w:tcPr>
                <w:p w14:paraId="4ABC5F54">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2EF2A0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22A51BAB">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1ED6A2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572F956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r>
                    <w:rPr>
                      <w:rFonts w:hint="default" w:ascii="Times New Roman" w:hAnsi="Times New Roman" w:eastAsia="宋体" w:cs="Times New Roman"/>
                      <w:color w:val="auto"/>
                      <w:spacing w:val="4"/>
                      <w:sz w:val="18"/>
                      <w:szCs w:val="18"/>
                    </w:rPr>
                    <w:t>丁酮</w:t>
                  </w:r>
                </w:p>
              </w:tc>
              <w:tc>
                <w:tcPr>
                  <w:tcW w:w="500" w:type="pct"/>
                  <w:tcBorders>
                    <w:tl2br w:val="nil"/>
                    <w:tr2bl w:val="nil"/>
                  </w:tcBorders>
                  <w:vAlign w:val="center"/>
                </w:tcPr>
                <w:p w14:paraId="6571B9E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5DA69E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6EB43F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476" w:type="pct"/>
                  <w:tcBorders>
                    <w:tl2br w:val="nil"/>
                    <w:tr2bl w:val="nil"/>
                  </w:tcBorders>
                  <w:vAlign w:val="center"/>
                </w:tcPr>
                <w:p w14:paraId="5AA863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50" w:type="pct"/>
                  <w:tcBorders>
                    <w:tl2br w:val="nil"/>
                    <w:tr2bl w:val="nil"/>
                  </w:tcBorders>
                  <w:vAlign w:val="center"/>
                </w:tcPr>
                <w:p w14:paraId="6E4933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84" w:type="pct"/>
                  <w:tcBorders>
                    <w:tl2br w:val="nil"/>
                    <w:tr2bl w:val="nil"/>
                  </w:tcBorders>
                  <w:vAlign w:val="center"/>
                </w:tcPr>
                <w:p w14:paraId="6F1232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5D83CB1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80</w:t>
                  </w:r>
                </w:p>
              </w:tc>
              <w:tc>
                <w:tcPr>
                  <w:tcW w:w="375" w:type="pct"/>
                  <w:tcBorders>
                    <w:tl2br w:val="nil"/>
                    <w:tr2bl w:val="nil"/>
                  </w:tcBorders>
                  <w:vAlign w:val="center"/>
                </w:tcPr>
                <w:p w14:paraId="6E2E3A53">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05C31D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4011BBC3">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4160DF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39539C0D">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p>
              </w:tc>
              <w:tc>
                <w:tcPr>
                  <w:tcW w:w="500" w:type="pct"/>
                  <w:tcBorders>
                    <w:tl2br w:val="nil"/>
                    <w:tr2bl w:val="nil"/>
                  </w:tcBorders>
                  <w:vAlign w:val="center"/>
                </w:tcPr>
                <w:p w14:paraId="2F52AD5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3AF50C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68295D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476" w:type="pct"/>
                  <w:tcBorders>
                    <w:tl2br w:val="nil"/>
                    <w:tr2bl w:val="nil"/>
                  </w:tcBorders>
                  <w:vAlign w:val="center"/>
                </w:tcPr>
                <w:p w14:paraId="5A79FF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50" w:type="pct"/>
                  <w:tcBorders>
                    <w:tl2br w:val="nil"/>
                    <w:tr2bl w:val="nil"/>
                  </w:tcBorders>
                  <w:vAlign w:val="center"/>
                </w:tcPr>
                <w:p w14:paraId="42DF3B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84" w:type="pct"/>
                  <w:tcBorders>
                    <w:tl2br w:val="nil"/>
                    <w:tr2bl w:val="nil"/>
                  </w:tcBorders>
                  <w:vAlign w:val="center"/>
                </w:tcPr>
                <w:p w14:paraId="54329A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071D11F9">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w:t>
                  </w:r>
                </w:p>
              </w:tc>
              <w:tc>
                <w:tcPr>
                  <w:tcW w:w="375" w:type="pct"/>
                  <w:tcBorders>
                    <w:tl2br w:val="nil"/>
                    <w:tr2bl w:val="nil"/>
                  </w:tcBorders>
                  <w:vAlign w:val="center"/>
                </w:tcPr>
                <w:p w14:paraId="78EE9E4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lang w:val="en-US" w:eastAsia="zh-CN"/>
                    </w:rPr>
                    <w:t>/</w:t>
                  </w:r>
                </w:p>
              </w:tc>
            </w:tr>
            <w:tr w14:paraId="0C49EF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33CA6CAC">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2FE1C9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31E6D859">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r>
                    <w:rPr>
                      <w:rFonts w:hint="default" w:ascii="Times New Roman" w:hAnsi="Times New Roman" w:eastAsia="宋体" w:cs="Times New Roman"/>
                      <w:color w:val="auto"/>
                      <w:spacing w:val="4"/>
                      <w:sz w:val="18"/>
                      <w:szCs w:val="18"/>
                    </w:rPr>
                    <w:t>颗粒物</w:t>
                  </w:r>
                </w:p>
              </w:tc>
              <w:tc>
                <w:tcPr>
                  <w:tcW w:w="500" w:type="pct"/>
                  <w:tcBorders>
                    <w:tl2br w:val="nil"/>
                    <w:tr2bl w:val="nil"/>
                  </w:tcBorders>
                  <w:vAlign w:val="center"/>
                </w:tcPr>
                <w:p w14:paraId="16D25FBB">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06BC09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3D4262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3.2</w:t>
                  </w:r>
                </w:p>
              </w:tc>
              <w:tc>
                <w:tcPr>
                  <w:tcW w:w="476" w:type="pct"/>
                  <w:tcBorders>
                    <w:tl2br w:val="nil"/>
                    <w:tr2bl w:val="nil"/>
                  </w:tcBorders>
                  <w:vAlign w:val="center"/>
                </w:tcPr>
                <w:p w14:paraId="658F0C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3.6</w:t>
                  </w:r>
                </w:p>
              </w:tc>
              <w:tc>
                <w:tcPr>
                  <w:tcW w:w="550" w:type="pct"/>
                  <w:tcBorders>
                    <w:tl2br w:val="nil"/>
                    <w:tr2bl w:val="nil"/>
                  </w:tcBorders>
                  <w:vAlign w:val="center"/>
                </w:tcPr>
                <w:p w14:paraId="4DCFF2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3.5</w:t>
                  </w:r>
                </w:p>
              </w:tc>
              <w:tc>
                <w:tcPr>
                  <w:tcW w:w="584" w:type="pct"/>
                  <w:tcBorders>
                    <w:tl2br w:val="nil"/>
                    <w:tr2bl w:val="nil"/>
                  </w:tcBorders>
                  <w:vAlign w:val="center"/>
                </w:tcPr>
                <w:p w14:paraId="6F2E5F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 xml:space="preserve">3.43 </w:t>
                  </w:r>
                </w:p>
              </w:tc>
              <w:tc>
                <w:tcPr>
                  <w:tcW w:w="320" w:type="pct"/>
                  <w:tcBorders>
                    <w:tl2br w:val="nil"/>
                    <w:tr2bl w:val="nil"/>
                  </w:tcBorders>
                  <w:vAlign w:val="center"/>
                </w:tcPr>
                <w:p w14:paraId="5EAD70E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20</w:t>
                  </w:r>
                </w:p>
              </w:tc>
              <w:tc>
                <w:tcPr>
                  <w:tcW w:w="375" w:type="pct"/>
                  <w:tcBorders>
                    <w:tl2br w:val="nil"/>
                    <w:tr2bl w:val="nil"/>
                  </w:tcBorders>
                  <w:vAlign w:val="center"/>
                </w:tcPr>
                <w:p w14:paraId="1A5EF16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117190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1EFBBB86">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71E48A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5CD53AD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p>
              </w:tc>
              <w:tc>
                <w:tcPr>
                  <w:tcW w:w="500" w:type="pct"/>
                  <w:tcBorders>
                    <w:tl2br w:val="nil"/>
                    <w:tr2bl w:val="nil"/>
                  </w:tcBorders>
                  <w:vAlign w:val="center"/>
                </w:tcPr>
                <w:p w14:paraId="46CCB6FC">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285C36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0CD771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0.13</w:t>
                  </w:r>
                </w:p>
              </w:tc>
              <w:tc>
                <w:tcPr>
                  <w:tcW w:w="476" w:type="pct"/>
                  <w:tcBorders>
                    <w:tl2br w:val="nil"/>
                    <w:tr2bl w:val="nil"/>
                  </w:tcBorders>
                  <w:vAlign w:val="center"/>
                </w:tcPr>
                <w:p w14:paraId="774E7E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0.15</w:t>
                  </w:r>
                </w:p>
              </w:tc>
              <w:tc>
                <w:tcPr>
                  <w:tcW w:w="550" w:type="pct"/>
                  <w:tcBorders>
                    <w:tl2br w:val="nil"/>
                    <w:tr2bl w:val="nil"/>
                  </w:tcBorders>
                  <w:vAlign w:val="center"/>
                </w:tcPr>
                <w:p w14:paraId="225463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0. 14</w:t>
                  </w:r>
                </w:p>
              </w:tc>
              <w:tc>
                <w:tcPr>
                  <w:tcW w:w="584" w:type="pct"/>
                  <w:tcBorders>
                    <w:tl2br w:val="nil"/>
                    <w:tr2bl w:val="nil"/>
                  </w:tcBorders>
                  <w:vAlign w:val="center"/>
                </w:tcPr>
                <w:p w14:paraId="7F9338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0.14</w:t>
                  </w:r>
                </w:p>
              </w:tc>
              <w:tc>
                <w:tcPr>
                  <w:tcW w:w="320" w:type="pct"/>
                  <w:tcBorders>
                    <w:tl2br w:val="nil"/>
                    <w:tr2bl w:val="nil"/>
                  </w:tcBorders>
                  <w:vAlign w:val="center"/>
                </w:tcPr>
                <w:p w14:paraId="6959946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1</w:t>
                  </w:r>
                </w:p>
              </w:tc>
              <w:tc>
                <w:tcPr>
                  <w:tcW w:w="375" w:type="pct"/>
                  <w:tcBorders>
                    <w:tl2br w:val="nil"/>
                    <w:tr2bl w:val="nil"/>
                  </w:tcBorders>
                  <w:vAlign w:val="center"/>
                </w:tcPr>
                <w:p w14:paraId="520DCE26">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40A550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5E459CBD">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5A4339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7912A811">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r>
                    <w:rPr>
                      <w:rFonts w:hint="default" w:ascii="Times New Roman" w:hAnsi="Times New Roman" w:eastAsia="宋体" w:cs="Times New Roman"/>
                      <w:color w:val="auto"/>
                      <w:spacing w:val="4"/>
                      <w:sz w:val="18"/>
                      <w:szCs w:val="18"/>
                    </w:rPr>
                    <w:t>二氧化硫</w:t>
                  </w:r>
                </w:p>
              </w:tc>
              <w:tc>
                <w:tcPr>
                  <w:tcW w:w="500" w:type="pct"/>
                  <w:tcBorders>
                    <w:tl2br w:val="nil"/>
                    <w:tr2bl w:val="nil"/>
                  </w:tcBorders>
                  <w:vAlign w:val="center"/>
                </w:tcPr>
                <w:p w14:paraId="3C902F62">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5A2C26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458488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3</w:t>
                  </w:r>
                </w:p>
              </w:tc>
              <w:tc>
                <w:tcPr>
                  <w:tcW w:w="476" w:type="pct"/>
                  <w:tcBorders>
                    <w:tl2br w:val="nil"/>
                    <w:tr2bl w:val="nil"/>
                  </w:tcBorders>
                  <w:vAlign w:val="center"/>
                </w:tcPr>
                <w:p w14:paraId="2D1904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3</w:t>
                  </w:r>
                </w:p>
              </w:tc>
              <w:tc>
                <w:tcPr>
                  <w:tcW w:w="550" w:type="pct"/>
                  <w:tcBorders>
                    <w:tl2br w:val="nil"/>
                    <w:tr2bl w:val="nil"/>
                  </w:tcBorders>
                  <w:vAlign w:val="center"/>
                </w:tcPr>
                <w:p w14:paraId="060925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3</w:t>
                  </w:r>
                </w:p>
              </w:tc>
              <w:tc>
                <w:tcPr>
                  <w:tcW w:w="584" w:type="pct"/>
                  <w:tcBorders>
                    <w:tl2br w:val="nil"/>
                    <w:tr2bl w:val="nil"/>
                  </w:tcBorders>
                  <w:vAlign w:val="center"/>
                </w:tcPr>
                <w:p w14:paraId="6FEDBC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3</w:t>
                  </w:r>
                </w:p>
              </w:tc>
              <w:tc>
                <w:tcPr>
                  <w:tcW w:w="320" w:type="pct"/>
                  <w:tcBorders>
                    <w:tl2br w:val="nil"/>
                    <w:tr2bl w:val="nil"/>
                  </w:tcBorders>
                  <w:vAlign w:val="center"/>
                </w:tcPr>
                <w:p w14:paraId="78D8068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200</w:t>
                  </w:r>
                </w:p>
              </w:tc>
              <w:tc>
                <w:tcPr>
                  <w:tcW w:w="375" w:type="pct"/>
                  <w:tcBorders>
                    <w:tl2br w:val="nil"/>
                    <w:tr2bl w:val="nil"/>
                  </w:tcBorders>
                  <w:vAlign w:val="center"/>
                </w:tcPr>
                <w:p w14:paraId="2967C95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5F35E0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3454B0A6">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18B883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33E9B97D">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p>
              </w:tc>
              <w:tc>
                <w:tcPr>
                  <w:tcW w:w="500" w:type="pct"/>
                  <w:tcBorders>
                    <w:tl2br w:val="nil"/>
                    <w:tr2bl w:val="nil"/>
                  </w:tcBorders>
                  <w:vAlign w:val="center"/>
                </w:tcPr>
                <w:p w14:paraId="148B281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排放速率</w:t>
                  </w:r>
                </w:p>
              </w:tc>
              <w:tc>
                <w:tcPr>
                  <w:tcW w:w="402" w:type="pct"/>
                  <w:tcBorders>
                    <w:tl2br w:val="nil"/>
                    <w:tr2bl w:val="nil"/>
                  </w:tcBorders>
                  <w:vAlign w:val="center"/>
                </w:tcPr>
                <w:p w14:paraId="3D8CB8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16FE91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0. 12</w:t>
                  </w:r>
                </w:p>
              </w:tc>
              <w:tc>
                <w:tcPr>
                  <w:tcW w:w="476" w:type="pct"/>
                  <w:tcBorders>
                    <w:tl2br w:val="nil"/>
                    <w:tr2bl w:val="nil"/>
                  </w:tcBorders>
                  <w:vAlign w:val="center"/>
                </w:tcPr>
                <w:p w14:paraId="6AFF5D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0. 12</w:t>
                  </w:r>
                </w:p>
              </w:tc>
              <w:tc>
                <w:tcPr>
                  <w:tcW w:w="550" w:type="pct"/>
                  <w:tcBorders>
                    <w:tl2br w:val="nil"/>
                    <w:tr2bl w:val="nil"/>
                  </w:tcBorders>
                  <w:vAlign w:val="center"/>
                </w:tcPr>
                <w:p w14:paraId="56734F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0. 12</w:t>
                  </w:r>
                </w:p>
              </w:tc>
              <w:tc>
                <w:tcPr>
                  <w:tcW w:w="584" w:type="pct"/>
                  <w:tcBorders>
                    <w:tl2br w:val="nil"/>
                    <w:tr2bl w:val="nil"/>
                  </w:tcBorders>
                  <w:vAlign w:val="center"/>
                </w:tcPr>
                <w:p w14:paraId="7E9BCD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3A282BF9">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1.4</w:t>
                  </w:r>
                </w:p>
              </w:tc>
              <w:tc>
                <w:tcPr>
                  <w:tcW w:w="375" w:type="pct"/>
                  <w:tcBorders>
                    <w:tl2br w:val="nil"/>
                    <w:tr2bl w:val="nil"/>
                  </w:tcBorders>
                  <w:vAlign w:val="center"/>
                </w:tcPr>
                <w:p w14:paraId="1879378D">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3D3D24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378A426F">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35ABBE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restart"/>
                  <w:tcBorders>
                    <w:tl2br w:val="nil"/>
                    <w:tr2bl w:val="nil"/>
                  </w:tcBorders>
                  <w:vAlign w:val="center"/>
                </w:tcPr>
                <w:p w14:paraId="090134CC">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r>
                    <w:rPr>
                      <w:rFonts w:hint="default" w:ascii="Times New Roman" w:hAnsi="Times New Roman" w:eastAsia="宋体" w:cs="Times New Roman"/>
                      <w:color w:val="auto"/>
                      <w:spacing w:val="4"/>
                      <w:sz w:val="18"/>
                      <w:szCs w:val="18"/>
                    </w:rPr>
                    <w:t>氮氧化物</w:t>
                  </w:r>
                </w:p>
              </w:tc>
              <w:tc>
                <w:tcPr>
                  <w:tcW w:w="500" w:type="pct"/>
                  <w:tcBorders>
                    <w:tl2br w:val="nil"/>
                    <w:tr2bl w:val="nil"/>
                  </w:tcBorders>
                  <w:vAlign w:val="center"/>
                </w:tcPr>
                <w:p w14:paraId="106B9C49">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3E3A6D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24E6C1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476" w:type="pct"/>
                  <w:tcBorders>
                    <w:tl2br w:val="nil"/>
                    <w:tr2bl w:val="nil"/>
                  </w:tcBorders>
                  <w:vAlign w:val="center"/>
                </w:tcPr>
                <w:p w14:paraId="412FD7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50" w:type="pct"/>
                  <w:tcBorders>
                    <w:tl2br w:val="nil"/>
                    <w:tr2bl w:val="nil"/>
                  </w:tcBorders>
                  <w:vAlign w:val="center"/>
                </w:tcPr>
                <w:p w14:paraId="0298DF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rPr>
                  </w:pPr>
                  <w:r>
                    <w:rPr>
                      <w:rFonts w:hint="default" w:ascii="Times New Roman" w:hAnsi="Times New Roman" w:eastAsia="宋体" w:cs="Times New Roman"/>
                      <w:color w:val="auto"/>
                      <w:spacing w:val="3"/>
                      <w:sz w:val="18"/>
                      <w:szCs w:val="18"/>
                    </w:rPr>
                    <w:t>ND</w:t>
                  </w:r>
                </w:p>
              </w:tc>
              <w:tc>
                <w:tcPr>
                  <w:tcW w:w="584" w:type="pct"/>
                  <w:tcBorders>
                    <w:tl2br w:val="nil"/>
                    <w:tr2bl w:val="nil"/>
                  </w:tcBorders>
                  <w:vAlign w:val="center"/>
                </w:tcPr>
                <w:p w14:paraId="425C45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631AA3F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100</w:t>
                  </w:r>
                </w:p>
              </w:tc>
              <w:tc>
                <w:tcPr>
                  <w:tcW w:w="375" w:type="pct"/>
                  <w:tcBorders>
                    <w:tl2br w:val="nil"/>
                    <w:tr2bl w:val="nil"/>
                  </w:tcBorders>
                  <w:vAlign w:val="center"/>
                </w:tcPr>
                <w:p w14:paraId="3595E84D">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2C9FD7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2AE99C20">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3AB2F8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7DD1A3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7"/>
                      <w:sz w:val="18"/>
                      <w:szCs w:val="18"/>
                    </w:rPr>
                  </w:pPr>
                </w:p>
              </w:tc>
              <w:tc>
                <w:tcPr>
                  <w:tcW w:w="500" w:type="pct"/>
                  <w:tcBorders>
                    <w:tl2br w:val="nil"/>
                    <w:tr2bl w:val="nil"/>
                  </w:tcBorders>
                  <w:vAlign w:val="center"/>
                </w:tcPr>
                <w:p w14:paraId="3519AAF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排放</w:t>
                  </w:r>
                  <w:r>
                    <w:rPr>
                      <w:rFonts w:hint="default" w:ascii="Times New Roman" w:hAnsi="Times New Roman" w:eastAsia="宋体" w:cs="Times New Roman"/>
                      <w:color w:val="auto"/>
                      <w:spacing w:val="5"/>
                      <w:sz w:val="18"/>
                      <w:szCs w:val="18"/>
                    </w:rPr>
                    <w:t>速率</w:t>
                  </w:r>
                </w:p>
              </w:tc>
              <w:tc>
                <w:tcPr>
                  <w:tcW w:w="402" w:type="pct"/>
                  <w:tcBorders>
                    <w:tl2br w:val="nil"/>
                    <w:tr2bl w:val="nil"/>
                  </w:tcBorders>
                  <w:vAlign w:val="center"/>
                </w:tcPr>
                <w:p w14:paraId="1DD436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1E0065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476" w:type="pct"/>
                  <w:tcBorders>
                    <w:tl2br w:val="nil"/>
                    <w:tr2bl w:val="nil"/>
                  </w:tcBorders>
                  <w:vAlign w:val="center"/>
                </w:tcPr>
                <w:p w14:paraId="28CAC1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50" w:type="pct"/>
                  <w:tcBorders>
                    <w:tl2br w:val="nil"/>
                    <w:tr2bl w:val="nil"/>
                  </w:tcBorders>
                  <w:vAlign w:val="center"/>
                </w:tcPr>
                <w:p w14:paraId="5F7243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eastAsia="宋体" w:cs="Times New Roman"/>
                      <w:color w:val="auto"/>
                      <w:spacing w:val="3"/>
                      <w:sz w:val="18"/>
                      <w:szCs w:val="18"/>
                      <w:lang w:val="en-US" w:eastAsia="zh-CN"/>
                    </w:rPr>
                    <w:t>/</w:t>
                  </w:r>
                </w:p>
              </w:tc>
              <w:tc>
                <w:tcPr>
                  <w:tcW w:w="584" w:type="pct"/>
                  <w:tcBorders>
                    <w:tl2br w:val="nil"/>
                    <w:tr2bl w:val="nil"/>
                  </w:tcBorders>
                  <w:vAlign w:val="center"/>
                </w:tcPr>
                <w:p w14:paraId="4D565D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w:t>
                  </w:r>
                </w:p>
              </w:tc>
              <w:tc>
                <w:tcPr>
                  <w:tcW w:w="320" w:type="pct"/>
                  <w:tcBorders>
                    <w:tl2br w:val="nil"/>
                    <w:tr2bl w:val="nil"/>
                  </w:tcBorders>
                  <w:vAlign w:val="center"/>
                </w:tcPr>
                <w:p w14:paraId="14B6FC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0.47</w:t>
                  </w:r>
                </w:p>
              </w:tc>
              <w:tc>
                <w:tcPr>
                  <w:tcW w:w="375" w:type="pct"/>
                  <w:tcBorders>
                    <w:tl2br w:val="nil"/>
                    <w:tr2bl w:val="nil"/>
                  </w:tcBorders>
                  <w:vAlign w:val="center"/>
                </w:tcPr>
                <w:p w14:paraId="1E7FEA2F">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合格</w:t>
                  </w:r>
                </w:p>
              </w:tc>
            </w:tr>
            <w:tr w14:paraId="548267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restart"/>
                  <w:tcBorders>
                    <w:tl2br w:val="nil"/>
                    <w:tr2bl w:val="nil"/>
                  </w:tcBorders>
                  <w:vAlign w:val="center"/>
                </w:tcPr>
                <w:p w14:paraId="030E672D">
                  <w:pPr>
                    <w:pStyle w:val="167"/>
                    <w:autoSpaceDE/>
                    <w:autoSpaceDN/>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lang w:val="en-US" w:eastAsia="zh-CN"/>
                    </w:rPr>
                    <w:t>P3</w:t>
                  </w:r>
                  <w:r>
                    <w:rPr>
                      <w:rFonts w:hint="default" w:ascii="Times New Roman" w:hAnsi="Times New Roman" w:eastAsia="宋体" w:cs="Times New Roman"/>
                      <w:color w:val="auto"/>
                      <w:spacing w:val="5"/>
                      <w:sz w:val="18"/>
                      <w:szCs w:val="18"/>
                    </w:rPr>
                    <w:t>排气筒（</w:t>
                  </w:r>
                  <w:r>
                    <w:rPr>
                      <w:rFonts w:hint="default" w:ascii="Times New Roman" w:hAnsi="Times New Roman" w:eastAsia="宋体" w:cs="Times New Roman"/>
                      <w:color w:val="auto"/>
                      <w:spacing w:val="5"/>
                      <w:sz w:val="18"/>
                      <w:szCs w:val="18"/>
                      <w:lang w:val="en-US" w:eastAsia="zh-CN"/>
                    </w:rPr>
                    <w:t>危废库</w:t>
                  </w:r>
                  <w:r>
                    <w:rPr>
                      <w:rFonts w:hint="default" w:ascii="Times New Roman" w:hAnsi="Times New Roman" w:eastAsia="宋体" w:cs="Times New Roman"/>
                      <w:color w:val="auto"/>
                      <w:sz w:val="18"/>
                      <w:szCs w:val="18"/>
                    </w:rPr>
                    <w:t>）</w:t>
                  </w:r>
                </w:p>
              </w:tc>
              <w:tc>
                <w:tcPr>
                  <w:tcW w:w="452" w:type="pct"/>
                  <w:vMerge w:val="restart"/>
                  <w:tcBorders>
                    <w:tl2br w:val="nil"/>
                    <w:tr2bl w:val="nil"/>
                  </w:tcBorders>
                  <w:vAlign w:val="center"/>
                </w:tcPr>
                <w:p w14:paraId="21466F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lang w:eastAsia="en-US"/>
                    </w:rPr>
                    <w:t>20</w:t>
                  </w:r>
                  <w:r>
                    <w:rPr>
                      <w:rFonts w:hint="default" w:ascii="Times New Roman" w:hAnsi="Times New Roman" w:eastAsia="宋体" w:cs="Times New Roman"/>
                      <w:color w:val="auto"/>
                      <w:spacing w:val="3"/>
                      <w:sz w:val="18"/>
                      <w:szCs w:val="18"/>
                      <w:lang w:val="en-US" w:eastAsia="zh-CN"/>
                    </w:rPr>
                    <w:t>25.7.17</w:t>
                  </w:r>
                </w:p>
              </w:tc>
              <w:tc>
                <w:tcPr>
                  <w:tcW w:w="381" w:type="pct"/>
                  <w:vMerge w:val="restart"/>
                  <w:tcBorders>
                    <w:tl2br w:val="nil"/>
                    <w:tr2bl w:val="nil"/>
                  </w:tcBorders>
                  <w:vAlign w:val="center"/>
                </w:tcPr>
                <w:p w14:paraId="18ADA8A5">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非甲烷总烃</w:t>
                  </w:r>
                </w:p>
              </w:tc>
              <w:tc>
                <w:tcPr>
                  <w:tcW w:w="500" w:type="pct"/>
                  <w:tcBorders>
                    <w:tl2br w:val="nil"/>
                    <w:tr2bl w:val="nil"/>
                  </w:tcBorders>
                  <w:vAlign w:val="center"/>
                </w:tcPr>
                <w:p w14:paraId="7571D920">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677E96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6098A1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2.51</w:t>
                  </w:r>
                </w:p>
              </w:tc>
              <w:tc>
                <w:tcPr>
                  <w:tcW w:w="476" w:type="pct"/>
                  <w:tcBorders>
                    <w:tl2br w:val="nil"/>
                    <w:tr2bl w:val="nil"/>
                  </w:tcBorders>
                  <w:vAlign w:val="center"/>
                </w:tcPr>
                <w:p w14:paraId="4BD689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2.36</w:t>
                  </w:r>
                </w:p>
              </w:tc>
              <w:tc>
                <w:tcPr>
                  <w:tcW w:w="550" w:type="pct"/>
                  <w:tcBorders>
                    <w:tl2br w:val="nil"/>
                    <w:tr2bl w:val="nil"/>
                  </w:tcBorders>
                  <w:vAlign w:val="center"/>
                </w:tcPr>
                <w:p w14:paraId="28B4AF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2.08</w:t>
                  </w:r>
                </w:p>
              </w:tc>
              <w:tc>
                <w:tcPr>
                  <w:tcW w:w="584" w:type="pct"/>
                  <w:tcBorders>
                    <w:tl2br w:val="nil"/>
                    <w:tr2bl w:val="nil"/>
                  </w:tcBorders>
                  <w:vAlign w:val="center"/>
                </w:tcPr>
                <w:p w14:paraId="511C33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2.32</w:t>
                  </w:r>
                </w:p>
              </w:tc>
              <w:tc>
                <w:tcPr>
                  <w:tcW w:w="320" w:type="pct"/>
                  <w:tcBorders>
                    <w:tl2br w:val="nil"/>
                    <w:tr2bl w:val="nil"/>
                  </w:tcBorders>
                  <w:vAlign w:val="center"/>
                </w:tcPr>
                <w:p w14:paraId="4BC378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w:t>
                  </w:r>
                </w:p>
              </w:tc>
              <w:tc>
                <w:tcPr>
                  <w:tcW w:w="375" w:type="pct"/>
                  <w:tcBorders>
                    <w:tl2br w:val="nil"/>
                    <w:tr2bl w:val="nil"/>
                  </w:tcBorders>
                  <w:vAlign w:val="center"/>
                </w:tcPr>
                <w:p w14:paraId="03E19D7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合格</w:t>
                  </w:r>
                </w:p>
              </w:tc>
            </w:tr>
            <w:tr w14:paraId="248F30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1CCA1902">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5CDA0F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3159B8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500" w:type="pct"/>
                  <w:tcBorders>
                    <w:tl2br w:val="nil"/>
                    <w:tr2bl w:val="nil"/>
                  </w:tcBorders>
                  <w:vAlign w:val="center"/>
                </w:tcPr>
                <w:p w14:paraId="58F6501F">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排放</w:t>
                  </w:r>
                  <w:r>
                    <w:rPr>
                      <w:rFonts w:hint="default" w:ascii="Times New Roman" w:hAnsi="Times New Roman" w:eastAsia="宋体" w:cs="Times New Roman"/>
                      <w:color w:val="auto"/>
                      <w:spacing w:val="5"/>
                      <w:sz w:val="18"/>
                      <w:szCs w:val="18"/>
                    </w:rPr>
                    <w:t>速率</w:t>
                  </w:r>
                </w:p>
              </w:tc>
              <w:tc>
                <w:tcPr>
                  <w:tcW w:w="402" w:type="pct"/>
                  <w:tcBorders>
                    <w:tl2br w:val="nil"/>
                    <w:tr2bl w:val="nil"/>
                  </w:tcBorders>
                  <w:vAlign w:val="center"/>
                </w:tcPr>
                <w:p w14:paraId="2921BF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1F1F78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8.5×10</w:t>
                  </w:r>
                  <w:r>
                    <w:rPr>
                      <w:rFonts w:hint="default" w:ascii="Times New Roman" w:hAnsi="Times New Roman" w:eastAsia="宋体" w:cs="Times New Roman"/>
                      <w:color w:val="auto"/>
                      <w:spacing w:val="-2"/>
                      <w:sz w:val="18"/>
                      <w:szCs w:val="18"/>
                      <w:vertAlign w:val="superscript"/>
                      <w:lang w:val="en-US" w:eastAsia="zh-CN"/>
                    </w:rPr>
                    <w:t>-4</w:t>
                  </w:r>
                </w:p>
              </w:tc>
              <w:tc>
                <w:tcPr>
                  <w:tcW w:w="476" w:type="pct"/>
                  <w:tcBorders>
                    <w:tl2br w:val="nil"/>
                    <w:tr2bl w:val="nil"/>
                  </w:tcBorders>
                  <w:vAlign w:val="center"/>
                </w:tcPr>
                <w:p w14:paraId="17494A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1. 1×10</w:t>
                  </w:r>
                  <w:r>
                    <w:rPr>
                      <w:rFonts w:hint="default" w:ascii="Times New Roman" w:hAnsi="Times New Roman" w:eastAsia="宋体" w:cs="Times New Roman"/>
                      <w:color w:val="auto"/>
                      <w:spacing w:val="-2"/>
                      <w:sz w:val="18"/>
                      <w:szCs w:val="18"/>
                      <w:vertAlign w:val="superscript"/>
                      <w:lang w:val="en-US" w:eastAsia="zh-CN"/>
                    </w:rPr>
                    <w:t>-3</w:t>
                  </w:r>
                </w:p>
              </w:tc>
              <w:tc>
                <w:tcPr>
                  <w:tcW w:w="550" w:type="pct"/>
                  <w:tcBorders>
                    <w:tl2br w:val="nil"/>
                    <w:tr2bl w:val="nil"/>
                  </w:tcBorders>
                  <w:vAlign w:val="center"/>
                </w:tcPr>
                <w:p w14:paraId="30302A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8.7×10</w:t>
                  </w:r>
                  <w:r>
                    <w:rPr>
                      <w:rFonts w:hint="default" w:ascii="Times New Roman" w:hAnsi="Times New Roman" w:eastAsia="宋体" w:cs="Times New Roman"/>
                      <w:color w:val="auto"/>
                      <w:spacing w:val="-2"/>
                      <w:sz w:val="18"/>
                      <w:szCs w:val="18"/>
                      <w:vertAlign w:val="superscript"/>
                      <w:lang w:val="en-US" w:eastAsia="zh-CN"/>
                    </w:rPr>
                    <w:t>-4</w:t>
                  </w:r>
                </w:p>
              </w:tc>
              <w:tc>
                <w:tcPr>
                  <w:tcW w:w="584" w:type="pct"/>
                  <w:tcBorders>
                    <w:tl2br w:val="nil"/>
                    <w:tr2bl w:val="nil"/>
                  </w:tcBorders>
                  <w:vAlign w:val="center"/>
                </w:tcPr>
                <w:p w14:paraId="5FCA62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9.4×10</w:t>
                  </w:r>
                  <w:r>
                    <w:rPr>
                      <w:rFonts w:hint="default" w:ascii="Times New Roman" w:hAnsi="Times New Roman" w:eastAsia="宋体" w:cs="Times New Roman"/>
                      <w:color w:val="auto"/>
                      <w:spacing w:val="-2"/>
                      <w:sz w:val="18"/>
                      <w:szCs w:val="18"/>
                      <w:vertAlign w:val="superscript"/>
                      <w:lang w:val="en-US" w:eastAsia="zh-CN"/>
                    </w:rPr>
                    <w:t>-4</w:t>
                  </w:r>
                </w:p>
              </w:tc>
              <w:tc>
                <w:tcPr>
                  <w:tcW w:w="320" w:type="pct"/>
                  <w:tcBorders>
                    <w:tl2br w:val="nil"/>
                    <w:tr2bl w:val="nil"/>
                  </w:tcBorders>
                  <w:vAlign w:val="center"/>
                </w:tcPr>
                <w:p w14:paraId="275412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375" w:type="pct"/>
                  <w:tcBorders>
                    <w:tl2br w:val="nil"/>
                    <w:tr2bl w:val="nil"/>
                  </w:tcBorders>
                  <w:vAlign w:val="center"/>
                </w:tcPr>
                <w:p w14:paraId="24FD6641">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合格</w:t>
                  </w:r>
                </w:p>
              </w:tc>
            </w:tr>
            <w:tr w14:paraId="7CBE71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76" w:type="pct"/>
                  <w:vMerge w:val="continue"/>
                  <w:tcBorders>
                    <w:tl2br w:val="nil"/>
                    <w:tr2bl w:val="nil"/>
                  </w:tcBorders>
                  <w:vAlign w:val="center"/>
                </w:tcPr>
                <w:p w14:paraId="7E3B4114">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restart"/>
                  <w:tcBorders>
                    <w:tl2br w:val="nil"/>
                    <w:tr2bl w:val="nil"/>
                  </w:tcBorders>
                  <w:vAlign w:val="center"/>
                </w:tcPr>
                <w:p w14:paraId="2DD220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pacing w:val="3"/>
                      <w:sz w:val="18"/>
                      <w:szCs w:val="18"/>
                      <w:lang w:eastAsia="en-US"/>
                    </w:rPr>
                    <w:t>20</w:t>
                  </w:r>
                  <w:r>
                    <w:rPr>
                      <w:rFonts w:hint="default" w:ascii="Times New Roman" w:hAnsi="Times New Roman" w:eastAsia="宋体" w:cs="Times New Roman"/>
                      <w:color w:val="auto"/>
                      <w:spacing w:val="3"/>
                      <w:sz w:val="18"/>
                      <w:szCs w:val="18"/>
                      <w:lang w:val="en-US" w:eastAsia="zh-CN"/>
                    </w:rPr>
                    <w:t>25.7.18</w:t>
                  </w:r>
                </w:p>
              </w:tc>
              <w:tc>
                <w:tcPr>
                  <w:tcW w:w="381" w:type="pct"/>
                  <w:vMerge w:val="restart"/>
                  <w:tcBorders>
                    <w:tl2br w:val="nil"/>
                    <w:tr2bl w:val="nil"/>
                  </w:tcBorders>
                  <w:vAlign w:val="center"/>
                </w:tcPr>
                <w:p w14:paraId="20255218">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非甲烷总烃</w:t>
                  </w:r>
                </w:p>
              </w:tc>
              <w:tc>
                <w:tcPr>
                  <w:tcW w:w="500" w:type="pct"/>
                  <w:tcBorders>
                    <w:tl2br w:val="nil"/>
                    <w:tr2bl w:val="nil"/>
                  </w:tcBorders>
                  <w:vAlign w:val="center"/>
                </w:tcPr>
                <w:p w14:paraId="2F53610A">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排放浓度</w:t>
                  </w:r>
                </w:p>
              </w:tc>
              <w:tc>
                <w:tcPr>
                  <w:tcW w:w="402" w:type="pct"/>
                  <w:tcBorders>
                    <w:tl2br w:val="nil"/>
                    <w:tr2bl w:val="nil"/>
                  </w:tcBorders>
                  <w:vAlign w:val="center"/>
                </w:tcPr>
                <w:p w14:paraId="3CDCC1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mg</w:t>
                  </w:r>
                  <w:r>
                    <w:rPr>
                      <w:rFonts w:hint="default" w:ascii="Times New Roman" w:hAnsi="Times New Roman" w:eastAsia="宋体" w:cs="Times New Roman"/>
                      <w:color w:val="auto"/>
                      <w:spacing w:val="8"/>
                      <w:sz w:val="18"/>
                      <w:szCs w:val="18"/>
                      <w:lang w:eastAsia="en-US"/>
                    </w:rPr>
                    <w:t>/m</w:t>
                  </w:r>
                  <w:r>
                    <w:rPr>
                      <w:rFonts w:hint="default" w:ascii="Times New Roman" w:hAnsi="Times New Roman" w:eastAsia="宋体" w:cs="Times New Roman"/>
                      <w:color w:val="auto"/>
                      <w:spacing w:val="8"/>
                      <w:sz w:val="18"/>
                      <w:szCs w:val="18"/>
                      <w:vertAlign w:val="superscript"/>
                      <w:lang w:val="en-US" w:eastAsia="zh-CN"/>
                    </w:rPr>
                    <w:t>3</w:t>
                  </w:r>
                </w:p>
              </w:tc>
              <w:tc>
                <w:tcPr>
                  <w:tcW w:w="479" w:type="pct"/>
                  <w:tcBorders>
                    <w:tl2br w:val="nil"/>
                    <w:tr2bl w:val="nil"/>
                  </w:tcBorders>
                  <w:vAlign w:val="center"/>
                </w:tcPr>
                <w:p w14:paraId="666937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3.66</w:t>
                  </w:r>
                </w:p>
              </w:tc>
              <w:tc>
                <w:tcPr>
                  <w:tcW w:w="476" w:type="pct"/>
                  <w:tcBorders>
                    <w:tl2br w:val="nil"/>
                    <w:tr2bl w:val="nil"/>
                  </w:tcBorders>
                  <w:vAlign w:val="center"/>
                </w:tcPr>
                <w:p w14:paraId="6738AF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3.48</w:t>
                  </w:r>
                </w:p>
              </w:tc>
              <w:tc>
                <w:tcPr>
                  <w:tcW w:w="550" w:type="pct"/>
                  <w:tcBorders>
                    <w:tl2br w:val="nil"/>
                    <w:tr2bl w:val="nil"/>
                  </w:tcBorders>
                  <w:vAlign w:val="center"/>
                </w:tcPr>
                <w:p w14:paraId="41882C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3.64</w:t>
                  </w:r>
                </w:p>
              </w:tc>
              <w:tc>
                <w:tcPr>
                  <w:tcW w:w="584" w:type="pct"/>
                  <w:tcBorders>
                    <w:tl2br w:val="nil"/>
                    <w:tr2bl w:val="nil"/>
                  </w:tcBorders>
                  <w:vAlign w:val="center"/>
                </w:tcPr>
                <w:p w14:paraId="74DDE9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3.59</w:t>
                  </w:r>
                </w:p>
              </w:tc>
              <w:tc>
                <w:tcPr>
                  <w:tcW w:w="320" w:type="pct"/>
                  <w:tcBorders>
                    <w:tl2br w:val="nil"/>
                    <w:tr2bl w:val="nil"/>
                  </w:tcBorders>
                  <w:vAlign w:val="center"/>
                </w:tcPr>
                <w:p w14:paraId="23294A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w:t>
                  </w:r>
                </w:p>
              </w:tc>
              <w:tc>
                <w:tcPr>
                  <w:tcW w:w="375" w:type="pct"/>
                  <w:tcBorders>
                    <w:tl2br w:val="nil"/>
                    <w:tr2bl w:val="nil"/>
                  </w:tcBorders>
                  <w:vAlign w:val="center"/>
                </w:tcPr>
                <w:p w14:paraId="350DE4FE">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合格</w:t>
                  </w:r>
                </w:p>
              </w:tc>
            </w:tr>
            <w:tr w14:paraId="62DF85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6" w:type="pct"/>
                  <w:vMerge w:val="continue"/>
                  <w:tcBorders>
                    <w:tl2br w:val="nil"/>
                    <w:tr2bl w:val="nil"/>
                  </w:tcBorders>
                  <w:vAlign w:val="center"/>
                </w:tcPr>
                <w:p w14:paraId="1B9B2920">
                  <w:pPr>
                    <w:autoSpaceDE/>
                    <w:autoSpaceDN/>
                    <w:spacing w:line="240" w:lineRule="auto"/>
                    <w:ind w:firstLine="0" w:firstLineChars="0"/>
                    <w:jc w:val="center"/>
                    <w:rPr>
                      <w:rFonts w:hint="default" w:ascii="Times New Roman" w:hAnsi="Times New Roman" w:eastAsia="宋体" w:cs="Times New Roman"/>
                      <w:color w:val="auto"/>
                      <w:sz w:val="18"/>
                      <w:szCs w:val="18"/>
                      <w:lang w:eastAsia="en-US"/>
                    </w:rPr>
                  </w:pPr>
                </w:p>
              </w:tc>
              <w:tc>
                <w:tcPr>
                  <w:tcW w:w="452" w:type="pct"/>
                  <w:vMerge w:val="continue"/>
                  <w:tcBorders>
                    <w:tl2br w:val="nil"/>
                    <w:tr2bl w:val="nil"/>
                  </w:tcBorders>
                  <w:vAlign w:val="center"/>
                </w:tcPr>
                <w:p w14:paraId="555B70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381" w:type="pct"/>
                  <w:vMerge w:val="continue"/>
                  <w:tcBorders>
                    <w:tl2br w:val="nil"/>
                    <w:tr2bl w:val="nil"/>
                  </w:tcBorders>
                  <w:vAlign w:val="center"/>
                </w:tcPr>
                <w:p w14:paraId="1180AD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p>
              </w:tc>
              <w:tc>
                <w:tcPr>
                  <w:tcW w:w="500" w:type="pct"/>
                  <w:tcBorders>
                    <w:tl2br w:val="nil"/>
                    <w:tr2bl w:val="nil"/>
                  </w:tcBorders>
                  <w:vAlign w:val="center"/>
                </w:tcPr>
                <w:p w14:paraId="44FCD898">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排放</w:t>
                  </w:r>
                  <w:r>
                    <w:rPr>
                      <w:rFonts w:hint="default" w:ascii="Times New Roman" w:hAnsi="Times New Roman" w:eastAsia="宋体" w:cs="Times New Roman"/>
                      <w:color w:val="auto"/>
                      <w:spacing w:val="5"/>
                      <w:sz w:val="18"/>
                      <w:szCs w:val="18"/>
                    </w:rPr>
                    <w:t>速率</w:t>
                  </w:r>
                </w:p>
              </w:tc>
              <w:tc>
                <w:tcPr>
                  <w:tcW w:w="402" w:type="pct"/>
                  <w:tcBorders>
                    <w:tl2br w:val="nil"/>
                    <w:tr2bl w:val="nil"/>
                  </w:tcBorders>
                  <w:vAlign w:val="center"/>
                </w:tcPr>
                <w:p w14:paraId="193052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en-US"/>
                    </w:rPr>
                  </w:pPr>
                  <w:r>
                    <w:rPr>
                      <w:rFonts w:hint="default" w:ascii="Times New Roman" w:hAnsi="Times New Roman" w:eastAsia="宋体" w:cs="Times New Roman"/>
                      <w:color w:val="auto"/>
                      <w:sz w:val="18"/>
                      <w:szCs w:val="18"/>
                      <w:lang w:eastAsia="en-US"/>
                    </w:rPr>
                    <w:t>kg</w:t>
                  </w:r>
                  <w:r>
                    <w:rPr>
                      <w:rFonts w:hint="default" w:ascii="Times New Roman" w:hAnsi="Times New Roman" w:eastAsia="宋体" w:cs="Times New Roman"/>
                      <w:color w:val="auto"/>
                      <w:spacing w:val="6"/>
                      <w:sz w:val="18"/>
                      <w:szCs w:val="18"/>
                      <w:lang w:eastAsia="en-US"/>
                    </w:rPr>
                    <w:t>/h</w:t>
                  </w:r>
                </w:p>
              </w:tc>
              <w:tc>
                <w:tcPr>
                  <w:tcW w:w="479" w:type="pct"/>
                  <w:tcBorders>
                    <w:tl2br w:val="nil"/>
                    <w:tr2bl w:val="nil"/>
                  </w:tcBorders>
                  <w:vAlign w:val="center"/>
                </w:tcPr>
                <w:p w14:paraId="04E269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2.0×10</w:t>
                  </w:r>
                  <w:r>
                    <w:rPr>
                      <w:rFonts w:hint="default" w:ascii="Times New Roman" w:hAnsi="Times New Roman" w:eastAsia="宋体" w:cs="Times New Roman"/>
                      <w:color w:val="auto"/>
                      <w:spacing w:val="-2"/>
                      <w:sz w:val="18"/>
                      <w:szCs w:val="18"/>
                      <w:vertAlign w:val="superscript"/>
                      <w:lang w:val="en-US" w:eastAsia="zh-CN"/>
                    </w:rPr>
                    <w:t>-3</w:t>
                  </w:r>
                </w:p>
              </w:tc>
              <w:tc>
                <w:tcPr>
                  <w:tcW w:w="476" w:type="pct"/>
                  <w:tcBorders>
                    <w:tl2br w:val="nil"/>
                    <w:tr2bl w:val="nil"/>
                  </w:tcBorders>
                  <w:vAlign w:val="center"/>
                </w:tcPr>
                <w:p w14:paraId="27A5A8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1.9×10</w:t>
                  </w:r>
                  <w:r>
                    <w:rPr>
                      <w:rFonts w:hint="default" w:ascii="Times New Roman" w:hAnsi="Times New Roman" w:eastAsia="宋体" w:cs="Times New Roman"/>
                      <w:color w:val="auto"/>
                      <w:spacing w:val="-2"/>
                      <w:sz w:val="18"/>
                      <w:szCs w:val="18"/>
                      <w:vertAlign w:val="superscript"/>
                      <w:lang w:val="en-US" w:eastAsia="zh-CN"/>
                    </w:rPr>
                    <w:t>-3</w:t>
                  </w:r>
                </w:p>
              </w:tc>
              <w:tc>
                <w:tcPr>
                  <w:tcW w:w="550" w:type="pct"/>
                  <w:tcBorders>
                    <w:tl2br w:val="nil"/>
                    <w:tr2bl w:val="nil"/>
                  </w:tcBorders>
                  <w:vAlign w:val="center"/>
                </w:tcPr>
                <w:p w14:paraId="6AFE6D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1.8×10</w:t>
                  </w:r>
                  <w:r>
                    <w:rPr>
                      <w:rFonts w:hint="default" w:ascii="Times New Roman" w:hAnsi="Times New Roman" w:eastAsia="宋体" w:cs="Times New Roman"/>
                      <w:color w:val="auto"/>
                      <w:spacing w:val="-2"/>
                      <w:sz w:val="18"/>
                      <w:szCs w:val="18"/>
                      <w:vertAlign w:val="superscript"/>
                      <w:lang w:val="en-US" w:eastAsia="zh-CN"/>
                    </w:rPr>
                    <w:t>-3</w:t>
                  </w:r>
                </w:p>
              </w:tc>
              <w:tc>
                <w:tcPr>
                  <w:tcW w:w="584" w:type="pct"/>
                  <w:tcBorders>
                    <w:tl2br w:val="nil"/>
                    <w:tr2bl w:val="nil"/>
                  </w:tcBorders>
                  <w:vAlign w:val="center"/>
                </w:tcPr>
                <w:p w14:paraId="5F3273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sz w:val="18"/>
                      <w:szCs w:val="18"/>
                      <w:lang w:val="en-US" w:eastAsia="en-US"/>
                    </w:rPr>
                  </w:pPr>
                  <w:r>
                    <w:rPr>
                      <w:rFonts w:hint="default" w:ascii="Times New Roman" w:hAnsi="Times New Roman" w:eastAsia="宋体" w:cs="Times New Roman"/>
                      <w:color w:val="auto"/>
                      <w:spacing w:val="-2"/>
                      <w:sz w:val="18"/>
                      <w:szCs w:val="18"/>
                      <w:lang w:val="en-US" w:eastAsia="zh-CN"/>
                    </w:rPr>
                    <w:t>1.9×10</w:t>
                  </w:r>
                  <w:r>
                    <w:rPr>
                      <w:rFonts w:hint="default" w:ascii="Times New Roman" w:hAnsi="Times New Roman" w:eastAsia="宋体" w:cs="Times New Roman"/>
                      <w:color w:val="auto"/>
                      <w:spacing w:val="-2"/>
                      <w:sz w:val="18"/>
                      <w:szCs w:val="18"/>
                      <w:vertAlign w:val="superscript"/>
                      <w:lang w:val="en-US" w:eastAsia="zh-CN"/>
                    </w:rPr>
                    <w:t>-3</w:t>
                  </w:r>
                </w:p>
              </w:tc>
              <w:tc>
                <w:tcPr>
                  <w:tcW w:w="320" w:type="pct"/>
                  <w:tcBorders>
                    <w:tl2br w:val="nil"/>
                    <w:tr2bl w:val="nil"/>
                  </w:tcBorders>
                  <w:vAlign w:val="center"/>
                </w:tcPr>
                <w:p w14:paraId="3087CA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375" w:type="pct"/>
                  <w:tcBorders>
                    <w:tl2br w:val="nil"/>
                    <w:tr2bl w:val="nil"/>
                  </w:tcBorders>
                  <w:vAlign w:val="center"/>
                </w:tcPr>
                <w:p w14:paraId="05BB10EC">
                  <w:pPr>
                    <w:pStyle w:val="16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合格</w:t>
                  </w:r>
                </w:p>
              </w:tc>
            </w:tr>
          </w:tbl>
          <w:p w14:paraId="001481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b/>
                <w:bCs/>
                <w:color w:val="auto"/>
                <w:sz w:val="18"/>
                <w:szCs w:val="18"/>
                <w:lang w:val="en-US" w:eastAsia="zh-CN"/>
              </w:rPr>
            </w:pPr>
            <w:r>
              <w:rPr>
                <w:rFonts w:hint="eastAsia"/>
                <w:b/>
                <w:bCs/>
                <w:color w:val="auto"/>
                <w:sz w:val="18"/>
                <w:szCs w:val="18"/>
                <w:lang w:val="en-US" w:eastAsia="zh-CN"/>
              </w:rPr>
              <w:t>注：根据建设单位说明RTO不补充氧气，不进行含氧量折算。</w:t>
            </w:r>
          </w:p>
          <w:p w14:paraId="2D30561B">
            <w:pPr>
              <w:ind w:firstLine="422"/>
              <w:rPr>
                <w:b/>
                <w:bCs/>
                <w:color w:val="auto"/>
              </w:rPr>
            </w:pPr>
            <w:r>
              <w:rPr>
                <w:rFonts w:hint="eastAsia"/>
                <w:b/>
                <w:bCs/>
                <w:color w:val="auto"/>
              </w:rPr>
              <w:t>③噪声</w:t>
            </w:r>
          </w:p>
          <w:p w14:paraId="326426F2">
            <w:pPr>
              <w:ind w:firstLine="420"/>
              <w:rPr>
                <w:rFonts w:hint="eastAsia"/>
                <w:color w:val="auto"/>
              </w:rPr>
            </w:pPr>
            <w:r>
              <w:rPr>
                <w:rFonts w:hint="eastAsia"/>
                <w:color w:val="auto"/>
              </w:rPr>
              <w:t>现有项目</w:t>
            </w:r>
            <w:r>
              <w:rPr>
                <w:rFonts w:ascii="Times New Roman" w:hAnsi="Times New Roman"/>
                <w:b w:val="0"/>
                <w:bCs/>
                <w:color w:val="auto"/>
                <w:sz w:val="21"/>
                <w:szCs w:val="21"/>
              </w:rPr>
              <w:t>采用低噪声设备、隔声减振等措施</w:t>
            </w:r>
            <w:r>
              <w:rPr>
                <w:rFonts w:hint="eastAsia" w:ascii="Times New Roman" w:hAnsi="Times New Roman"/>
                <w:b w:val="0"/>
                <w:bCs/>
                <w:color w:val="auto"/>
                <w:sz w:val="21"/>
                <w:szCs w:val="21"/>
                <w:lang w:eastAsia="zh-CN"/>
              </w:rPr>
              <w:t>，</w:t>
            </w:r>
            <w:r>
              <w:rPr>
                <w:rFonts w:hint="eastAsia" w:ascii="Times New Roman" w:hAnsi="Times New Roman"/>
                <w:b w:val="0"/>
                <w:bCs/>
                <w:color w:val="auto"/>
                <w:sz w:val="21"/>
                <w:szCs w:val="21"/>
                <w:lang w:val="en-US" w:eastAsia="zh-CN"/>
              </w:rPr>
              <w:t>降低对周边环境的影响。</w:t>
            </w:r>
            <w:r>
              <w:rPr>
                <w:rFonts w:hint="eastAsia"/>
                <w:color w:val="auto"/>
              </w:rPr>
              <w:t>厂界达到</w:t>
            </w:r>
            <w:r>
              <w:rPr>
                <w:color w:val="auto"/>
              </w:rPr>
              <w:t>《工业企业厂界环境噪声排放标准》（GB12348-2008）中</w:t>
            </w:r>
            <w:r>
              <w:rPr>
                <w:rFonts w:hint="eastAsia"/>
                <w:color w:val="auto"/>
              </w:rPr>
              <w:t>3</w:t>
            </w:r>
            <w:r>
              <w:rPr>
                <w:color w:val="auto"/>
              </w:rPr>
              <w:t>类标准。</w:t>
            </w:r>
            <w:r>
              <w:rPr>
                <w:rFonts w:hint="eastAsia"/>
                <w:color w:val="auto"/>
                <w:lang w:val="en-US" w:eastAsia="zh-CN"/>
              </w:rPr>
              <w:t>根据自行监测数据，</w:t>
            </w:r>
            <w:r>
              <w:rPr>
                <w:rFonts w:hint="eastAsia"/>
                <w:color w:val="auto"/>
              </w:rPr>
              <w:t>监测值见表2-</w:t>
            </w:r>
            <w:r>
              <w:rPr>
                <w:rFonts w:hint="eastAsia"/>
                <w:color w:val="auto"/>
                <w:lang w:val="en-US" w:eastAsia="zh-CN"/>
              </w:rPr>
              <w:t>12</w:t>
            </w:r>
            <w:r>
              <w:rPr>
                <w:rFonts w:hint="eastAsia"/>
                <w:color w:val="auto"/>
              </w:rPr>
              <w:t>。</w:t>
            </w:r>
          </w:p>
          <w:p w14:paraId="60DABEA0">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12</w:t>
            </w:r>
            <w:r>
              <w:rPr>
                <w:rFonts w:hint="eastAsia" w:ascii="Times New Roman" w:hAnsi="Times New Roman" w:eastAsia="宋体" w:cs="Times New Roman"/>
                <w:b/>
                <w:color w:val="auto"/>
                <w:sz w:val="21"/>
                <w:szCs w:val="21"/>
                <w:highlight w:val="none"/>
                <w:lang w:val="en-US" w:eastAsia="zh-CN"/>
              </w:rPr>
              <w:t xml:space="preserve"> 现有噪声监测数据</w:t>
            </w:r>
          </w:p>
          <w:tbl>
            <w:tblPr>
              <w:tblStyle w:val="15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32"/>
              <w:gridCol w:w="1703"/>
              <w:gridCol w:w="1360"/>
              <w:gridCol w:w="601"/>
              <w:gridCol w:w="1199"/>
              <w:gridCol w:w="1200"/>
              <w:gridCol w:w="1175"/>
            </w:tblGrid>
            <w:tr w14:paraId="5A20FE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tcBorders>
                    <w:tl2br w:val="nil"/>
                    <w:tr2bl w:val="nil"/>
                  </w:tcBorders>
                  <w:shd w:val="clear" w:color="auto" w:fill="D7D7D7" w:themeFill="background1" w:themeFillShade="D8"/>
                  <w:vAlign w:val="center"/>
                </w:tcPr>
                <w:p w14:paraId="3A033D1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b/>
                      <w:bCs/>
                      <w:color w:val="auto"/>
                      <w:spacing w:val="6"/>
                      <w:sz w:val="18"/>
                      <w:szCs w:val="18"/>
                    </w:rPr>
                    <w:t>监测点位</w:t>
                  </w:r>
                </w:p>
              </w:tc>
              <w:tc>
                <w:tcPr>
                  <w:tcW w:w="1017" w:type="pct"/>
                  <w:tcBorders>
                    <w:tl2br w:val="nil"/>
                    <w:tr2bl w:val="nil"/>
                  </w:tcBorders>
                  <w:shd w:val="clear" w:color="auto" w:fill="D7D7D7" w:themeFill="background1" w:themeFillShade="D8"/>
                  <w:vAlign w:val="center"/>
                </w:tcPr>
                <w:p w14:paraId="7743372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b/>
                      <w:bCs/>
                      <w:color w:val="auto"/>
                      <w:spacing w:val="6"/>
                      <w:sz w:val="18"/>
                      <w:szCs w:val="18"/>
                    </w:rPr>
                    <w:t>测点位置</w:t>
                  </w:r>
                </w:p>
              </w:tc>
              <w:tc>
                <w:tcPr>
                  <w:tcW w:w="1171" w:type="pct"/>
                  <w:gridSpan w:val="2"/>
                  <w:tcBorders>
                    <w:tl2br w:val="nil"/>
                    <w:tr2bl w:val="nil"/>
                  </w:tcBorders>
                  <w:shd w:val="clear" w:color="auto" w:fill="D7D7D7" w:themeFill="background1" w:themeFillShade="D8"/>
                  <w:vAlign w:val="center"/>
                </w:tcPr>
                <w:p w14:paraId="074FE459">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b/>
                      <w:bCs/>
                      <w:color w:val="auto"/>
                      <w:spacing w:val="6"/>
                      <w:sz w:val="18"/>
                      <w:szCs w:val="18"/>
                    </w:rPr>
                    <w:t>监测时间</w:t>
                  </w:r>
                </w:p>
              </w:tc>
              <w:tc>
                <w:tcPr>
                  <w:tcW w:w="716" w:type="pct"/>
                  <w:tcBorders>
                    <w:tl2br w:val="nil"/>
                    <w:tr2bl w:val="nil"/>
                  </w:tcBorders>
                  <w:shd w:val="clear" w:color="auto" w:fill="D7D7D7" w:themeFill="background1" w:themeFillShade="D8"/>
                  <w:vAlign w:val="center"/>
                </w:tcPr>
                <w:p w14:paraId="3D667E0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b/>
                      <w:bCs/>
                      <w:color w:val="auto"/>
                      <w:spacing w:val="6"/>
                      <w:sz w:val="18"/>
                      <w:szCs w:val="18"/>
                    </w:rPr>
                    <w:t>监测结果</w:t>
                  </w:r>
                </w:p>
              </w:tc>
              <w:tc>
                <w:tcPr>
                  <w:tcW w:w="716" w:type="pct"/>
                  <w:tcBorders>
                    <w:tl2br w:val="nil"/>
                    <w:tr2bl w:val="nil"/>
                  </w:tcBorders>
                  <w:shd w:val="clear" w:color="auto" w:fill="D7D7D7" w:themeFill="background1" w:themeFillShade="D8"/>
                  <w:vAlign w:val="center"/>
                </w:tcPr>
                <w:p w14:paraId="7B7B1A0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b/>
                      <w:bCs/>
                      <w:color w:val="auto"/>
                      <w:spacing w:val="6"/>
                      <w:sz w:val="18"/>
                      <w:szCs w:val="18"/>
                    </w:rPr>
                    <w:t>评价标准</w:t>
                  </w:r>
                </w:p>
              </w:tc>
              <w:tc>
                <w:tcPr>
                  <w:tcW w:w="701" w:type="pct"/>
                  <w:tcBorders>
                    <w:tl2br w:val="nil"/>
                    <w:tr2bl w:val="nil"/>
                  </w:tcBorders>
                  <w:shd w:val="clear" w:color="auto" w:fill="D7D7D7" w:themeFill="background1" w:themeFillShade="D8"/>
                  <w:vAlign w:val="center"/>
                </w:tcPr>
                <w:p w14:paraId="630A789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b/>
                      <w:bCs/>
                      <w:color w:val="auto"/>
                      <w:spacing w:val="6"/>
                      <w:sz w:val="18"/>
                      <w:szCs w:val="18"/>
                    </w:rPr>
                    <w:t>达标情况</w:t>
                  </w:r>
                </w:p>
              </w:tc>
            </w:tr>
            <w:tr w14:paraId="45CFA9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restart"/>
                  <w:tcBorders>
                    <w:tl2br w:val="nil"/>
                    <w:tr2bl w:val="nil"/>
                  </w:tcBorders>
                  <w:vAlign w:val="center"/>
                </w:tcPr>
                <w:p w14:paraId="4772FEB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6"/>
                      <w:sz w:val="18"/>
                      <w:szCs w:val="18"/>
                    </w:rPr>
                    <w:t>N1</w:t>
                  </w:r>
                </w:p>
              </w:tc>
              <w:tc>
                <w:tcPr>
                  <w:tcW w:w="1017" w:type="pct"/>
                  <w:vMerge w:val="restart"/>
                  <w:tcBorders>
                    <w:tl2br w:val="nil"/>
                    <w:tr2bl w:val="nil"/>
                  </w:tcBorders>
                  <w:vAlign w:val="center"/>
                </w:tcPr>
                <w:p w14:paraId="20FAEC2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color w:val="auto"/>
                      <w:spacing w:val="7"/>
                      <w:sz w:val="18"/>
                      <w:szCs w:val="18"/>
                    </w:rPr>
                    <w:t>厂界东侧外</w:t>
                  </w:r>
                  <w:r>
                    <w:rPr>
                      <w:rFonts w:ascii="Times New Roman" w:hAnsi="Times New Roman" w:eastAsia="Times New Roman" w:cs="Times New Roman"/>
                      <w:color w:val="auto"/>
                      <w:sz w:val="18"/>
                      <w:szCs w:val="18"/>
                    </w:rPr>
                    <w:t xml:space="preserve">1m </w:t>
                  </w:r>
                </w:p>
              </w:tc>
              <w:tc>
                <w:tcPr>
                  <w:tcW w:w="812" w:type="pct"/>
                  <w:vMerge w:val="restart"/>
                  <w:tcBorders>
                    <w:tl2br w:val="nil"/>
                    <w:tr2bl w:val="nil"/>
                  </w:tcBorders>
                  <w:vAlign w:val="center"/>
                </w:tcPr>
                <w:p w14:paraId="2A014B1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2025.7.18</w:t>
                  </w:r>
                </w:p>
              </w:tc>
              <w:tc>
                <w:tcPr>
                  <w:tcW w:w="359" w:type="pct"/>
                  <w:tcBorders>
                    <w:tl2br w:val="nil"/>
                    <w:tr2bl w:val="nil"/>
                  </w:tcBorders>
                  <w:vAlign w:val="center"/>
                </w:tcPr>
                <w:p w14:paraId="5434CB8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昼间</w:t>
                  </w:r>
                </w:p>
              </w:tc>
              <w:tc>
                <w:tcPr>
                  <w:tcW w:w="716" w:type="pct"/>
                  <w:tcBorders>
                    <w:tl2br w:val="nil"/>
                    <w:tr2bl w:val="nil"/>
                  </w:tcBorders>
                  <w:vAlign w:val="center"/>
                </w:tcPr>
                <w:p w14:paraId="3FB28EB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58</w:t>
                  </w:r>
                </w:p>
              </w:tc>
              <w:tc>
                <w:tcPr>
                  <w:tcW w:w="716" w:type="pct"/>
                  <w:tcBorders>
                    <w:tl2br w:val="nil"/>
                    <w:tr2bl w:val="nil"/>
                  </w:tcBorders>
                  <w:vAlign w:val="center"/>
                </w:tcPr>
                <w:p w14:paraId="4AD4B11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65</w:t>
                  </w:r>
                </w:p>
              </w:tc>
              <w:tc>
                <w:tcPr>
                  <w:tcW w:w="701" w:type="pct"/>
                  <w:tcBorders>
                    <w:tl2br w:val="nil"/>
                    <w:tr2bl w:val="nil"/>
                  </w:tcBorders>
                  <w:vAlign w:val="center"/>
                </w:tcPr>
                <w:p w14:paraId="4D113D6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0984F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continue"/>
                  <w:tcBorders>
                    <w:tl2br w:val="nil"/>
                    <w:tr2bl w:val="nil"/>
                  </w:tcBorders>
                  <w:vAlign w:val="center"/>
                </w:tcPr>
                <w:p w14:paraId="78005A5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1017" w:type="pct"/>
                  <w:vMerge w:val="continue"/>
                  <w:tcBorders>
                    <w:tl2br w:val="nil"/>
                    <w:tr2bl w:val="nil"/>
                  </w:tcBorders>
                  <w:vAlign w:val="center"/>
                </w:tcPr>
                <w:p w14:paraId="6F9017A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812" w:type="pct"/>
                  <w:vMerge w:val="continue"/>
                  <w:tcBorders>
                    <w:tl2br w:val="nil"/>
                    <w:tr2bl w:val="nil"/>
                  </w:tcBorders>
                  <w:vAlign w:val="center"/>
                </w:tcPr>
                <w:p w14:paraId="258CE5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66D984F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3"/>
                      <w:sz w:val="18"/>
                      <w:szCs w:val="18"/>
                    </w:rPr>
                    <w:t>夜间</w:t>
                  </w:r>
                </w:p>
              </w:tc>
              <w:tc>
                <w:tcPr>
                  <w:tcW w:w="716" w:type="pct"/>
                  <w:tcBorders>
                    <w:tl2br w:val="nil"/>
                    <w:tr2bl w:val="nil"/>
                  </w:tcBorders>
                  <w:vAlign w:val="center"/>
                </w:tcPr>
                <w:p w14:paraId="294E515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47</w:t>
                  </w:r>
                </w:p>
              </w:tc>
              <w:tc>
                <w:tcPr>
                  <w:tcW w:w="716" w:type="pct"/>
                  <w:tcBorders>
                    <w:tl2br w:val="nil"/>
                    <w:tr2bl w:val="nil"/>
                  </w:tcBorders>
                  <w:vAlign w:val="center"/>
                </w:tcPr>
                <w:p w14:paraId="02A953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55</w:t>
                  </w:r>
                </w:p>
              </w:tc>
              <w:tc>
                <w:tcPr>
                  <w:tcW w:w="701" w:type="pct"/>
                  <w:tcBorders>
                    <w:tl2br w:val="nil"/>
                    <w:tr2bl w:val="nil"/>
                  </w:tcBorders>
                  <w:vAlign w:val="center"/>
                </w:tcPr>
                <w:p w14:paraId="60652F8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40B8DD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restart"/>
                  <w:tcBorders>
                    <w:tl2br w:val="nil"/>
                    <w:tr2bl w:val="nil"/>
                  </w:tcBorders>
                  <w:vAlign w:val="center"/>
                </w:tcPr>
                <w:p w14:paraId="6D1C10B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6"/>
                      <w:sz w:val="18"/>
                      <w:szCs w:val="18"/>
                    </w:rPr>
                    <w:t>N2</w:t>
                  </w:r>
                </w:p>
              </w:tc>
              <w:tc>
                <w:tcPr>
                  <w:tcW w:w="1017" w:type="pct"/>
                  <w:vMerge w:val="restart"/>
                  <w:tcBorders>
                    <w:tl2br w:val="nil"/>
                    <w:tr2bl w:val="nil"/>
                  </w:tcBorders>
                  <w:vAlign w:val="center"/>
                </w:tcPr>
                <w:p w14:paraId="1E19EAA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color w:val="auto"/>
                      <w:spacing w:val="7"/>
                      <w:sz w:val="18"/>
                      <w:szCs w:val="18"/>
                    </w:rPr>
                    <w:t>厂界南侧外</w:t>
                  </w:r>
                  <w:r>
                    <w:rPr>
                      <w:rFonts w:ascii="Times New Roman" w:hAnsi="Times New Roman" w:eastAsia="Times New Roman" w:cs="Times New Roman"/>
                      <w:color w:val="auto"/>
                      <w:sz w:val="18"/>
                      <w:szCs w:val="18"/>
                    </w:rPr>
                    <w:t xml:space="preserve">1m </w:t>
                  </w:r>
                </w:p>
              </w:tc>
              <w:tc>
                <w:tcPr>
                  <w:tcW w:w="812" w:type="pct"/>
                  <w:vMerge w:val="continue"/>
                  <w:tcBorders>
                    <w:tl2br w:val="nil"/>
                    <w:tr2bl w:val="nil"/>
                  </w:tcBorders>
                  <w:vAlign w:val="center"/>
                </w:tcPr>
                <w:p w14:paraId="3B5B57F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65402B5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昼间</w:t>
                  </w:r>
                </w:p>
              </w:tc>
              <w:tc>
                <w:tcPr>
                  <w:tcW w:w="716" w:type="pct"/>
                  <w:tcBorders>
                    <w:tl2br w:val="nil"/>
                    <w:tr2bl w:val="nil"/>
                  </w:tcBorders>
                  <w:vAlign w:val="center"/>
                </w:tcPr>
                <w:p w14:paraId="09E2D62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58</w:t>
                  </w:r>
                </w:p>
              </w:tc>
              <w:tc>
                <w:tcPr>
                  <w:tcW w:w="716" w:type="pct"/>
                  <w:tcBorders>
                    <w:tl2br w:val="nil"/>
                    <w:tr2bl w:val="nil"/>
                  </w:tcBorders>
                  <w:vAlign w:val="center"/>
                </w:tcPr>
                <w:p w14:paraId="109B0C4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65</w:t>
                  </w:r>
                </w:p>
              </w:tc>
              <w:tc>
                <w:tcPr>
                  <w:tcW w:w="701" w:type="pct"/>
                  <w:tcBorders>
                    <w:tl2br w:val="nil"/>
                    <w:tr2bl w:val="nil"/>
                  </w:tcBorders>
                  <w:vAlign w:val="center"/>
                </w:tcPr>
                <w:p w14:paraId="3383D4FC">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748CEE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continue"/>
                  <w:tcBorders>
                    <w:tl2br w:val="nil"/>
                    <w:tr2bl w:val="nil"/>
                  </w:tcBorders>
                  <w:vAlign w:val="center"/>
                </w:tcPr>
                <w:p w14:paraId="3310F99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1017" w:type="pct"/>
                  <w:vMerge w:val="continue"/>
                  <w:tcBorders>
                    <w:tl2br w:val="nil"/>
                    <w:tr2bl w:val="nil"/>
                  </w:tcBorders>
                  <w:vAlign w:val="center"/>
                </w:tcPr>
                <w:p w14:paraId="12492CD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812" w:type="pct"/>
                  <w:vMerge w:val="continue"/>
                  <w:tcBorders>
                    <w:tl2br w:val="nil"/>
                    <w:tr2bl w:val="nil"/>
                  </w:tcBorders>
                  <w:vAlign w:val="center"/>
                </w:tcPr>
                <w:p w14:paraId="6DA06FD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7FA6939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3"/>
                      <w:sz w:val="18"/>
                      <w:szCs w:val="18"/>
                    </w:rPr>
                    <w:t>夜间</w:t>
                  </w:r>
                </w:p>
              </w:tc>
              <w:tc>
                <w:tcPr>
                  <w:tcW w:w="716" w:type="pct"/>
                  <w:tcBorders>
                    <w:tl2br w:val="nil"/>
                    <w:tr2bl w:val="nil"/>
                  </w:tcBorders>
                  <w:vAlign w:val="center"/>
                </w:tcPr>
                <w:p w14:paraId="7396E1E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47</w:t>
                  </w:r>
                </w:p>
              </w:tc>
              <w:tc>
                <w:tcPr>
                  <w:tcW w:w="716" w:type="pct"/>
                  <w:tcBorders>
                    <w:tl2br w:val="nil"/>
                    <w:tr2bl w:val="nil"/>
                  </w:tcBorders>
                  <w:vAlign w:val="center"/>
                </w:tcPr>
                <w:p w14:paraId="2240B72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55</w:t>
                  </w:r>
                </w:p>
              </w:tc>
              <w:tc>
                <w:tcPr>
                  <w:tcW w:w="701" w:type="pct"/>
                  <w:tcBorders>
                    <w:tl2br w:val="nil"/>
                    <w:tr2bl w:val="nil"/>
                  </w:tcBorders>
                  <w:vAlign w:val="center"/>
                </w:tcPr>
                <w:p w14:paraId="757BD05B">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080769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restart"/>
                  <w:tcBorders>
                    <w:tl2br w:val="nil"/>
                    <w:tr2bl w:val="nil"/>
                  </w:tcBorders>
                  <w:vAlign w:val="center"/>
                </w:tcPr>
                <w:p w14:paraId="00A997B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6"/>
                      <w:sz w:val="18"/>
                      <w:szCs w:val="18"/>
                    </w:rPr>
                    <w:t>N3</w:t>
                  </w:r>
                </w:p>
              </w:tc>
              <w:tc>
                <w:tcPr>
                  <w:tcW w:w="1017" w:type="pct"/>
                  <w:vMerge w:val="restart"/>
                  <w:tcBorders>
                    <w:tl2br w:val="nil"/>
                    <w:tr2bl w:val="nil"/>
                  </w:tcBorders>
                  <w:vAlign w:val="center"/>
                </w:tcPr>
                <w:p w14:paraId="277580BA">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color w:val="auto"/>
                      <w:spacing w:val="7"/>
                      <w:sz w:val="18"/>
                      <w:szCs w:val="18"/>
                    </w:rPr>
                    <w:t>厂界西侧外</w:t>
                  </w:r>
                  <w:r>
                    <w:rPr>
                      <w:rFonts w:ascii="Times New Roman" w:hAnsi="Times New Roman" w:eastAsia="Times New Roman" w:cs="Times New Roman"/>
                      <w:color w:val="auto"/>
                      <w:sz w:val="18"/>
                      <w:szCs w:val="18"/>
                    </w:rPr>
                    <w:t xml:space="preserve">1m </w:t>
                  </w:r>
                </w:p>
              </w:tc>
              <w:tc>
                <w:tcPr>
                  <w:tcW w:w="812" w:type="pct"/>
                  <w:vMerge w:val="continue"/>
                  <w:tcBorders>
                    <w:tl2br w:val="nil"/>
                    <w:tr2bl w:val="nil"/>
                  </w:tcBorders>
                  <w:vAlign w:val="center"/>
                </w:tcPr>
                <w:p w14:paraId="24E62DC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4DF308F3">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昼间</w:t>
                  </w:r>
                </w:p>
              </w:tc>
              <w:tc>
                <w:tcPr>
                  <w:tcW w:w="716" w:type="pct"/>
                  <w:tcBorders>
                    <w:tl2br w:val="nil"/>
                    <w:tr2bl w:val="nil"/>
                  </w:tcBorders>
                  <w:vAlign w:val="center"/>
                </w:tcPr>
                <w:p w14:paraId="1AAD12F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58</w:t>
                  </w:r>
                </w:p>
              </w:tc>
              <w:tc>
                <w:tcPr>
                  <w:tcW w:w="716" w:type="pct"/>
                  <w:tcBorders>
                    <w:tl2br w:val="nil"/>
                    <w:tr2bl w:val="nil"/>
                  </w:tcBorders>
                  <w:vAlign w:val="center"/>
                </w:tcPr>
                <w:p w14:paraId="0513604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pacing w:val="1"/>
                      <w:sz w:val="18"/>
                      <w:szCs w:val="18"/>
                      <w:lang w:val="en-US" w:eastAsia="zh-CN"/>
                    </w:rPr>
                    <w:t>65</w:t>
                  </w:r>
                </w:p>
              </w:tc>
              <w:tc>
                <w:tcPr>
                  <w:tcW w:w="701" w:type="pct"/>
                  <w:tcBorders>
                    <w:tl2br w:val="nil"/>
                    <w:tr2bl w:val="nil"/>
                  </w:tcBorders>
                  <w:vAlign w:val="center"/>
                </w:tcPr>
                <w:p w14:paraId="3DE941F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52D3F8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continue"/>
                  <w:tcBorders>
                    <w:tl2br w:val="nil"/>
                    <w:tr2bl w:val="nil"/>
                  </w:tcBorders>
                  <w:vAlign w:val="center"/>
                </w:tcPr>
                <w:p w14:paraId="1D8918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1017" w:type="pct"/>
                  <w:vMerge w:val="continue"/>
                  <w:tcBorders>
                    <w:tl2br w:val="nil"/>
                    <w:tr2bl w:val="nil"/>
                  </w:tcBorders>
                  <w:vAlign w:val="center"/>
                </w:tcPr>
                <w:p w14:paraId="6542985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812" w:type="pct"/>
                  <w:vMerge w:val="continue"/>
                  <w:tcBorders>
                    <w:tl2br w:val="nil"/>
                    <w:tr2bl w:val="nil"/>
                  </w:tcBorders>
                  <w:vAlign w:val="center"/>
                </w:tcPr>
                <w:p w14:paraId="6E95951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78741D5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3"/>
                      <w:sz w:val="18"/>
                      <w:szCs w:val="18"/>
                    </w:rPr>
                    <w:t>夜间</w:t>
                  </w:r>
                </w:p>
              </w:tc>
              <w:tc>
                <w:tcPr>
                  <w:tcW w:w="716" w:type="pct"/>
                  <w:tcBorders>
                    <w:tl2br w:val="nil"/>
                    <w:tr2bl w:val="nil"/>
                  </w:tcBorders>
                  <w:vAlign w:val="center"/>
                </w:tcPr>
                <w:p w14:paraId="59901C1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47</w:t>
                  </w:r>
                </w:p>
              </w:tc>
              <w:tc>
                <w:tcPr>
                  <w:tcW w:w="716" w:type="pct"/>
                  <w:tcBorders>
                    <w:tl2br w:val="nil"/>
                    <w:tr2bl w:val="nil"/>
                  </w:tcBorders>
                  <w:vAlign w:val="center"/>
                </w:tcPr>
                <w:p w14:paraId="714A341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55</w:t>
                  </w:r>
                </w:p>
              </w:tc>
              <w:tc>
                <w:tcPr>
                  <w:tcW w:w="701" w:type="pct"/>
                  <w:tcBorders>
                    <w:tl2br w:val="nil"/>
                    <w:tr2bl w:val="nil"/>
                  </w:tcBorders>
                  <w:vAlign w:val="center"/>
                </w:tcPr>
                <w:p w14:paraId="5E9A2E5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002CBB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restart"/>
                  <w:tcBorders>
                    <w:tl2br w:val="nil"/>
                    <w:tr2bl w:val="nil"/>
                  </w:tcBorders>
                  <w:vAlign w:val="center"/>
                </w:tcPr>
                <w:p w14:paraId="45ACDEB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6"/>
                      <w:sz w:val="18"/>
                      <w:szCs w:val="18"/>
                    </w:rPr>
                    <w:t>N4</w:t>
                  </w:r>
                </w:p>
              </w:tc>
              <w:tc>
                <w:tcPr>
                  <w:tcW w:w="1017" w:type="pct"/>
                  <w:vMerge w:val="restart"/>
                  <w:tcBorders>
                    <w:tl2br w:val="nil"/>
                    <w:tr2bl w:val="nil"/>
                  </w:tcBorders>
                  <w:vAlign w:val="center"/>
                </w:tcPr>
                <w:p w14:paraId="1DA2636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color w:val="auto"/>
                      <w:spacing w:val="7"/>
                      <w:sz w:val="18"/>
                      <w:szCs w:val="18"/>
                    </w:rPr>
                    <w:t>厂界北侧外</w:t>
                  </w:r>
                  <w:r>
                    <w:rPr>
                      <w:rFonts w:ascii="Times New Roman" w:hAnsi="Times New Roman" w:eastAsia="Times New Roman" w:cs="Times New Roman"/>
                      <w:color w:val="auto"/>
                      <w:sz w:val="18"/>
                      <w:szCs w:val="18"/>
                    </w:rPr>
                    <w:t xml:space="preserve">1m </w:t>
                  </w:r>
                </w:p>
              </w:tc>
              <w:tc>
                <w:tcPr>
                  <w:tcW w:w="812" w:type="pct"/>
                  <w:vMerge w:val="continue"/>
                  <w:tcBorders>
                    <w:tl2br w:val="nil"/>
                    <w:tr2bl w:val="nil"/>
                  </w:tcBorders>
                  <w:vAlign w:val="center"/>
                </w:tcPr>
                <w:p w14:paraId="33B6B41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0D4B5A43">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昼间</w:t>
                  </w:r>
                </w:p>
              </w:tc>
              <w:tc>
                <w:tcPr>
                  <w:tcW w:w="716" w:type="pct"/>
                  <w:tcBorders>
                    <w:tl2br w:val="nil"/>
                    <w:tr2bl w:val="nil"/>
                  </w:tcBorders>
                  <w:vAlign w:val="center"/>
                </w:tcPr>
                <w:p w14:paraId="04D9FC9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58</w:t>
                  </w:r>
                </w:p>
              </w:tc>
              <w:tc>
                <w:tcPr>
                  <w:tcW w:w="716" w:type="pct"/>
                  <w:tcBorders>
                    <w:tl2br w:val="nil"/>
                    <w:tr2bl w:val="nil"/>
                  </w:tcBorders>
                  <w:vAlign w:val="center"/>
                </w:tcPr>
                <w:p w14:paraId="0AE3F14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65</w:t>
                  </w:r>
                </w:p>
              </w:tc>
              <w:tc>
                <w:tcPr>
                  <w:tcW w:w="701" w:type="pct"/>
                  <w:tcBorders>
                    <w:tl2br w:val="nil"/>
                    <w:tr2bl w:val="nil"/>
                  </w:tcBorders>
                  <w:vAlign w:val="center"/>
                </w:tcPr>
                <w:p w14:paraId="3309B09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7DB71B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continue"/>
                  <w:tcBorders>
                    <w:tl2br w:val="nil"/>
                    <w:tr2bl w:val="nil"/>
                  </w:tcBorders>
                  <w:vAlign w:val="center"/>
                </w:tcPr>
                <w:p w14:paraId="107E44D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1017" w:type="pct"/>
                  <w:vMerge w:val="continue"/>
                  <w:tcBorders>
                    <w:tl2br w:val="nil"/>
                    <w:tr2bl w:val="nil"/>
                  </w:tcBorders>
                  <w:vAlign w:val="center"/>
                </w:tcPr>
                <w:p w14:paraId="7866B83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812" w:type="pct"/>
                  <w:vMerge w:val="continue"/>
                  <w:tcBorders>
                    <w:tl2br w:val="nil"/>
                    <w:tr2bl w:val="nil"/>
                  </w:tcBorders>
                  <w:vAlign w:val="center"/>
                </w:tcPr>
                <w:p w14:paraId="675D082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565CB6D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3"/>
                      <w:sz w:val="18"/>
                      <w:szCs w:val="18"/>
                    </w:rPr>
                    <w:t>夜间</w:t>
                  </w:r>
                </w:p>
              </w:tc>
              <w:tc>
                <w:tcPr>
                  <w:tcW w:w="716" w:type="pct"/>
                  <w:tcBorders>
                    <w:tl2br w:val="nil"/>
                    <w:tr2bl w:val="nil"/>
                  </w:tcBorders>
                  <w:vAlign w:val="center"/>
                </w:tcPr>
                <w:p w14:paraId="6F62B24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47</w:t>
                  </w:r>
                </w:p>
              </w:tc>
              <w:tc>
                <w:tcPr>
                  <w:tcW w:w="716" w:type="pct"/>
                  <w:tcBorders>
                    <w:tl2br w:val="nil"/>
                    <w:tr2bl w:val="nil"/>
                  </w:tcBorders>
                  <w:vAlign w:val="center"/>
                </w:tcPr>
                <w:p w14:paraId="6D1B949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55</w:t>
                  </w:r>
                </w:p>
              </w:tc>
              <w:tc>
                <w:tcPr>
                  <w:tcW w:w="701" w:type="pct"/>
                  <w:tcBorders>
                    <w:tl2br w:val="nil"/>
                    <w:tr2bl w:val="nil"/>
                  </w:tcBorders>
                  <w:vAlign w:val="center"/>
                </w:tcPr>
                <w:p w14:paraId="4630E4D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11F8AA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restart"/>
                  <w:tcBorders>
                    <w:tl2br w:val="nil"/>
                    <w:tr2bl w:val="nil"/>
                  </w:tcBorders>
                  <w:vAlign w:val="center"/>
                </w:tcPr>
                <w:p w14:paraId="067788D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6"/>
                      <w:sz w:val="18"/>
                      <w:szCs w:val="18"/>
                    </w:rPr>
                    <w:t>N1</w:t>
                  </w:r>
                </w:p>
              </w:tc>
              <w:tc>
                <w:tcPr>
                  <w:tcW w:w="1017" w:type="pct"/>
                  <w:vMerge w:val="restart"/>
                  <w:tcBorders>
                    <w:tl2br w:val="nil"/>
                    <w:tr2bl w:val="nil"/>
                  </w:tcBorders>
                  <w:vAlign w:val="center"/>
                </w:tcPr>
                <w:p w14:paraId="4FEA4AE8">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color w:val="auto"/>
                      <w:spacing w:val="7"/>
                      <w:sz w:val="18"/>
                      <w:szCs w:val="18"/>
                    </w:rPr>
                    <w:t>厂界东侧外</w:t>
                  </w:r>
                  <w:r>
                    <w:rPr>
                      <w:rFonts w:ascii="Times New Roman" w:hAnsi="Times New Roman" w:eastAsia="Times New Roman" w:cs="Times New Roman"/>
                      <w:color w:val="auto"/>
                      <w:sz w:val="18"/>
                      <w:szCs w:val="18"/>
                    </w:rPr>
                    <w:t xml:space="preserve">1m </w:t>
                  </w:r>
                </w:p>
              </w:tc>
              <w:tc>
                <w:tcPr>
                  <w:tcW w:w="812" w:type="pct"/>
                  <w:vMerge w:val="restart"/>
                  <w:tcBorders>
                    <w:tl2br w:val="nil"/>
                    <w:tr2bl w:val="nil"/>
                  </w:tcBorders>
                  <w:vAlign w:val="center"/>
                </w:tcPr>
                <w:p w14:paraId="5378640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2025.7.19</w:t>
                  </w:r>
                </w:p>
              </w:tc>
              <w:tc>
                <w:tcPr>
                  <w:tcW w:w="359" w:type="pct"/>
                  <w:tcBorders>
                    <w:tl2br w:val="nil"/>
                    <w:tr2bl w:val="nil"/>
                  </w:tcBorders>
                  <w:vAlign w:val="center"/>
                </w:tcPr>
                <w:p w14:paraId="4FC06AD8">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昼间</w:t>
                  </w:r>
                </w:p>
              </w:tc>
              <w:tc>
                <w:tcPr>
                  <w:tcW w:w="716" w:type="pct"/>
                  <w:tcBorders>
                    <w:tl2br w:val="nil"/>
                    <w:tr2bl w:val="nil"/>
                  </w:tcBorders>
                  <w:vAlign w:val="center"/>
                </w:tcPr>
                <w:p w14:paraId="2BCDDCC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56</w:t>
                  </w:r>
                </w:p>
              </w:tc>
              <w:tc>
                <w:tcPr>
                  <w:tcW w:w="716" w:type="pct"/>
                  <w:tcBorders>
                    <w:tl2br w:val="nil"/>
                    <w:tr2bl w:val="nil"/>
                  </w:tcBorders>
                  <w:vAlign w:val="center"/>
                </w:tcPr>
                <w:p w14:paraId="0499484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65</w:t>
                  </w:r>
                </w:p>
              </w:tc>
              <w:tc>
                <w:tcPr>
                  <w:tcW w:w="701" w:type="pct"/>
                  <w:tcBorders>
                    <w:tl2br w:val="nil"/>
                    <w:tr2bl w:val="nil"/>
                  </w:tcBorders>
                  <w:vAlign w:val="center"/>
                </w:tcPr>
                <w:p w14:paraId="612F2953">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3626F7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continue"/>
                  <w:tcBorders>
                    <w:tl2br w:val="nil"/>
                    <w:tr2bl w:val="nil"/>
                  </w:tcBorders>
                  <w:vAlign w:val="center"/>
                </w:tcPr>
                <w:p w14:paraId="4266344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1017" w:type="pct"/>
                  <w:vMerge w:val="continue"/>
                  <w:tcBorders>
                    <w:tl2br w:val="nil"/>
                    <w:tr2bl w:val="nil"/>
                  </w:tcBorders>
                  <w:vAlign w:val="center"/>
                </w:tcPr>
                <w:p w14:paraId="0E1CEA9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812" w:type="pct"/>
                  <w:vMerge w:val="continue"/>
                  <w:tcBorders>
                    <w:tl2br w:val="nil"/>
                    <w:tr2bl w:val="nil"/>
                  </w:tcBorders>
                  <w:vAlign w:val="center"/>
                </w:tcPr>
                <w:p w14:paraId="0711834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2BDBFB4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3"/>
                      <w:sz w:val="18"/>
                      <w:szCs w:val="18"/>
                    </w:rPr>
                    <w:t>夜间</w:t>
                  </w:r>
                </w:p>
              </w:tc>
              <w:tc>
                <w:tcPr>
                  <w:tcW w:w="716" w:type="pct"/>
                  <w:tcBorders>
                    <w:tl2br w:val="nil"/>
                    <w:tr2bl w:val="nil"/>
                  </w:tcBorders>
                  <w:vAlign w:val="center"/>
                </w:tcPr>
                <w:p w14:paraId="66D830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42</w:t>
                  </w:r>
                </w:p>
              </w:tc>
              <w:tc>
                <w:tcPr>
                  <w:tcW w:w="716" w:type="pct"/>
                  <w:tcBorders>
                    <w:tl2br w:val="nil"/>
                    <w:tr2bl w:val="nil"/>
                  </w:tcBorders>
                  <w:vAlign w:val="center"/>
                </w:tcPr>
                <w:p w14:paraId="4C7C3D8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55</w:t>
                  </w:r>
                </w:p>
              </w:tc>
              <w:tc>
                <w:tcPr>
                  <w:tcW w:w="701" w:type="pct"/>
                  <w:tcBorders>
                    <w:tl2br w:val="nil"/>
                    <w:tr2bl w:val="nil"/>
                  </w:tcBorders>
                  <w:vAlign w:val="center"/>
                </w:tcPr>
                <w:p w14:paraId="3A0B34A3">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36EA9C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restart"/>
                  <w:tcBorders>
                    <w:tl2br w:val="nil"/>
                    <w:tr2bl w:val="nil"/>
                  </w:tcBorders>
                  <w:vAlign w:val="center"/>
                </w:tcPr>
                <w:p w14:paraId="5F5FEC5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6"/>
                      <w:sz w:val="18"/>
                      <w:szCs w:val="18"/>
                    </w:rPr>
                    <w:t>N2</w:t>
                  </w:r>
                </w:p>
              </w:tc>
              <w:tc>
                <w:tcPr>
                  <w:tcW w:w="1017" w:type="pct"/>
                  <w:vMerge w:val="restart"/>
                  <w:tcBorders>
                    <w:tl2br w:val="nil"/>
                    <w:tr2bl w:val="nil"/>
                  </w:tcBorders>
                  <w:vAlign w:val="center"/>
                </w:tcPr>
                <w:p w14:paraId="3B620C6C">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color w:val="auto"/>
                      <w:spacing w:val="7"/>
                      <w:sz w:val="18"/>
                      <w:szCs w:val="18"/>
                    </w:rPr>
                    <w:t>厂界南侧外</w:t>
                  </w:r>
                  <w:r>
                    <w:rPr>
                      <w:rFonts w:ascii="Times New Roman" w:hAnsi="Times New Roman" w:eastAsia="Times New Roman" w:cs="Times New Roman"/>
                      <w:color w:val="auto"/>
                      <w:sz w:val="18"/>
                      <w:szCs w:val="18"/>
                    </w:rPr>
                    <w:t xml:space="preserve">1m </w:t>
                  </w:r>
                </w:p>
              </w:tc>
              <w:tc>
                <w:tcPr>
                  <w:tcW w:w="812" w:type="pct"/>
                  <w:vMerge w:val="continue"/>
                  <w:tcBorders>
                    <w:tl2br w:val="nil"/>
                    <w:tr2bl w:val="nil"/>
                  </w:tcBorders>
                  <w:vAlign w:val="center"/>
                </w:tcPr>
                <w:p w14:paraId="20960C9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0803498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昼间</w:t>
                  </w:r>
                </w:p>
              </w:tc>
              <w:tc>
                <w:tcPr>
                  <w:tcW w:w="716" w:type="pct"/>
                  <w:tcBorders>
                    <w:tl2br w:val="nil"/>
                    <w:tr2bl w:val="nil"/>
                  </w:tcBorders>
                  <w:vAlign w:val="center"/>
                </w:tcPr>
                <w:p w14:paraId="13B1095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56</w:t>
                  </w:r>
                </w:p>
              </w:tc>
              <w:tc>
                <w:tcPr>
                  <w:tcW w:w="716" w:type="pct"/>
                  <w:tcBorders>
                    <w:tl2br w:val="nil"/>
                    <w:tr2bl w:val="nil"/>
                  </w:tcBorders>
                  <w:vAlign w:val="center"/>
                </w:tcPr>
                <w:p w14:paraId="12A5BB4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65</w:t>
                  </w:r>
                </w:p>
              </w:tc>
              <w:tc>
                <w:tcPr>
                  <w:tcW w:w="701" w:type="pct"/>
                  <w:tcBorders>
                    <w:tl2br w:val="nil"/>
                    <w:tr2bl w:val="nil"/>
                  </w:tcBorders>
                  <w:vAlign w:val="center"/>
                </w:tcPr>
                <w:p w14:paraId="1E0B62EA">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026E33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continue"/>
                  <w:tcBorders>
                    <w:tl2br w:val="nil"/>
                    <w:tr2bl w:val="nil"/>
                  </w:tcBorders>
                  <w:vAlign w:val="center"/>
                </w:tcPr>
                <w:p w14:paraId="65B17A5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1017" w:type="pct"/>
                  <w:vMerge w:val="continue"/>
                  <w:tcBorders>
                    <w:tl2br w:val="nil"/>
                    <w:tr2bl w:val="nil"/>
                  </w:tcBorders>
                  <w:vAlign w:val="center"/>
                </w:tcPr>
                <w:p w14:paraId="7F99A32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812" w:type="pct"/>
                  <w:vMerge w:val="continue"/>
                  <w:tcBorders>
                    <w:tl2br w:val="nil"/>
                    <w:tr2bl w:val="nil"/>
                  </w:tcBorders>
                  <w:vAlign w:val="center"/>
                </w:tcPr>
                <w:p w14:paraId="5C22836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0B0E2BA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3"/>
                      <w:sz w:val="18"/>
                      <w:szCs w:val="18"/>
                    </w:rPr>
                    <w:t>夜间</w:t>
                  </w:r>
                </w:p>
              </w:tc>
              <w:tc>
                <w:tcPr>
                  <w:tcW w:w="716" w:type="pct"/>
                  <w:tcBorders>
                    <w:tl2br w:val="nil"/>
                    <w:tr2bl w:val="nil"/>
                  </w:tcBorders>
                  <w:vAlign w:val="center"/>
                </w:tcPr>
                <w:p w14:paraId="5AB5295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42</w:t>
                  </w:r>
                </w:p>
              </w:tc>
              <w:tc>
                <w:tcPr>
                  <w:tcW w:w="716" w:type="pct"/>
                  <w:tcBorders>
                    <w:tl2br w:val="nil"/>
                    <w:tr2bl w:val="nil"/>
                  </w:tcBorders>
                  <w:vAlign w:val="center"/>
                </w:tcPr>
                <w:p w14:paraId="1E630D6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55</w:t>
                  </w:r>
                </w:p>
              </w:tc>
              <w:tc>
                <w:tcPr>
                  <w:tcW w:w="701" w:type="pct"/>
                  <w:tcBorders>
                    <w:tl2br w:val="nil"/>
                    <w:tr2bl w:val="nil"/>
                  </w:tcBorders>
                  <w:vAlign w:val="center"/>
                </w:tcPr>
                <w:p w14:paraId="534609E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76F6A6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restart"/>
                  <w:tcBorders>
                    <w:tl2br w:val="nil"/>
                    <w:tr2bl w:val="nil"/>
                  </w:tcBorders>
                  <w:vAlign w:val="center"/>
                </w:tcPr>
                <w:p w14:paraId="65B7D7B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6"/>
                      <w:sz w:val="18"/>
                      <w:szCs w:val="18"/>
                    </w:rPr>
                    <w:t>N3</w:t>
                  </w:r>
                </w:p>
              </w:tc>
              <w:tc>
                <w:tcPr>
                  <w:tcW w:w="1017" w:type="pct"/>
                  <w:vMerge w:val="restart"/>
                  <w:tcBorders>
                    <w:tl2br w:val="nil"/>
                    <w:tr2bl w:val="nil"/>
                  </w:tcBorders>
                  <w:vAlign w:val="center"/>
                </w:tcPr>
                <w:p w14:paraId="54E5FD39">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color w:val="auto"/>
                      <w:spacing w:val="7"/>
                      <w:sz w:val="18"/>
                      <w:szCs w:val="18"/>
                    </w:rPr>
                    <w:t>厂界西侧外</w:t>
                  </w:r>
                  <w:r>
                    <w:rPr>
                      <w:rFonts w:ascii="Times New Roman" w:hAnsi="Times New Roman" w:eastAsia="Times New Roman" w:cs="Times New Roman"/>
                      <w:color w:val="auto"/>
                      <w:sz w:val="18"/>
                      <w:szCs w:val="18"/>
                    </w:rPr>
                    <w:t xml:space="preserve">1m </w:t>
                  </w:r>
                </w:p>
              </w:tc>
              <w:tc>
                <w:tcPr>
                  <w:tcW w:w="812" w:type="pct"/>
                  <w:vMerge w:val="continue"/>
                  <w:tcBorders>
                    <w:tl2br w:val="nil"/>
                    <w:tr2bl w:val="nil"/>
                  </w:tcBorders>
                  <w:vAlign w:val="center"/>
                </w:tcPr>
                <w:p w14:paraId="3DD7AD3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3DB135F8">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昼间</w:t>
                  </w:r>
                </w:p>
              </w:tc>
              <w:tc>
                <w:tcPr>
                  <w:tcW w:w="716" w:type="pct"/>
                  <w:tcBorders>
                    <w:tl2br w:val="nil"/>
                    <w:tr2bl w:val="nil"/>
                  </w:tcBorders>
                  <w:vAlign w:val="center"/>
                </w:tcPr>
                <w:p w14:paraId="3948277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62</w:t>
                  </w:r>
                </w:p>
              </w:tc>
              <w:tc>
                <w:tcPr>
                  <w:tcW w:w="716" w:type="pct"/>
                  <w:tcBorders>
                    <w:tl2br w:val="nil"/>
                    <w:tr2bl w:val="nil"/>
                  </w:tcBorders>
                  <w:vAlign w:val="center"/>
                </w:tcPr>
                <w:p w14:paraId="6A30FE6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pacing w:val="1"/>
                      <w:sz w:val="18"/>
                      <w:szCs w:val="18"/>
                      <w:lang w:val="en-US" w:eastAsia="zh-CN"/>
                    </w:rPr>
                    <w:t>65</w:t>
                  </w:r>
                </w:p>
              </w:tc>
              <w:tc>
                <w:tcPr>
                  <w:tcW w:w="701" w:type="pct"/>
                  <w:tcBorders>
                    <w:tl2br w:val="nil"/>
                    <w:tr2bl w:val="nil"/>
                  </w:tcBorders>
                  <w:vAlign w:val="center"/>
                </w:tcPr>
                <w:p w14:paraId="718CAB7C">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53B972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continue"/>
                  <w:tcBorders>
                    <w:tl2br w:val="nil"/>
                    <w:tr2bl w:val="nil"/>
                  </w:tcBorders>
                  <w:vAlign w:val="center"/>
                </w:tcPr>
                <w:p w14:paraId="21BD17E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1017" w:type="pct"/>
                  <w:vMerge w:val="continue"/>
                  <w:tcBorders>
                    <w:tl2br w:val="nil"/>
                    <w:tr2bl w:val="nil"/>
                  </w:tcBorders>
                  <w:vAlign w:val="center"/>
                </w:tcPr>
                <w:p w14:paraId="614E125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812" w:type="pct"/>
                  <w:vMerge w:val="continue"/>
                  <w:tcBorders>
                    <w:tl2br w:val="nil"/>
                    <w:tr2bl w:val="nil"/>
                  </w:tcBorders>
                  <w:vAlign w:val="center"/>
                </w:tcPr>
                <w:p w14:paraId="586C2F6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32184CA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3"/>
                      <w:sz w:val="18"/>
                      <w:szCs w:val="18"/>
                    </w:rPr>
                    <w:t>夜间</w:t>
                  </w:r>
                </w:p>
              </w:tc>
              <w:tc>
                <w:tcPr>
                  <w:tcW w:w="716" w:type="pct"/>
                  <w:tcBorders>
                    <w:tl2br w:val="nil"/>
                    <w:tr2bl w:val="nil"/>
                  </w:tcBorders>
                  <w:vAlign w:val="center"/>
                </w:tcPr>
                <w:p w14:paraId="47536D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42</w:t>
                  </w:r>
                </w:p>
              </w:tc>
              <w:tc>
                <w:tcPr>
                  <w:tcW w:w="716" w:type="pct"/>
                  <w:tcBorders>
                    <w:tl2br w:val="nil"/>
                    <w:tr2bl w:val="nil"/>
                  </w:tcBorders>
                  <w:vAlign w:val="center"/>
                </w:tcPr>
                <w:p w14:paraId="53F3E88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55</w:t>
                  </w:r>
                </w:p>
              </w:tc>
              <w:tc>
                <w:tcPr>
                  <w:tcW w:w="701" w:type="pct"/>
                  <w:tcBorders>
                    <w:tl2br w:val="nil"/>
                    <w:tr2bl w:val="nil"/>
                  </w:tcBorders>
                  <w:vAlign w:val="center"/>
                </w:tcPr>
                <w:p w14:paraId="5778B61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15F05D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restart"/>
                  <w:tcBorders>
                    <w:tl2br w:val="nil"/>
                    <w:tr2bl w:val="nil"/>
                  </w:tcBorders>
                  <w:vAlign w:val="center"/>
                </w:tcPr>
                <w:p w14:paraId="6C4B314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6"/>
                      <w:sz w:val="18"/>
                      <w:szCs w:val="18"/>
                    </w:rPr>
                    <w:t>N4</w:t>
                  </w:r>
                </w:p>
              </w:tc>
              <w:tc>
                <w:tcPr>
                  <w:tcW w:w="1017" w:type="pct"/>
                  <w:vMerge w:val="restart"/>
                  <w:tcBorders>
                    <w:tl2br w:val="nil"/>
                    <w:tr2bl w:val="nil"/>
                  </w:tcBorders>
                  <w:vAlign w:val="center"/>
                </w:tcPr>
                <w:p w14:paraId="0821D0F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color w:val="auto"/>
                      <w:spacing w:val="7"/>
                      <w:sz w:val="18"/>
                      <w:szCs w:val="18"/>
                    </w:rPr>
                    <w:t>厂界北侧外</w:t>
                  </w:r>
                  <w:r>
                    <w:rPr>
                      <w:rFonts w:ascii="Times New Roman" w:hAnsi="Times New Roman" w:eastAsia="Times New Roman" w:cs="Times New Roman"/>
                      <w:color w:val="auto"/>
                      <w:sz w:val="18"/>
                      <w:szCs w:val="18"/>
                    </w:rPr>
                    <w:t xml:space="preserve">1m </w:t>
                  </w:r>
                </w:p>
              </w:tc>
              <w:tc>
                <w:tcPr>
                  <w:tcW w:w="812" w:type="pct"/>
                  <w:vMerge w:val="continue"/>
                  <w:tcBorders>
                    <w:tl2br w:val="nil"/>
                    <w:tr2bl w:val="nil"/>
                  </w:tcBorders>
                  <w:vAlign w:val="center"/>
                </w:tcPr>
                <w:p w14:paraId="6B124D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57B8B0BA">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昼间</w:t>
                  </w:r>
                </w:p>
              </w:tc>
              <w:tc>
                <w:tcPr>
                  <w:tcW w:w="716" w:type="pct"/>
                  <w:tcBorders>
                    <w:tl2br w:val="nil"/>
                    <w:tr2bl w:val="nil"/>
                  </w:tcBorders>
                  <w:vAlign w:val="center"/>
                </w:tcPr>
                <w:p w14:paraId="75CD9A0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62</w:t>
                  </w:r>
                </w:p>
              </w:tc>
              <w:tc>
                <w:tcPr>
                  <w:tcW w:w="716" w:type="pct"/>
                  <w:tcBorders>
                    <w:tl2br w:val="nil"/>
                    <w:tr2bl w:val="nil"/>
                  </w:tcBorders>
                  <w:vAlign w:val="center"/>
                </w:tcPr>
                <w:p w14:paraId="64E7F6F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65</w:t>
                  </w:r>
                </w:p>
              </w:tc>
              <w:tc>
                <w:tcPr>
                  <w:tcW w:w="701" w:type="pct"/>
                  <w:tcBorders>
                    <w:tl2br w:val="nil"/>
                    <w:tr2bl w:val="nil"/>
                  </w:tcBorders>
                  <w:vAlign w:val="center"/>
                </w:tcPr>
                <w:p w14:paraId="7E9C1358">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r w14:paraId="43B764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76" w:type="pct"/>
                  <w:vMerge w:val="continue"/>
                  <w:tcBorders>
                    <w:tl2br w:val="nil"/>
                    <w:tr2bl w:val="nil"/>
                  </w:tcBorders>
                  <w:vAlign w:val="center"/>
                </w:tcPr>
                <w:p w14:paraId="2BF01E8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1017" w:type="pct"/>
                  <w:vMerge w:val="continue"/>
                  <w:tcBorders>
                    <w:tl2br w:val="nil"/>
                    <w:tr2bl w:val="nil"/>
                  </w:tcBorders>
                  <w:vAlign w:val="center"/>
                </w:tcPr>
                <w:p w14:paraId="55491B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812" w:type="pct"/>
                  <w:vMerge w:val="continue"/>
                  <w:tcBorders>
                    <w:tl2br w:val="nil"/>
                    <w:tr2bl w:val="nil"/>
                  </w:tcBorders>
                  <w:vAlign w:val="center"/>
                </w:tcPr>
                <w:p w14:paraId="2820B8C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color w:val="auto"/>
                      <w:sz w:val="18"/>
                      <w:szCs w:val="18"/>
                    </w:rPr>
                  </w:pPr>
                </w:p>
              </w:tc>
              <w:tc>
                <w:tcPr>
                  <w:tcW w:w="359" w:type="pct"/>
                  <w:tcBorders>
                    <w:tl2br w:val="nil"/>
                    <w:tr2bl w:val="nil"/>
                  </w:tcBorders>
                  <w:vAlign w:val="center"/>
                </w:tcPr>
                <w:p w14:paraId="45AB9EF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3"/>
                      <w:sz w:val="18"/>
                      <w:szCs w:val="18"/>
                    </w:rPr>
                    <w:t>夜间</w:t>
                  </w:r>
                </w:p>
              </w:tc>
              <w:tc>
                <w:tcPr>
                  <w:tcW w:w="716" w:type="pct"/>
                  <w:tcBorders>
                    <w:tl2br w:val="nil"/>
                    <w:tr2bl w:val="nil"/>
                  </w:tcBorders>
                  <w:vAlign w:val="center"/>
                </w:tcPr>
                <w:p w14:paraId="5AB63AB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pacing w:val="3"/>
                      <w:sz w:val="18"/>
                      <w:szCs w:val="18"/>
                    </w:rPr>
                    <w:t>41</w:t>
                  </w:r>
                </w:p>
              </w:tc>
              <w:tc>
                <w:tcPr>
                  <w:tcW w:w="716" w:type="pct"/>
                  <w:tcBorders>
                    <w:tl2br w:val="nil"/>
                    <w:tr2bl w:val="nil"/>
                  </w:tcBorders>
                  <w:vAlign w:val="center"/>
                </w:tcPr>
                <w:p w14:paraId="2E08579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18"/>
                      <w:szCs w:val="18"/>
                    </w:rPr>
                    <w:t>55</w:t>
                  </w:r>
                </w:p>
              </w:tc>
              <w:tc>
                <w:tcPr>
                  <w:tcW w:w="701" w:type="pct"/>
                  <w:tcBorders>
                    <w:tl2br w:val="nil"/>
                    <w:tr2bl w:val="nil"/>
                  </w:tcBorders>
                  <w:vAlign w:val="center"/>
                </w:tcPr>
                <w:p w14:paraId="51CEDE8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 w:val="18"/>
                      <w:szCs w:val="18"/>
                    </w:rPr>
                  </w:pPr>
                  <w:r>
                    <w:rPr>
                      <w:color w:val="auto"/>
                      <w:spacing w:val="5"/>
                      <w:sz w:val="18"/>
                      <w:szCs w:val="18"/>
                    </w:rPr>
                    <w:t>达标</w:t>
                  </w:r>
                </w:p>
              </w:tc>
            </w:tr>
          </w:tbl>
          <w:p w14:paraId="4F51F3B0">
            <w:pPr>
              <w:ind w:firstLine="420"/>
              <w:rPr>
                <w:b/>
                <w:bCs/>
                <w:color w:val="auto"/>
              </w:rPr>
            </w:pPr>
            <w:r>
              <w:rPr>
                <w:rFonts w:hint="eastAsia"/>
                <w:b/>
                <w:bCs/>
                <w:color w:val="auto"/>
              </w:rPr>
              <w:t>④、固废</w:t>
            </w:r>
          </w:p>
          <w:p w14:paraId="15FE8A98">
            <w:pPr>
              <w:ind w:firstLine="400"/>
              <w:rPr>
                <w:rFonts w:hint="eastAsia"/>
                <w:color w:val="auto"/>
                <w:spacing w:val="-5"/>
                <w:lang w:val="en-US" w:eastAsia="zh-CN"/>
              </w:rPr>
            </w:pPr>
            <w:r>
              <w:rPr>
                <w:rFonts w:hint="eastAsia"/>
                <w:color w:val="auto"/>
                <w:spacing w:val="-5"/>
              </w:rPr>
              <w:t>现有</w:t>
            </w:r>
            <w:r>
              <w:rPr>
                <w:color w:val="auto"/>
                <w:spacing w:val="-5"/>
              </w:rPr>
              <w:t>项目产生的</w:t>
            </w:r>
            <w:r>
              <w:rPr>
                <w:rFonts w:hint="eastAsia"/>
                <w:color w:val="auto"/>
                <w:spacing w:val="-5"/>
              </w:rPr>
              <w:t>一般</w:t>
            </w:r>
            <w:r>
              <w:rPr>
                <w:color w:val="auto"/>
                <w:spacing w:val="-5"/>
              </w:rPr>
              <w:t>固体废物</w:t>
            </w:r>
            <w:r>
              <w:rPr>
                <w:rFonts w:hint="eastAsia"/>
                <w:color w:val="auto"/>
                <w:spacing w:val="-5"/>
              </w:rPr>
              <w:t>委托利用，危险废物委托有资质单位处置，生活垃圾由环卫部门定期清运，固废均能合理处置，不会带来二次污染。</w:t>
            </w:r>
            <w:r>
              <w:rPr>
                <w:rFonts w:hint="eastAsia"/>
                <w:color w:val="auto"/>
                <w:spacing w:val="-5"/>
                <w:lang w:val="en-US" w:eastAsia="zh-CN"/>
              </w:rPr>
              <w:t>产生处置情况见下表。</w:t>
            </w:r>
          </w:p>
          <w:p w14:paraId="265BD568">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表2-1</w:t>
            </w:r>
            <w:r>
              <w:rPr>
                <w:rFonts w:hint="eastAsia"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lang w:val="en-US" w:eastAsia="zh-CN"/>
              </w:rPr>
              <w:t xml:space="preserve"> </w:t>
            </w:r>
            <w:r>
              <w:rPr>
                <w:rFonts w:hint="eastAsia" w:cs="Times New Roman"/>
                <w:b/>
                <w:color w:val="auto"/>
                <w:sz w:val="21"/>
                <w:szCs w:val="21"/>
                <w:highlight w:val="none"/>
                <w:lang w:val="en-US" w:eastAsia="zh-CN"/>
              </w:rPr>
              <w:t>现有固废产生处理情况</w:t>
            </w:r>
          </w:p>
          <w:tbl>
            <w:tblPr>
              <w:tblStyle w:val="156"/>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03"/>
              <w:gridCol w:w="1276"/>
              <w:gridCol w:w="1162"/>
              <w:gridCol w:w="1021"/>
              <w:gridCol w:w="1696"/>
              <w:gridCol w:w="1162"/>
              <w:gridCol w:w="1145"/>
            </w:tblGrid>
            <w:tr w14:paraId="31D6CF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shd w:val="clear" w:color="auto" w:fill="D7D7D7" w:themeFill="background1" w:themeFillShade="D8"/>
                  <w:vAlign w:val="center"/>
                </w:tcPr>
                <w:p w14:paraId="29508C2C">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bCs/>
                      <w:color w:val="auto"/>
                      <w:spacing w:val="3"/>
                      <w:sz w:val="18"/>
                      <w:szCs w:val="18"/>
                    </w:rPr>
                  </w:pPr>
                  <w:r>
                    <w:rPr>
                      <w:rFonts w:hint="default" w:ascii="Times New Roman" w:hAnsi="Times New Roman" w:cs="Times New Roman"/>
                      <w:b/>
                      <w:bCs/>
                      <w:color w:val="auto"/>
                      <w:spacing w:val="3"/>
                      <w:sz w:val="18"/>
                      <w:szCs w:val="18"/>
                    </w:rPr>
                    <w:t>序号</w:t>
                  </w:r>
                </w:p>
              </w:tc>
              <w:tc>
                <w:tcPr>
                  <w:tcW w:w="762" w:type="pct"/>
                  <w:tcBorders>
                    <w:tl2br w:val="nil"/>
                    <w:tr2bl w:val="nil"/>
                  </w:tcBorders>
                  <w:shd w:val="clear" w:color="auto" w:fill="D7D7D7" w:themeFill="background1" w:themeFillShade="D8"/>
                  <w:vAlign w:val="center"/>
                </w:tcPr>
                <w:p w14:paraId="751D0F7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bCs/>
                      <w:color w:val="auto"/>
                      <w:spacing w:val="3"/>
                      <w:sz w:val="18"/>
                      <w:szCs w:val="18"/>
                    </w:rPr>
                  </w:pPr>
                  <w:r>
                    <w:rPr>
                      <w:rFonts w:hint="default" w:ascii="Times New Roman" w:hAnsi="Times New Roman" w:cs="Times New Roman"/>
                      <w:b/>
                      <w:bCs/>
                      <w:color w:val="auto"/>
                      <w:spacing w:val="3"/>
                      <w:sz w:val="18"/>
                      <w:szCs w:val="18"/>
                    </w:rPr>
                    <w:t>固废名称</w:t>
                  </w:r>
                </w:p>
              </w:tc>
              <w:tc>
                <w:tcPr>
                  <w:tcW w:w="694" w:type="pct"/>
                  <w:tcBorders>
                    <w:tl2br w:val="nil"/>
                    <w:tr2bl w:val="nil"/>
                  </w:tcBorders>
                  <w:shd w:val="clear" w:color="auto" w:fill="D7D7D7" w:themeFill="background1" w:themeFillShade="D8"/>
                  <w:vAlign w:val="center"/>
                </w:tcPr>
                <w:p w14:paraId="7E2021B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bCs/>
                      <w:color w:val="auto"/>
                      <w:spacing w:val="3"/>
                      <w:sz w:val="18"/>
                      <w:szCs w:val="18"/>
                    </w:rPr>
                  </w:pPr>
                  <w:r>
                    <w:rPr>
                      <w:rFonts w:hint="default" w:ascii="Times New Roman" w:hAnsi="Times New Roman" w:cs="Times New Roman"/>
                      <w:b/>
                      <w:bCs/>
                      <w:color w:val="auto"/>
                      <w:spacing w:val="3"/>
                      <w:sz w:val="18"/>
                      <w:szCs w:val="18"/>
                    </w:rPr>
                    <w:t>产生工序</w:t>
                  </w:r>
                </w:p>
              </w:tc>
              <w:tc>
                <w:tcPr>
                  <w:tcW w:w="610" w:type="pct"/>
                  <w:tcBorders>
                    <w:tl2br w:val="nil"/>
                    <w:tr2bl w:val="nil"/>
                  </w:tcBorders>
                  <w:shd w:val="clear" w:color="auto" w:fill="D7D7D7" w:themeFill="background1" w:themeFillShade="D8"/>
                  <w:vAlign w:val="center"/>
                </w:tcPr>
                <w:p w14:paraId="44FED4D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bCs/>
                      <w:color w:val="auto"/>
                      <w:spacing w:val="3"/>
                      <w:sz w:val="18"/>
                      <w:szCs w:val="18"/>
                    </w:rPr>
                  </w:pPr>
                  <w:r>
                    <w:rPr>
                      <w:rFonts w:hint="default" w:ascii="Times New Roman" w:hAnsi="Times New Roman" w:cs="Times New Roman"/>
                      <w:b/>
                      <w:bCs/>
                      <w:color w:val="auto"/>
                      <w:spacing w:val="3"/>
                      <w:sz w:val="18"/>
                      <w:szCs w:val="18"/>
                    </w:rPr>
                    <w:t>属性</w:t>
                  </w:r>
                </w:p>
              </w:tc>
              <w:tc>
                <w:tcPr>
                  <w:tcW w:w="1013" w:type="pct"/>
                  <w:tcBorders>
                    <w:tl2br w:val="nil"/>
                    <w:tr2bl w:val="nil"/>
                  </w:tcBorders>
                  <w:shd w:val="clear" w:color="auto" w:fill="D7D7D7" w:themeFill="background1" w:themeFillShade="D8"/>
                  <w:vAlign w:val="center"/>
                </w:tcPr>
                <w:p w14:paraId="1E0A901B">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bCs/>
                      <w:color w:val="auto"/>
                      <w:spacing w:val="3"/>
                      <w:sz w:val="18"/>
                      <w:szCs w:val="18"/>
                    </w:rPr>
                  </w:pPr>
                  <w:r>
                    <w:rPr>
                      <w:rFonts w:hint="default" w:ascii="Times New Roman" w:hAnsi="Times New Roman" w:cs="Times New Roman"/>
                      <w:b/>
                      <w:bCs/>
                      <w:color w:val="auto"/>
                      <w:spacing w:val="3"/>
                      <w:sz w:val="18"/>
                      <w:szCs w:val="18"/>
                    </w:rPr>
                    <w:t>废物代码</w:t>
                  </w:r>
                </w:p>
              </w:tc>
              <w:tc>
                <w:tcPr>
                  <w:tcW w:w="694" w:type="pct"/>
                  <w:tcBorders>
                    <w:tl2br w:val="nil"/>
                    <w:tr2bl w:val="nil"/>
                  </w:tcBorders>
                  <w:shd w:val="clear" w:color="auto" w:fill="D7D7D7" w:themeFill="background1" w:themeFillShade="D8"/>
                  <w:vAlign w:val="center"/>
                </w:tcPr>
                <w:p w14:paraId="14818218">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bCs/>
                      <w:color w:val="auto"/>
                      <w:spacing w:val="3"/>
                      <w:sz w:val="18"/>
                      <w:szCs w:val="18"/>
                    </w:rPr>
                  </w:pPr>
                  <w:r>
                    <w:rPr>
                      <w:rFonts w:hint="default" w:ascii="Times New Roman" w:hAnsi="Times New Roman" w:cs="Times New Roman"/>
                      <w:b/>
                      <w:bCs/>
                      <w:color w:val="auto"/>
                      <w:spacing w:val="3"/>
                      <w:sz w:val="18"/>
                      <w:szCs w:val="18"/>
                    </w:rPr>
                    <w:t>实际产生量（t/a）</w:t>
                  </w:r>
                </w:p>
              </w:tc>
              <w:tc>
                <w:tcPr>
                  <w:tcW w:w="684" w:type="pct"/>
                  <w:tcBorders>
                    <w:tl2br w:val="nil"/>
                    <w:tr2bl w:val="nil"/>
                  </w:tcBorders>
                  <w:shd w:val="clear" w:color="auto" w:fill="D7D7D7" w:themeFill="background1" w:themeFillShade="D8"/>
                  <w:vAlign w:val="center"/>
                </w:tcPr>
                <w:p w14:paraId="571FD3E8">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b/>
                      <w:bCs/>
                      <w:color w:val="auto"/>
                      <w:spacing w:val="3"/>
                      <w:sz w:val="18"/>
                      <w:szCs w:val="18"/>
                    </w:rPr>
                  </w:pPr>
                  <w:r>
                    <w:rPr>
                      <w:rFonts w:hint="default" w:ascii="Times New Roman" w:hAnsi="Times New Roman" w:cs="Times New Roman"/>
                      <w:b/>
                      <w:bCs/>
                      <w:color w:val="auto"/>
                      <w:spacing w:val="3"/>
                      <w:sz w:val="18"/>
                      <w:szCs w:val="18"/>
                    </w:rPr>
                    <w:t>实际处置方式</w:t>
                  </w:r>
                </w:p>
              </w:tc>
            </w:tr>
            <w:tr w14:paraId="5D5E5D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36299BC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1</w:t>
                  </w:r>
                </w:p>
              </w:tc>
              <w:tc>
                <w:tcPr>
                  <w:tcW w:w="762" w:type="pct"/>
                  <w:tcBorders>
                    <w:tl2br w:val="nil"/>
                    <w:tr2bl w:val="nil"/>
                  </w:tcBorders>
                  <w:vAlign w:val="center"/>
                </w:tcPr>
                <w:p w14:paraId="649F97AF">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过滤残渣</w:t>
                  </w:r>
                </w:p>
              </w:tc>
              <w:tc>
                <w:tcPr>
                  <w:tcW w:w="694" w:type="pct"/>
                  <w:tcBorders>
                    <w:tl2br w:val="nil"/>
                    <w:tr2bl w:val="nil"/>
                  </w:tcBorders>
                  <w:vAlign w:val="center"/>
                </w:tcPr>
                <w:p w14:paraId="3B605F0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生产</w:t>
                  </w:r>
                </w:p>
              </w:tc>
              <w:tc>
                <w:tcPr>
                  <w:tcW w:w="610" w:type="pct"/>
                  <w:vMerge w:val="restart"/>
                  <w:tcBorders>
                    <w:tl2br w:val="nil"/>
                    <w:tr2bl w:val="nil"/>
                  </w:tcBorders>
                  <w:vAlign w:val="center"/>
                </w:tcPr>
                <w:p w14:paraId="242D5C3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危险固废</w:t>
                  </w:r>
                </w:p>
              </w:tc>
              <w:tc>
                <w:tcPr>
                  <w:tcW w:w="1013" w:type="pct"/>
                  <w:tcBorders>
                    <w:tl2br w:val="nil"/>
                    <w:tr2bl w:val="nil"/>
                  </w:tcBorders>
                  <w:vAlign w:val="center"/>
                </w:tcPr>
                <w:p w14:paraId="115AB4F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900-041-49</w:t>
                  </w:r>
                </w:p>
              </w:tc>
              <w:tc>
                <w:tcPr>
                  <w:tcW w:w="694" w:type="pct"/>
                  <w:tcBorders>
                    <w:tl2br w:val="nil"/>
                    <w:tr2bl w:val="nil"/>
                  </w:tcBorders>
                  <w:vAlign w:val="center"/>
                </w:tcPr>
                <w:p w14:paraId="2F39347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40</w:t>
                  </w:r>
                </w:p>
              </w:tc>
              <w:tc>
                <w:tcPr>
                  <w:tcW w:w="684" w:type="pct"/>
                  <w:vMerge w:val="restart"/>
                  <w:tcBorders>
                    <w:tl2br w:val="nil"/>
                    <w:tr2bl w:val="nil"/>
                  </w:tcBorders>
                  <w:vAlign w:val="center"/>
                </w:tcPr>
                <w:p w14:paraId="56D0025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妥善收集后委托资质单位处置</w:t>
                  </w:r>
                </w:p>
              </w:tc>
            </w:tr>
            <w:tr w14:paraId="78DD9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57A0866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2</w:t>
                  </w:r>
                </w:p>
              </w:tc>
              <w:tc>
                <w:tcPr>
                  <w:tcW w:w="762" w:type="pct"/>
                  <w:tcBorders>
                    <w:tl2br w:val="nil"/>
                    <w:tr2bl w:val="nil"/>
                  </w:tcBorders>
                  <w:vAlign w:val="center"/>
                </w:tcPr>
                <w:p w14:paraId="495C170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废包装材料</w:t>
                  </w:r>
                </w:p>
              </w:tc>
              <w:tc>
                <w:tcPr>
                  <w:tcW w:w="694" w:type="pct"/>
                  <w:tcBorders>
                    <w:tl2br w:val="nil"/>
                    <w:tr2bl w:val="nil"/>
                  </w:tcBorders>
                  <w:vAlign w:val="center"/>
                </w:tcPr>
                <w:p w14:paraId="77BB9CE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原料</w:t>
                  </w:r>
                </w:p>
              </w:tc>
              <w:tc>
                <w:tcPr>
                  <w:tcW w:w="610" w:type="pct"/>
                  <w:vMerge w:val="continue"/>
                  <w:tcBorders>
                    <w:tl2br w:val="nil"/>
                    <w:tr2bl w:val="nil"/>
                  </w:tcBorders>
                  <w:vAlign w:val="center"/>
                </w:tcPr>
                <w:p w14:paraId="2BB16F3C">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3D4E047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900-041-49</w:t>
                  </w:r>
                </w:p>
              </w:tc>
              <w:tc>
                <w:tcPr>
                  <w:tcW w:w="694" w:type="pct"/>
                  <w:tcBorders>
                    <w:tl2br w:val="nil"/>
                    <w:tr2bl w:val="nil"/>
                  </w:tcBorders>
                  <w:vAlign w:val="center"/>
                </w:tcPr>
                <w:p w14:paraId="0245A20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30</w:t>
                  </w:r>
                </w:p>
              </w:tc>
              <w:tc>
                <w:tcPr>
                  <w:tcW w:w="684" w:type="pct"/>
                  <w:vMerge w:val="continue"/>
                  <w:tcBorders>
                    <w:tl2br w:val="nil"/>
                    <w:tr2bl w:val="nil"/>
                  </w:tcBorders>
                  <w:vAlign w:val="center"/>
                </w:tcPr>
                <w:p w14:paraId="5F52A24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r>
            <w:tr w14:paraId="16DA93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40058E3B">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3</w:t>
                  </w:r>
                </w:p>
              </w:tc>
              <w:tc>
                <w:tcPr>
                  <w:tcW w:w="762" w:type="pct"/>
                  <w:tcBorders>
                    <w:tl2br w:val="nil"/>
                    <w:tr2bl w:val="nil"/>
                  </w:tcBorders>
                  <w:vAlign w:val="center"/>
                </w:tcPr>
                <w:p w14:paraId="0809BB1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废清洗溶剂</w:t>
                  </w:r>
                </w:p>
              </w:tc>
              <w:tc>
                <w:tcPr>
                  <w:tcW w:w="694" w:type="pct"/>
                  <w:tcBorders>
                    <w:tl2br w:val="nil"/>
                    <w:tr2bl w:val="nil"/>
                  </w:tcBorders>
                  <w:vAlign w:val="center"/>
                </w:tcPr>
                <w:p w14:paraId="2A0028C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清洗</w:t>
                  </w:r>
                </w:p>
              </w:tc>
              <w:tc>
                <w:tcPr>
                  <w:tcW w:w="610" w:type="pct"/>
                  <w:vMerge w:val="continue"/>
                  <w:tcBorders>
                    <w:tl2br w:val="nil"/>
                    <w:tr2bl w:val="nil"/>
                  </w:tcBorders>
                  <w:vAlign w:val="center"/>
                </w:tcPr>
                <w:p w14:paraId="62CC594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2327E46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900-402-06</w:t>
                  </w:r>
                </w:p>
              </w:tc>
              <w:tc>
                <w:tcPr>
                  <w:tcW w:w="694" w:type="pct"/>
                  <w:tcBorders>
                    <w:tl2br w:val="nil"/>
                    <w:tr2bl w:val="nil"/>
                  </w:tcBorders>
                  <w:vAlign w:val="center"/>
                </w:tcPr>
                <w:p w14:paraId="389084C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13</w:t>
                  </w:r>
                </w:p>
              </w:tc>
              <w:tc>
                <w:tcPr>
                  <w:tcW w:w="684" w:type="pct"/>
                  <w:vMerge w:val="continue"/>
                  <w:tcBorders>
                    <w:tl2br w:val="nil"/>
                    <w:tr2bl w:val="nil"/>
                  </w:tcBorders>
                  <w:vAlign w:val="center"/>
                </w:tcPr>
                <w:p w14:paraId="7581A6F3">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r>
            <w:tr w14:paraId="69415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24D86FAA">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4</w:t>
                  </w:r>
                </w:p>
              </w:tc>
              <w:tc>
                <w:tcPr>
                  <w:tcW w:w="762" w:type="pct"/>
                  <w:tcBorders>
                    <w:tl2br w:val="nil"/>
                    <w:tr2bl w:val="nil"/>
                  </w:tcBorders>
                  <w:vAlign w:val="center"/>
                </w:tcPr>
                <w:p w14:paraId="4CA1E9B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废机油</w:t>
                  </w:r>
                </w:p>
              </w:tc>
              <w:tc>
                <w:tcPr>
                  <w:tcW w:w="694" w:type="pct"/>
                  <w:tcBorders>
                    <w:tl2br w:val="nil"/>
                    <w:tr2bl w:val="nil"/>
                  </w:tcBorders>
                  <w:vAlign w:val="center"/>
                </w:tcPr>
                <w:p w14:paraId="4140ECA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维修</w:t>
                  </w:r>
                </w:p>
              </w:tc>
              <w:tc>
                <w:tcPr>
                  <w:tcW w:w="610" w:type="pct"/>
                  <w:vMerge w:val="continue"/>
                  <w:tcBorders>
                    <w:tl2br w:val="nil"/>
                    <w:tr2bl w:val="nil"/>
                  </w:tcBorders>
                  <w:vAlign w:val="center"/>
                </w:tcPr>
                <w:p w14:paraId="07143C4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10E875B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900-249-08</w:t>
                  </w:r>
                </w:p>
              </w:tc>
              <w:tc>
                <w:tcPr>
                  <w:tcW w:w="694" w:type="pct"/>
                  <w:tcBorders>
                    <w:tl2br w:val="nil"/>
                    <w:tr2bl w:val="nil"/>
                  </w:tcBorders>
                  <w:vAlign w:val="center"/>
                </w:tcPr>
                <w:p w14:paraId="0864CD0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0.2</w:t>
                  </w:r>
                </w:p>
              </w:tc>
              <w:tc>
                <w:tcPr>
                  <w:tcW w:w="684" w:type="pct"/>
                  <w:vMerge w:val="continue"/>
                  <w:tcBorders>
                    <w:tl2br w:val="nil"/>
                    <w:tr2bl w:val="nil"/>
                  </w:tcBorders>
                  <w:vAlign w:val="center"/>
                </w:tcPr>
                <w:p w14:paraId="4E0D322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r>
            <w:tr w14:paraId="280F18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6D0AE43C">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3"/>
                      <w:sz w:val="18"/>
                      <w:szCs w:val="18"/>
                      <w:lang w:eastAsia="zh-CN"/>
                    </w:rPr>
                  </w:pPr>
                  <w:r>
                    <w:rPr>
                      <w:rFonts w:hint="eastAsia" w:ascii="Times New Roman" w:hAnsi="Times New Roman" w:cs="Times New Roman"/>
                      <w:color w:val="auto"/>
                      <w:spacing w:val="3"/>
                      <w:sz w:val="18"/>
                      <w:szCs w:val="18"/>
                      <w:lang w:val="en-US" w:eastAsia="zh-CN"/>
                    </w:rPr>
                    <w:t>5</w:t>
                  </w:r>
                </w:p>
              </w:tc>
              <w:tc>
                <w:tcPr>
                  <w:tcW w:w="762" w:type="pct"/>
                  <w:tcBorders>
                    <w:tl2br w:val="nil"/>
                    <w:tr2bl w:val="nil"/>
                  </w:tcBorders>
                  <w:vAlign w:val="center"/>
                </w:tcPr>
                <w:p w14:paraId="7B75F9D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废水处理污泥</w:t>
                  </w:r>
                </w:p>
              </w:tc>
              <w:tc>
                <w:tcPr>
                  <w:tcW w:w="694" w:type="pct"/>
                  <w:tcBorders>
                    <w:tl2br w:val="nil"/>
                    <w:tr2bl w:val="nil"/>
                  </w:tcBorders>
                  <w:vAlign w:val="center"/>
                </w:tcPr>
                <w:p w14:paraId="277F9409">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废水处理</w:t>
                  </w:r>
                </w:p>
              </w:tc>
              <w:tc>
                <w:tcPr>
                  <w:tcW w:w="610" w:type="pct"/>
                  <w:vMerge w:val="continue"/>
                  <w:tcBorders>
                    <w:tl2br w:val="nil"/>
                    <w:tr2bl w:val="nil"/>
                  </w:tcBorders>
                  <w:vAlign w:val="center"/>
                </w:tcPr>
                <w:p w14:paraId="4454655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00BBEDB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900-409-06</w:t>
                  </w:r>
                </w:p>
              </w:tc>
              <w:tc>
                <w:tcPr>
                  <w:tcW w:w="694" w:type="pct"/>
                  <w:tcBorders>
                    <w:tl2br w:val="nil"/>
                    <w:tr2bl w:val="nil"/>
                  </w:tcBorders>
                  <w:vAlign w:val="center"/>
                </w:tcPr>
                <w:p w14:paraId="3EED2F7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8</w:t>
                  </w:r>
                </w:p>
              </w:tc>
              <w:tc>
                <w:tcPr>
                  <w:tcW w:w="684" w:type="pct"/>
                  <w:vMerge w:val="continue"/>
                  <w:tcBorders>
                    <w:tl2br w:val="nil"/>
                    <w:tr2bl w:val="nil"/>
                  </w:tcBorders>
                  <w:vAlign w:val="center"/>
                </w:tcPr>
                <w:p w14:paraId="7D348B19">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r>
            <w:tr w14:paraId="34FD9B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102E579E">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3"/>
                      <w:sz w:val="18"/>
                      <w:szCs w:val="18"/>
                      <w:lang w:eastAsia="zh-CN"/>
                    </w:rPr>
                  </w:pPr>
                  <w:r>
                    <w:rPr>
                      <w:rFonts w:hint="eastAsia" w:ascii="Times New Roman" w:hAnsi="Times New Roman" w:cs="Times New Roman"/>
                      <w:color w:val="auto"/>
                      <w:spacing w:val="3"/>
                      <w:sz w:val="18"/>
                      <w:szCs w:val="18"/>
                      <w:lang w:val="en-US" w:eastAsia="zh-CN"/>
                    </w:rPr>
                    <w:t>6</w:t>
                  </w:r>
                </w:p>
              </w:tc>
              <w:tc>
                <w:tcPr>
                  <w:tcW w:w="762" w:type="pct"/>
                  <w:tcBorders>
                    <w:tl2br w:val="nil"/>
                    <w:tr2bl w:val="nil"/>
                  </w:tcBorders>
                  <w:vAlign w:val="center"/>
                </w:tcPr>
                <w:p w14:paraId="3D7D557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酸洗废液</w:t>
                  </w:r>
                </w:p>
              </w:tc>
              <w:tc>
                <w:tcPr>
                  <w:tcW w:w="694" w:type="pct"/>
                  <w:vMerge w:val="restart"/>
                  <w:tcBorders>
                    <w:tl2br w:val="nil"/>
                    <w:tr2bl w:val="nil"/>
                  </w:tcBorders>
                  <w:vAlign w:val="center"/>
                </w:tcPr>
                <w:p w14:paraId="7397B35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过滤器清洗</w:t>
                  </w:r>
                </w:p>
              </w:tc>
              <w:tc>
                <w:tcPr>
                  <w:tcW w:w="610" w:type="pct"/>
                  <w:vMerge w:val="continue"/>
                  <w:tcBorders>
                    <w:tl2br w:val="nil"/>
                    <w:tr2bl w:val="nil"/>
                  </w:tcBorders>
                  <w:vAlign w:val="center"/>
                </w:tcPr>
                <w:p w14:paraId="30E6318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3788A2A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336-064-17</w:t>
                  </w:r>
                </w:p>
              </w:tc>
              <w:tc>
                <w:tcPr>
                  <w:tcW w:w="694" w:type="pct"/>
                  <w:tcBorders>
                    <w:tl2br w:val="nil"/>
                    <w:tr2bl w:val="nil"/>
                  </w:tcBorders>
                  <w:vAlign w:val="center"/>
                </w:tcPr>
                <w:p w14:paraId="370354F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1</w:t>
                  </w:r>
                </w:p>
              </w:tc>
              <w:tc>
                <w:tcPr>
                  <w:tcW w:w="684" w:type="pct"/>
                  <w:vMerge w:val="continue"/>
                  <w:tcBorders>
                    <w:tl2br w:val="nil"/>
                    <w:tr2bl w:val="nil"/>
                  </w:tcBorders>
                  <w:vAlign w:val="center"/>
                </w:tcPr>
                <w:p w14:paraId="1BCD5158">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r>
            <w:tr w14:paraId="40DDA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60283C4A">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3"/>
                      <w:sz w:val="18"/>
                      <w:szCs w:val="18"/>
                      <w:lang w:eastAsia="zh-CN"/>
                    </w:rPr>
                  </w:pPr>
                  <w:r>
                    <w:rPr>
                      <w:rFonts w:hint="eastAsia" w:ascii="Times New Roman" w:hAnsi="Times New Roman" w:cs="Times New Roman"/>
                      <w:color w:val="auto"/>
                      <w:spacing w:val="3"/>
                      <w:sz w:val="18"/>
                      <w:szCs w:val="18"/>
                      <w:lang w:val="en-US" w:eastAsia="zh-CN"/>
                    </w:rPr>
                    <w:t>7</w:t>
                  </w:r>
                </w:p>
              </w:tc>
              <w:tc>
                <w:tcPr>
                  <w:tcW w:w="762" w:type="pct"/>
                  <w:tcBorders>
                    <w:tl2br w:val="nil"/>
                    <w:tr2bl w:val="nil"/>
                  </w:tcBorders>
                  <w:vAlign w:val="center"/>
                </w:tcPr>
                <w:p w14:paraId="68F8D56B">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碱洗废液</w:t>
                  </w:r>
                </w:p>
              </w:tc>
              <w:tc>
                <w:tcPr>
                  <w:tcW w:w="694" w:type="pct"/>
                  <w:vMerge w:val="continue"/>
                  <w:tcBorders>
                    <w:tl2br w:val="nil"/>
                    <w:tr2bl w:val="nil"/>
                  </w:tcBorders>
                  <w:vAlign w:val="center"/>
                </w:tcPr>
                <w:p w14:paraId="691457AA">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610" w:type="pct"/>
                  <w:vMerge w:val="continue"/>
                  <w:tcBorders>
                    <w:tl2br w:val="nil"/>
                    <w:tr2bl w:val="nil"/>
                  </w:tcBorders>
                  <w:vAlign w:val="center"/>
                </w:tcPr>
                <w:p w14:paraId="23883CD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597237C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336-064-17</w:t>
                  </w:r>
                </w:p>
              </w:tc>
              <w:tc>
                <w:tcPr>
                  <w:tcW w:w="694" w:type="pct"/>
                  <w:tcBorders>
                    <w:tl2br w:val="nil"/>
                    <w:tr2bl w:val="nil"/>
                  </w:tcBorders>
                  <w:vAlign w:val="center"/>
                </w:tcPr>
                <w:p w14:paraId="15172BB3">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1</w:t>
                  </w:r>
                </w:p>
              </w:tc>
              <w:tc>
                <w:tcPr>
                  <w:tcW w:w="684" w:type="pct"/>
                  <w:vMerge w:val="continue"/>
                  <w:tcBorders>
                    <w:tl2br w:val="nil"/>
                    <w:tr2bl w:val="nil"/>
                  </w:tcBorders>
                  <w:vAlign w:val="center"/>
                </w:tcPr>
                <w:p w14:paraId="4800939B">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r>
            <w:tr w14:paraId="1A22FF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769F99A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3"/>
                      <w:sz w:val="18"/>
                      <w:szCs w:val="18"/>
                      <w:lang w:eastAsia="zh-CN"/>
                    </w:rPr>
                  </w:pPr>
                  <w:r>
                    <w:rPr>
                      <w:rFonts w:hint="eastAsia" w:ascii="Times New Roman" w:hAnsi="Times New Roman" w:cs="Times New Roman"/>
                      <w:color w:val="auto"/>
                      <w:spacing w:val="3"/>
                      <w:sz w:val="18"/>
                      <w:szCs w:val="18"/>
                      <w:lang w:val="en-US" w:eastAsia="zh-CN"/>
                    </w:rPr>
                    <w:t>8</w:t>
                  </w:r>
                </w:p>
              </w:tc>
              <w:tc>
                <w:tcPr>
                  <w:tcW w:w="762" w:type="pct"/>
                  <w:tcBorders>
                    <w:tl2br w:val="nil"/>
                    <w:tr2bl w:val="nil"/>
                  </w:tcBorders>
                  <w:vAlign w:val="center"/>
                </w:tcPr>
                <w:p w14:paraId="3937700A">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废活性炭</w:t>
                  </w:r>
                </w:p>
              </w:tc>
              <w:tc>
                <w:tcPr>
                  <w:tcW w:w="694" w:type="pct"/>
                  <w:tcBorders>
                    <w:tl2br w:val="nil"/>
                    <w:tr2bl w:val="nil"/>
                  </w:tcBorders>
                  <w:vAlign w:val="center"/>
                </w:tcPr>
                <w:p w14:paraId="6BAC537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废气处理</w:t>
                  </w:r>
                </w:p>
              </w:tc>
              <w:tc>
                <w:tcPr>
                  <w:tcW w:w="610" w:type="pct"/>
                  <w:vMerge w:val="continue"/>
                  <w:tcBorders>
                    <w:tl2br w:val="nil"/>
                    <w:tr2bl w:val="nil"/>
                  </w:tcBorders>
                  <w:vAlign w:val="center"/>
                </w:tcPr>
                <w:p w14:paraId="1A99030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49989E4E">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900-039-49</w:t>
                  </w:r>
                </w:p>
              </w:tc>
              <w:tc>
                <w:tcPr>
                  <w:tcW w:w="694" w:type="pct"/>
                  <w:tcBorders>
                    <w:tl2br w:val="nil"/>
                    <w:tr2bl w:val="nil"/>
                  </w:tcBorders>
                  <w:vAlign w:val="center"/>
                </w:tcPr>
                <w:p w14:paraId="26830F0B">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33</w:t>
                  </w:r>
                </w:p>
              </w:tc>
              <w:tc>
                <w:tcPr>
                  <w:tcW w:w="684" w:type="pct"/>
                  <w:vMerge w:val="continue"/>
                  <w:tcBorders>
                    <w:tl2br w:val="nil"/>
                    <w:tr2bl w:val="nil"/>
                  </w:tcBorders>
                  <w:vAlign w:val="center"/>
                </w:tcPr>
                <w:p w14:paraId="0F7FEBB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r>
            <w:tr w14:paraId="13845D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6AAC46E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3"/>
                      <w:sz w:val="18"/>
                      <w:szCs w:val="18"/>
                      <w:lang w:eastAsia="zh-CN"/>
                    </w:rPr>
                  </w:pPr>
                  <w:r>
                    <w:rPr>
                      <w:rFonts w:hint="eastAsia" w:ascii="Times New Roman" w:hAnsi="Times New Roman" w:cs="Times New Roman"/>
                      <w:color w:val="auto"/>
                      <w:spacing w:val="3"/>
                      <w:sz w:val="18"/>
                      <w:szCs w:val="18"/>
                      <w:lang w:val="en-US" w:eastAsia="zh-CN"/>
                    </w:rPr>
                    <w:t>9</w:t>
                  </w:r>
                </w:p>
              </w:tc>
              <w:tc>
                <w:tcPr>
                  <w:tcW w:w="762" w:type="pct"/>
                  <w:tcBorders>
                    <w:tl2br w:val="nil"/>
                    <w:tr2bl w:val="nil"/>
                  </w:tcBorders>
                  <w:vAlign w:val="center"/>
                </w:tcPr>
                <w:p w14:paraId="2F40A7B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不合格产品</w:t>
                  </w:r>
                </w:p>
              </w:tc>
              <w:tc>
                <w:tcPr>
                  <w:tcW w:w="694" w:type="pct"/>
                  <w:tcBorders>
                    <w:tl2br w:val="nil"/>
                    <w:tr2bl w:val="nil"/>
                  </w:tcBorders>
                  <w:vAlign w:val="center"/>
                </w:tcPr>
                <w:p w14:paraId="555F272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生产</w:t>
                  </w:r>
                </w:p>
              </w:tc>
              <w:tc>
                <w:tcPr>
                  <w:tcW w:w="610" w:type="pct"/>
                  <w:vMerge w:val="restart"/>
                  <w:tcBorders>
                    <w:tl2br w:val="nil"/>
                    <w:tr2bl w:val="nil"/>
                  </w:tcBorders>
                  <w:vAlign w:val="center"/>
                </w:tcPr>
                <w:p w14:paraId="7983411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一般固废</w:t>
                  </w:r>
                </w:p>
              </w:tc>
              <w:tc>
                <w:tcPr>
                  <w:tcW w:w="1013" w:type="pct"/>
                  <w:tcBorders>
                    <w:tl2br w:val="nil"/>
                    <w:tr2bl w:val="nil"/>
                  </w:tcBorders>
                  <w:vAlign w:val="center"/>
                </w:tcPr>
                <w:p w14:paraId="3EB6292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eastAsia" w:ascii="Times New Roman" w:hAnsi="Times New Roman" w:cs="Times New Roman"/>
                      <w:color w:val="auto"/>
                      <w:spacing w:val="3"/>
                      <w:sz w:val="18"/>
                      <w:szCs w:val="18"/>
                      <w:lang w:val="en-US" w:eastAsia="zh-CN"/>
                    </w:rPr>
                    <w:t>900-003-S17</w:t>
                  </w:r>
                </w:p>
              </w:tc>
              <w:tc>
                <w:tcPr>
                  <w:tcW w:w="694" w:type="pct"/>
                  <w:tcBorders>
                    <w:tl2br w:val="nil"/>
                    <w:tr2bl w:val="nil"/>
                  </w:tcBorders>
                  <w:vAlign w:val="center"/>
                </w:tcPr>
                <w:p w14:paraId="7A5ABB3F">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1500</w:t>
                  </w:r>
                </w:p>
              </w:tc>
              <w:tc>
                <w:tcPr>
                  <w:tcW w:w="684" w:type="pct"/>
                  <w:vMerge w:val="restart"/>
                  <w:tcBorders>
                    <w:tl2br w:val="nil"/>
                    <w:tr2bl w:val="nil"/>
                  </w:tcBorders>
                  <w:vAlign w:val="center"/>
                </w:tcPr>
                <w:p w14:paraId="1FA86DAF">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收集后外售处置</w:t>
                  </w:r>
                </w:p>
              </w:tc>
            </w:tr>
            <w:tr w14:paraId="557A81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1423FBB3">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eastAsia" w:ascii="Times New Roman" w:hAnsi="Times New Roman" w:cs="Times New Roman"/>
                      <w:color w:val="auto"/>
                      <w:spacing w:val="3"/>
                      <w:sz w:val="18"/>
                      <w:szCs w:val="18"/>
                      <w:lang w:val="en-US" w:eastAsia="zh-CN"/>
                    </w:rPr>
                    <w:t>10</w:t>
                  </w:r>
                </w:p>
              </w:tc>
              <w:tc>
                <w:tcPr>
                  <w:tcW w:w="762" w:type="pct"/>
                  <w:tcBorders>
                    <w:tl2br w:val="nil"/>
                    <w:tr2bl w:val="nil"/>
                  </w:tcBorders>
                  <w:vAlign w:val="center"/>
                </w:tcPr>
                <w:p w14:paraId="133FE68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边角料</w:t>
                  </w:r>
                </w:p>
              </w:tc>
              <w:tc>
                <w:tcPr>
                  <w:tcW w:w="694" w:type="pct"/>
                  <w:tcBorders>
                    <w:tl2br w:val="nil"/>
                    <w:tr2bl w:val="nil"/>
                  </w:tcBorders>
                  <w:vAlign w:val="center"/>
                </w:tcPr>
                <w:p w14:paraId="18862488">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生产</w:t>
                  </w:r>
                </w:p>
              </w:tc>
              <w:tc>
                <w:tcPr>
                  <w:tcW w:w="610" w:type="pct"/>
                  <w:vMerge w:val="continue"/>
                  <w:tcBorders>
                    <w:tl2br w:val="nil"/>
                    <w:tr2bl w:val="nil"/>
                  </w:tcBorders>
                  <w:vAlign w:val="center"/>
                </w:tcPr>
                <w:p w14:paraId="2B2B21E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772535A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eastAsia" w:ascii="Times New Roman" w:hAnsi="Times New Roman" w:cs="Times New Roman"/>
                      <w:color w:val="auto"/>
                      <w:spacing w:val="3"/>
                      <w:sz w:val="18"/>
                      <w:szCs w:val="18"/>
                      <w:lang w:val="en-US" w:eastAsia="zh-CN"/>
                    </w:rPr>
                    <w:t>900-003-S17</w:t>
                  </w:r>
                </w:p>
              </w:tc>
              <w:tc>
                <w:tcPr>
                  <w:tcW w:w="694" w:type="pct"/>
                  <w:tcBorders>
                    <w:tl2br w:val="nil"/>
                    <w:tr2bl w:val="nil"/>
                  </w:tcBorders>
                  <w:vAlign w:val="center"/>
                </w:tcPr>
                <w:p w14:paraId="1D3234CB">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100</w:t>
                  </w:r>
                </w:p>
              </w:tc>
              <w:tc>
                <w:tcPr>
                  <w:tcW w:w="684" w:type="pct"/>
                  <w:vMerge w:val="continue"/>
                  <w:tcBorders>
                    <w:tl2br w:val="nil"/>
                    <w:tr2bl w:val="nil"/>
                  </w:tcBorders>
                  <w:vAlign w:val="center"/>
                </w:tcPr>
                <w:p w14:paraId="0E92690C">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r>
            <w:tr w14:paraId="283449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337621B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3"/>
                      <w:sz w:val="18"/>
                      <w:szCs w:val="18"/>
                      <w:lang w:eastAsia="zh-CN"/>
                    </w:rPr>
                  </w:pPr>
                  <w:r>
                    <w:rPr>
                      <w:rFonts w:hint="default" w:ascii="Times New Roman" w:hAnsi="Times New Roman" w:cs="Times New Roman"/>
                      <w:color w:val="auto"/>
                      <w:spacing w:val="3"/>
                      <w:sz w:val="18"/>
                      <w:szCs w:val="18"/>
                    </w:rPr>
                    <w:t>1</w:t>
                  </w:r>
                  <w:r>
                    <w:rPr>
                      <w:rFonts w:hint="eastAsia" w:ascii="Times New Roman" w:hAnsi="Times New Roman" w:cs="Times New Roman"/>
                      <w:color w:val="auto"/>
                      <w:spacing w:val="3"/>
                      <w:sz w:val="18"/>
                      <w:szCs w:val="18"/>
                      <w:lang w:val="en-US" w:eastAsia="zh-CN"/>
                    </w:rPr>
                    <w:t>1</w:t>
                  </w:r>
                </w:p>
              </w:tc>
              <w:tc>
                <w:tcPr>
                  <w:tcW w:w="762" w:type="pct"/>
                  <w:tcBorders>
                    <w:tl2br w:val="nil"/>
                    <w:tr2bl w:val="nil"/>
                  </w:tcBorders>
                  <w:vAlign w:val="center"/>
                </w:tcPr>
                <w:p w14:paraId="24159285">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废膜</w:t>
                  </w:r>
                </w:p>
              </w:tc>
              <w:tc>
                <w:tcPr>
                  <w:tcW w:w="694" w:type="pct"/>
                  <w:tcBorders>
                    <w:tl2br w:val="nil"/>
                    <w:tr2bl w:val="nil"/>
                  </w:tcBorders>
                  <w:vAlign w:val="center"/>
                </w:tcPr>
                <w:p w14:paraId="5A84642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生产</w:t>
                  </w:r>
                </w:p>
              </w:tc>
              <w:tc>
                <w:tcPr>
                  <w:tcW w:w="610" w:type="pct"/>
                  <w:vMerge w:val="continue"/>
                  <w:tcBorders>
                    <w:tl2br w:val="nil"/>
                    <w:tr2bl w:val="nil"/>
                  </w:tcBorders>
                  <w:vAlign w:val="center"/>
                </w:tcPr>
                <w:p w14:paraId="2417F04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1D659739">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eastAsia" w:ascii="Times New Roman" w:hAnsi="Times New Roman" w:cs="Times New Roman"/>
                      <w:color w:val="auto"/>
                      <w:spacing w:val="3"/>
                      <w:sz w:val="18"/>
                      <w:szCs w:val="18"/>
                      <w:lang w:val="en-US" w:eastAsia="zh-CN"/>
                    </w:rPr>
                    <w:t>900-003-S17</w:t>
                  </w:r>
                </w:p>
              </w:tc>
              <w:tc>
                <w:tcPr>
                  <w:tcW w:w="694" w:type="pct"/>
                  <w:tcBorders>
                    <w:tl2br w:val="nil"/>
                    <w:tr2bl w:val="nil"/>
                  </w:tcBorders>
                  <w:vAlign w:val="center"/>
                </w:tcPr>
                <w:p w14:paraId="1B9D207C">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40</w:t>
                  </w:r>
                </w:p>
              </w:tc>
              <w:tc>
                <w:tcPr>
                  <w:tcW w:w="684" w:type="pct"/>
                  <w:vMerge w:val="continue"/>
                  <w:tcBorders>
                    <w:tl2br w:val="nil"/>
                    <w:tr2bl w:val="nil"/>
                  </w:tcBorders>
                  <w:vAlign w:val="center"/>
                </w:tcPr>
                <w:p w14:paraId="718E152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r>
            <w:tr w14:paraId="0FF4A0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4B0ECB8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3"/>
                      <w:sz w:val="18"/>
                      <w:szCs w:val="18"/>
                      <w:lang w:eastAsia="zh-CN"/>
                    </w:rPr>
                  </w:pPr>
                  <w:r>
                    <w:rPr>
                      <w:rFonts w:hint="default" w:ascii="Times New Roman" w:hAnsi="Times New Roman" w:cs="Times New Roman"/>
                      <w:color w:val="auto"/>
                      <w:spacing w:val="3"/>
                      <w:sz w:val="18"/>
                      <w:szCs w:val="18"/>
                    </w:rPr>
                    <w:t>1</w:t>
                  </w:r>
                  <w:r>
                    <w:rPr>
                      <w:rFonts w:hint="eastAsia" w:ascii="Times New Roman" w:hAnsi="Times New Roman" w:cs="Times New Roman"/>
                      <w:color w:val="auto"/>
                      <w:spacing w:val="3"/>
                      <w:sz w:val="18"/>
                      <w:szCs w:val="18"/>
                      <w:lang w:val="en-US" w:eastAsia="zh-CN"/>
                    </w:rPr>
                    <w:t>2</w:t>
                  </w:r>
                </w:p>
              </w:tc>
              <w:tc>
                <w:tcPr>
                  <w:tcW w:w="762" w:type="pct"/>
                  <w:tcBorders>
                    <w:tl2br w:val="nil"/>
                    <w:tr2bl w:val="nil"/>
                  </w:tcBorders>
                  <w:vAlign w:val="center"/>
                </w:tcPr>
                <w:p w14:paraId="3B3ABE6F">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废树脂膜</w:t>
                  </w:r>
                </w:p>
              </w:tc>
              <w:tc>
                <w:tcPr>
                  <w:tcW w:w="694" w:type="pct"/>
                  <w:tcBorders>
                    <w:tl2br w:val="nil"/>
                    <w:tr2bl w:val="nil"/>
                  </w:tcBorders>
                  <w:vAlign w:val="center"/>
                </w:tcPr>
                <w:p w14:paraId="1682B2D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纯水制备</w:t>
                  </w:r>
                </w:p>
              </w:tc>
              <w:tc>
                <w:tcPr>
                  <w:tcW w:w="610" w:type="pct"/>
                  <w:vMerge w:val="continue"/>
                  <w:tcBorders>
                    <w:tl2br w:val="nil"/>
                    <w:tr2bl w:val="nil"/>
                  </w:tcBorders>
                  <w:vAlign w:val="center"/>
                </w:tcPr>
                <w:p w14:paraId="13391EC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p>
              </w:tc>
              <w:tc>
                <w:tcPr>
                  <w:tcW w:w="1013" w:type="pct"/>
                  <w:tcBorders>
                    <w:tl2br w:val="nil"/>
                    <w:tr2bl w:val="nil"/>
                  </w:tcBorders>
                  <w:vAlign w:val="center"/>
                </w:tcPr>
                <w:p w14:paraId="4650DAAF">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cs="Times New Roman"/>
                      <w:color w:val="auto"/>
                      <w:spacing w:val="3"/>
                      <w:sz w:val="18"/>
                      <w:szCs w:val="18"/>
                    </w:rPr>
                    <w:t>900-</w:t>
                  </w:r>
                  <w:r>
                    <w:rPr>
                      <w:rFonts w:hint="eastAsia" w:ascii="Times New Roman" w:hAnsi="Times New Roman" w:cs="Times New Roman"/>
                      <w:color w:val="auto"/>
                      <w:spacing w:val="3"/>
                      <w:sz w:val="18"/>
                      <w:szCs w:val="18"/>
                      <w:lang w:val="en-US" w:eastAsia="zh-CN"/>
                    </w:rPr>
                    <w:t>008-S59</w:t>
                  </w:r>
                </w:p>
              </w:tc>
              <w:tc>
                <w:tcPr>
                  <w:tcW w:w="694" w:type="pct"/>
                  <w:tcBorders>
                    <w:tl2br w:val="nil"/>
                    <w:tr2bl w:val="nil"/>
                  </w:tcBorders>
                  <w:vAlign w:val="center"/>
                </w:tcPr>
                <w:p w14:paraId="4DB67EA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0.04</w:t>
                  </w:r>
                </w:p>
              </w:tc>
              <w:tc>
                <w:tcPr>
                  <w:tcW w:w="684" w:type="pct"/>
                  <w:tcBorders>
                    <w:tl2br w:val="nil"/>
                    <w:tr2bl w:val="nil"/>
                  </w:tcBorders>
                  <w:vAlign w:val="center"/>
                </w:tcPr>
                <w:p w14:paraId="70A82ADF">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cs="Times New Roman"/>
                      <w:color w:val="auto"/>
                      <w:spacing w:val="3"/>
                      <w:sz w:val="18"/>
                      <w:szCs w:val="18"/>
                    </w:rPr>
                    <w:t>收集后</w:t>
                  </w:r>
                  <w:r>
                    <w:rPr>
                      <w:rFonts w:hint="eastAsia" w:ascii="Times New Roman" w:hAnsi="Times New Roman" w:cs="Times New Roman"/>
                      <w:color w:val="auto"/>
                      <w:spacing w:val="3"/>
                      <w:sz w:val="18"/>
                      <w:szCs w:val="18"/>
                      <w:lang w:val="en-US" w:eastAsia="zh-CN"/>
                    </w:rPr>
                    <w:t>委外处置</w:t>
                  </w:r>
                </w:p>
              </w:tc>
            </w:tr>
            <w:tr w14:paraId="2AF124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39" w:type="pct"/>
                  <w:tcBorders>
                    <w:tl2br w:val="nil"/>
                    <w:tr2bl w:val="nil"/>
                  </w:tcBorders>
                  <w:vAlign w:val="center"/>
                </w:tcPr>
                <w:p w14:paraId="3A6886C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3"/>
                      <w:sz w:val="18"/>
                      <w:szCs w:val="18"/>
                      <w:lang w:eastAsia="zh-CN"/>
                    </w:rPr>
                  </w:pPr>
                  <w:r>
                    <w:rPr>
                      <w:rFonts w:hint="default" w:ascii="Times New Roman" w:hAnsi="Times New Roman" w:cs="Times New Roman"/>
                      <w:color w:val="auto"/>
                      <w:spacing w:val="3"/>
                      <w:sz w:val="18"/>
                      <w:szCs w:val="18"/>
                    </w:rPr>
                    <w:t>1</w:t>
                  </w:r>
                  <w:r>
                    <w:rPr>
                      <w:rFonts w:hint="eastAsia" w:ascii="Times New Roman" w:hAnsi="Times New Roman" w:cs="Times New Roman"/>
                      <w:color w:val="auto"/>
                      <w:spacing w:val="3"/>
                      <w:sz w:val="18"/>
                      <w:szCs w:val="18"/>
                      <w:lang w:val="en-US" w:eastAsia="zh-CN"/>
                    </w:rPr>
                    <w:t>3</w:t>
                  </w:r>
                </w:p>
              </w:tc>
              <w:tc>
                <w:tcPr>
                  <w:tcW w:w="762" w:type="pct"/>
                  <w:tcBorders>
                    <w:tl2br w:val="nil"/>
                    <w:tr2bl w:val="nil"/>
                  </w:tcBorders>
                  <w:vAlign w:val="center"/>
                </w:tcPr>
                <w:p w14:paraId="71813556">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生活垃圾</w:t>
                  </w:r>
                </w:p>
              </w:tc>
              <w:tc>
                <w:tcPr>
                  <w:tcW w:w="694" w:type="pct"/>
                  <w:tcBorders>
                    <w:tl2br w:val="nil"/>
                    <w:tr2bl w:val="nil"/>
                  </w:tcBorders>
                  <w:vAlign w:val="center"/>
                </w:tcPr>
                <w:p w14:paraId="30DAD45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w:t>
                  </w:r>
                </w:p>
              </w:tc>
              <w:tc>
                <w:tcPr>
                  <w:tcW w:w="610" w:type="pct"/>
                  <w:tcBorders>
                    <w:tl2br w:val="nil"/>
                    <w:tr2bl w:val="nil"/>
                  </w:tcBorders>
                  <w:vAlign w:val="center"/>
                </w:tcPr>
                <w:p w14:paraId="64F88FC9">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生活垃圾</w:t>
                  </w:r>
                </w:p>
              </w:tc>
              <w:tc>
                <w:tcPr>
                  <w:tcW w:w="1013" w:type="pct"/>
                  <w:tcBorders>
                    <w:tl2br w:val="nil"/>
                    <w:tr2bl w:val="nil"/>
                  </w:tcBorders>
                  <w:vAlign w:val="center"/>
                </w:tcPr>
                <w:p w14:paraId="5AB1F8C2">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default" w:ascii="Times New Roman" w:hAnsi="Times New Roman" w:cs="Times New Roman"/>
                      <w:color w:val="auto"/>
                      <w:spacing w:val="3"/>
                      <w:sz w:val="18"/>
                      <w:szCs w:val="18"/>
                    </w:rPr>
                    <w:t>900-</w:t>
                  </w:r>
                  <w:r>
                    <w:rPr>
                      <w:rFonts w:hint="eastAsia" w:ascii="Times New Roman" w:hAnsi="Times New Roman" w:cs="Times New Roman"/>
                      <w:color w:val="auto"/>
                      <w:spacing w:val="3"/>
                      <w:sz w:val="18"/>
                      <w:szCs w:val="18"/>
                      <w:lang w:val="en-US" w:eastAsia="zh-CN"/>
                    </w:rPr>
                    <w:t>099-S64</w:t>
                  </w:r>
                </w:p>
              </w:tc>
              <w:tc>
                <w:tcPr>
                  <w:tcW w:w="694" w:type="pct"/>
                  <w:tcBorders>
                    <w:tl2br w:val="nil"/>
                    <w:tr2bl w:val="nil"/>
                  </w:tcBorders>
                  <w:vAlign w:val="center"/>
                </w:tcPr>
                <w:p w14:paraId="55E0DC1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16</w:t>
                  </w:r>
                </w:p>
              </w:tc>
              <w:tc>
                <w:tcPr>
                  <w:tcW w:w="684" w:type="pct"/>
                  <w:tcBorders>
                    <w:tl2br w:val="nil"/>
                    <w:tr2bl w:val="nil"/>
                  </w:tcBorders>
                  <w:vAlign w:val="center"/>
                </w:tcPr>
                <w:p w14:paraId="6DF3DF24">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cs="Times New Roman"/>
                      <w:color w:val="auto"/>
                      <w:spacing w:val="3"/>
                      <w:sz w:val="18"/>
                      <w:szCs w:val="18"/>
                    </w:rPr>
                  </w:pPr>
                  <w:r>
                    <w:rPr>
                      <w:rFonts w:hint="default" w:ascii="Times New Roman" w:hAnsi="Times New Roman" w:cs="Times New Roman"/>
                      <w:color w:val="auto"/>
                      <w:spacing w:val="3"/>
                      <w:sz w:val="18"/>
                      <w:szCs w:val="18"/>
                    </w:rPr>
                    <w:t>环卫清运</w:t>
                  </w:r>
                </w:p>
              </w:tc>
            </w:tr>
          </w:tbl>
          <w:p w14:paraId="0F43357B">
            <w:pPr>
              <w:keepNext w:val="0"/>
              <w:keepLines w:val="0"/>
              <w:pageBreakBefore w:val="0"/>
              <w:widowControl w:val="0"/>
              <w:kinsoku/>
              <w:wordWrap/>
              <w:overflowPunct/>
              <w:topLinePunct w:val="0"/>
              <w:autoSpaceDE/>
              <w:autoSpaceDN/>
              <w:bidi w:val="0"/>
              <w:adjustRightInd w:val="0"/>
              <w:snapToGrid w:val="0"/>
              <w:spacing w:line="360" w:lineRule="auto"/>
              <w:ind w:firstLine="400"/>
              <w:textAlignment w:val="auto"/>
              <w:rPr>
                <w:rFonts w:hint="eastAsia"/>
                <w:color w:val="auto"/>
                <w:spacing w:val="8"/>
              </w:rPr>
            </w:pPr>
            <w:r>
              <w:rPr>
                <w:rFonts w:hint="eastAsia"/>
                <w:color w:val="auto"/>
                <w:spacing w:val="-5"/>
              </w:rPr>
              <w:t>现有项目已设置一般固废堆场1座，建设面积</w:t>
            </w:r>
            <w:r>
              <w:rPr>
                <w:rFonts w:hint="eastAsia"/>
                <w:color w:val="auto"/>
                <w:spacing w:val="-5"/>
                <w:lang w:val="en-US" w:eastAsia="zh-CN"/>
              </w:rPr>
              <w:t>504</w:t>
            </w:r>
            <w:r>
              <w:rPr>
                <w:rFonts w:hint="eastAsia"/>
                <w:color w:val="auto"/>
                <w:spacing w:val="-5"/>
              </w:rPr>
              <w:t>m</w:t>
            </w:r>
            <w:r>
              <w:rPr>
                <w:rFonts w:hint="eastAsia"/>
                <w:color w:val="auto"/>
                <w:spacing w:val="-5"/>
                <w:vertAlign w:val="superscript"/>
              </w:rPr>
              <w:t>2</w:t>
            </w:r>
            <w:r>
              <w:rPr>
                <w:rFonts w:hint="eastAsia"/>
                <w:color w:val="auto"/>
                <w:spacing w:val="-5"/>
              </w:rPr>
              <w:t>，对照《一般固体废物贮存和填埋污染控制标准》（GB18599-2020）要求，现有项目一般固废堆场符合相关建设要求。现有项目已设置危废仓库1座，建设面积</w:t>
            </w:r>
            <w:r>
              <w:rPr>
                <w:rFonts w:hint="eastAsia"/>
                <w:color w:val="auto"/>
                <w:spacing w:val="-5"/>
                <w:lang w:val="en-US" w:eastAsia="zh-CN"/>
              </w:rPr>
              <w:t>160</w:t>
            </w:r>
            <w:r>
              <w:rPr>
                <w:rFonts w:hint="eastAsia"/>
                <w:color w:val="auto"/>
                <w:spacing w:val="-5"/>
              </w:rPr>
              <w:t>m</w:t>
            </w:r>
            <w:r>
              <w:rPr>
                <w:rFonts w:hint="eastAsia"/>
                <w:color w:val="auto"/>
                <w:spacing w:val="-5"/>
                <w:vertAlign w:val="superscript"/>
              </w:rPr>
              <w:t>2</w:t>
            </w:r>
            <w:r>
              <w:rPr>
                <w:rFonts w:hint="eastAsia"/>
                <w:color w:val="auto"/>
                <w:spacing w:val="-5"/>
              </w:rPr>
              <w:t>，对照《省生态环境厅关于进一步加强危险废物污染防治工作的实施意见》（苏环办〔2019〕327号）要求，现有项目危废仓库符合相关建设要求。与</w:t>
            </w:r>
            <w:r>
              <w:rPr>
                <w:color w:val="auto"/>
                <w:spacing w:val="8"/>
              </w:rPr>
              <w:t>《危险废物贮存污染控制标准》（</w:t>
            </w:r>
            <w:r>
              <w:rPr>
                <w:rFonts w:eastAsia="Times New Roman" w:cs="Times New Roman"/>
                <w:color w:val="auto"/>
              </w:rPr>
              <w:t>GB</w:t>
            </w:r>
            <w:r>
              <w:rPr>
                <w:rFonts w:eastAsia="Times New Roman" w:cs="Times New Roman"/>
                <w:color w:val="auto"/>
                <w:spacing w:val="8"/>
              </w:rPr>
              <w:t>18597-2023</w:t>
            </w:r>
            <w:r>
              <w:rPr>
                <w:color w:val="auto"/>
                <w:spacing w:val="8"/>
              </w:rPr>
              <w:t>）</w:t>
            </w:r>
            <w:r>
              <w:rPr>
                <w:rFonts w:hint="eastAsia"/>
                <w:color w:val="auto"/>
                <w:spacing w:val="8"/>
              </w:rPr>
              <w:t>相符性见表2-</w:t>
            </w:r>
            <w:r>
              <w:rPr>
                <w:rFonts w:hint="eastAsia"/>
                <w:color w:val="auto"/>
                <w:spacing w:val="8"/>
                <w:lang w:val="en-US" w:eastAsia="zh-CN"/>
              </w:rPr>
              <w:t>14</w:t>
            </w:r>
            <w:r>
              <w:rPr>
                <w:rFonts w:hint="eastAsia"/>
                <w:color w:val="auto"/>
                <w:spacing w:val="8"/>
              </w:rPr>
              <w:t>。</w:t>
            </w:r>
          </w:p>
          <w:p w14:paraId="791BA8A2">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rPr>
              <w:t>2-</w:t>
            </w:r>
            <w:r>
              <w:rPr>
                <w:rFonts w:hint="eastAsia" w:cs="Times New Roman"/>
                <w:b/>
                <w:color w:val="auto"/>
                <w:sz w:val="21"/>
                <w:szCs w:val="21"/>
                <w:highlight w:val="none"/>
                <w:lang w:val="en-US" w:eastAsia="zh-CN"/>
              </w:rPr>
              <w:t>14</w:t>
            </w:r>
            <w:r>
              <w:rPr>
                <w:rFonts w:hint="eastAsia"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rPr>
              <w:t>与《危险废物贮存污染控制标准》（GB18597-2023）相符性表</w:t>
            </w:r>
          </w:p>
          <w:tbl>
            <w:tblPr>
              <w:tblStyle w:val="15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35"/>
              <w:gridCol w:w="257"/>
              <w:gridCol w:w="4850"/>
              <w:gridCol w:w="1331"/>
              <w:gridCol w:w="397"/>
            </w:tblGrid>
            <w:tr w14:paraId="7300FA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02" w:type="pct"/>
                  <w:gridSpan w:val="2"/>
                  <w:tcBorders>
                    <w:tl2br w:val="nil"/>
                    <w:tr2bl w:val="nil"/>
                  </w:tcBorders>
                  <w:shd w:val="clear" w:color="auto" w:fill="D7D7D7" w:themeFill="background1" w:themeFillShade="D8"/>
                  <w:vAlign w:val="center"/>
                </w:tcPr>
                <w:p w14:paraId="4E07A690">
                  <w:pPr>
                    <w:pStyle w:val="167"/>
                    <w:widowControl/>
                    <w:kinsoku w:val="0"/>
                    <w:autoSpaceDE w:val="0"/>
                    <w:autoSpaceDN w:val="0"/>
                    <w:spacing w:line="240" w:lineRule="auto"/>
                    <w:ind w:firstLine="0" w:firstLineChars="0"/>
                    <w:jc w:val="center"/>
                    <w:textAlignment w:val="baseline"/>
                    <w:rPr>
                      <w:rFonts w:ascii="Times New Roman" w:hAnsi="Times New Roman" w:cs="Times New Roman"/>
                      <w:b/>
                      <w:bCs/>
                      <w:color w:val="auto"/>
                      <w:sz w:val="18"/>
                      <w:szCs w:val="18"/>
                    </w:rPr>
                  </w:pPr>
                  <w:r>
                    <w:rPr>
                      <w:rFonts w:ascii="Times New Roman" w:hAnsi="Times New Roman" w:cs="Times New Roman"/>
                      <w:b/>
                      <w:bCs/>
                      <w:color w:val="auto"/>
                      <w:spacing w:val="6"/>
                      <w:sz w:val="18"/>
                      <w:szCs w:val="18"/>
                    </w:rPr>
                    <w:t>文件名称</w:t>
                  </w:r>
                </w:p>
              </w:tc>
              <w:tc>
                <w:tcPr>
                  <w:tcW w:w="3037" w:type="pct"/>
                  <w:tcBorders>
                    <w:tl2br w:val="nil"/>
                    <w:tr2bl w:val="nil"/>
                  </w:tcBorders>
                  <w:shd w:val="clear" w:color="auto" w:fill="D7D7D7" w:themeFill="background1" w:themeFillShade="D8"/>
                  <w:vAlign w:val="center"/>
                </w:tcPr>
                <w:p w14:paraId="5561B14E">
                  <w:pPr>
                    <w:pStyle w:val="167"/>
                    <w:widowControl/>
                    <w:kinsoku w:val="0"/>
                    <w:autoSpaceDE w:val="0"/>
                    <w:autoSpaceDN w:val="0"/>
                    <w:spacing w:line="240" w:lineRule="auto"/>
                    <w:ind w:firstLine="0" w:firstLineChars="0"/>
                    <w:jc w:val="center"/>
                    <w:textAlignment w:val="baseline"/>
                    <w:rPr>
                      <w:rFonts w:ascii="Times New Roman" w:hAnsi="Times New Roman" w:cs="Times New Roman"/>
                      <w:b/>
                      <w:bCs/>
                      <w:color w:val="auto"/>
                      <w:sz w:val="18"/>
                      <w:szCs w:val="18"/>
                    </w:rPr>
                  </w:pPr>
                  <w:r>
                    <w:rPr>
                      <w:rFonts w:ascii="Times New Roman" w:hAnsi="Times New Roman" w:cs="Times New Roman"/>
                      <w:b/>
                      <w:bCs/>
                      <w:color w:val="auto"/>
                      <w:spacing w:val="7"/>
                      <w:sz w:val="18"/>
                      <w:szCs w:val="18"/>
                    </w:rPr>
                    <w:t>文件规定要求</w:t>
                  </w:r>
                </w:p>
              </w:tc>
              <w:tc>
                <w:tcPr>
                  <w:tcW w:w="936" w:type="pct"/>
                  <w:tcBorders>
                    <w:tl2br w:val="nil"/>
                    <w:tr2bl w:val="nil"/>
                  </w:tcBorders>
                  <w:shd w:val="clear" w:color="auto" w:fill="D7D7D7" w:themeFill="background1" w:themeFillShade="D8"/>
                  <w:vAlign w:val="center"/>
                </w:tcPr>
                <w:p w14:paraId="412E671E">
                  <w:pPr>
                    <w:pStyle w:val="167"/>
                    <w:widowControl/>
                    <w:kinsoku w:val="0"/>
                    <w:autoSpaceDE w:val="0"/>
                    <w:autoSpaceDN w:val="0"/>
                    <w:spacing w:line="240" w:lineRule="auto"/>
                    <w:ind w:firstLine="0" w:firstLineChars="0"/>
                    <w:jc w:val="center"/>
                    <w:textAlignment w:val="baseline"/>
                    <w:rPr>
                      <w:rFonts w:ascii="Times New Roman" w:hAnsi="Times New Roman" w:cs="Times New Roman"/>
                      <w:b/>
                      <w:bCs/>
                      <w:color w:val="auto"/>
                      <w:sz w:val="18"/>
                      <w:szCs w:val="18"/>
                    </w:rPr>
                  </w:pPr>
                  <w:r>
                    <w:rPr>
                      <w:rFonts w:ascii="Times New Roman" w:hAnsi="Times New Roman" w:cs="Times New Roman"/>
                      <w:b/>
                      <w:bCs/>
                      <w:color w:val="auto"/>
                      <w:spacing w:val="7"/>
                      <w:sz w:val="18"/>
                      <w:szCs w:val="18"/>
                    </w:rPr>
                    <w:t>实施情况</w:t>
                  </w:r>
                </w:p>
              </w:tc>
              <w:tc>
                <w:tcPr>
                  <w:tcW w:w="323" w:type="pct"/>
                  <w:tcBorders>
                    <w:tl2br w:val="nil"/>
                    <w:tr2bl w:val="nil"/>
                  </w:tcBorders>
                  <w:shd w:val="clear" w:color="auto" w:fill="D7D7D7" w:themeFill="background1" w:themeFillShade="D8"/>
                  <w:vAlign w:val="center"/>
                </w:tcPr>
                <w:p w14:paraId="49A96B88">
                  <w:pPr>
                    <w:pStyle w:val="167"/>
                    <w:widowControl/>
                    <w:tabs>
                      <w:tab w:val="left" w:pos="467"/>
                    </w:tabs>
                    <w:kinsoku w:val="0"/>
                    <w:autoSpaceDE w:val="0"/>
                    <w:autoSpaceDN w:val="0"/>
                    <w:spacing w:line="240" w:lineRule="auto"/>
                    <w:ind w:firstLine="0" w:firstLineChars="0"/>
                    <w:jc w:val="center"/>
                    <w:textAlignment w:val="baseline"/>
                    <w:rPr>
                      <w:rFonts w:ascii="Times New Roman" w:hAnsi="Times New Roman" w:cs="Times New Roman"/>
                      <w:b/>
                      <w:bCs/>
                      <w:color w:val="auto"/>
                      <w:spacing w:val="7"/>
                      <w:sz w:val="18"/>
                      <w:szCs w:val="18"/>
                      <w:lang w:eastAsia="zh-CN"/>
                    </w:rPr>
                  </w:pPr>
                  <w:r>
                    <w:rPr>
                      <w:rFonts w:hint="eastAsia" w:ascii="Times New Roman" w:hAnsi="Times New Roman" w:cs="Times New Roman"/>
                      <w:b/>
                      <w:bCs/>
                      <w:color w:val="auto"/>
                      <w:spacing w:val="7"/>
                      <w:sz w:val="18"/>
                      <w:szCs w:val="18"/>
                      <w:lang w:eastAsia="zh-CN"/>
                    </w:rPr>
                    <w:t>相符性</w:t>
                  </w:r>
                </w:p>
              </w:tc>
            </w:tr>
            <w:tr w14:paraId="7C1ADC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7" w:type="pct"/>
                  <w:vMerge w:val="restart"/>
                  <w:tcBorders>
                    <w:tl2br w:val="nil"/>
                    <w:tr2bl w:val="nil"/>
                  </w:tcBorders>
                  <w:vAlign w:val="center"/>
                </w:tcPr>
                <w:p w14:paraId="02B40FA0">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5"/>
                      <w:sz w:val="18"/>
                      <w:szCs w:val="18"/>
                      <w:lang w:eastAsia="zh-CN"/>
                    </w:rPr>
                    <w:t>《危险</w:t>
                  </w:r>
                  <w:r>
                    <w:rPr>
                      <w:rFonts w:ascii="Times New Roman" w:hAnsi="Times New Roman" w:cs="Times New Roman"/>
                      <w:color w:val="auto"/>
                      <w:spacing w:val="7"/>
                      <w:sz w:val="18"/>
                      <w:szCs w:val="18"/>
                      <w:lang w:eastAsia="zh-CN"/>
                    </w:rPr>
                    <w:t>废物贮存污染控制标</w:t>
                  </w:r>
                  <w:r>
                    <w:rPr>
                      <w:rFonts w:ascii="Times New Roman" w:hAnsi="Times New Roman" w:cs="Times New Roman"/>
                      <w:color w:val="auto"/>
                      <w:spacing w:val="-1"/>
                      <w:sz w:val="18"/>
                      <w:szCs w:val="18"/>
                      <w:lang w:eastAsia="zh-CN"/>
                    </w:rPr>
                    <w:t>准》</w:t>
                  </w:r>
                  <w:r>
                    <w:rPr>
                      <w:rFonts w:hint="eastAsia" w:ascii="Times New Roman" w:hAnsi="Times New Roman" w:cs="Times New Roman"/>
                      <w:color w:val="auto"/>
                      <w:spacing w:val="5"/>
                      <w:sz w:val="18"/>
                      <w:szCs w:val="18"/>
                      <w:lang w:eastAsia="zh-CN"/>
                    </w:rPr>
                    <w:t>（</w:t>
                  </w:r>
                  <w:r>
                    <w:rPr>
                      <w:rFonts w:ascii="Times New Roman" w:hAnsi="Times New Roman" w:cs="Times New Roman"/>
                      <w:color w:val="auto"/>
                      <w:sz w:val="18"/>
                      <w:szCs w:val="18"/>
                      <w:lang w:eastAsia="zh-CN"/>
                    </w:rPr>
                    <w:t>GB</w:t>
                  </w:r>
                  <w:r>
                    <w:rPr>
                      <w:rFonts w:ascii="Times New Roman" w:hAnsi="Times New Roman" w:cs="Times New Roman"/>
                      <w:color w:val="auto"/>
                      <w:spacing w:val="5"/>
                      <w:sz w:val="18"/>
                      <w:szCs w:val="18"/>
                      <w:lang w:eastAsia="zh-CN"/>
                    </w:rPr>
                    <w:t>18</w:t>
                  </w:r>
                  <w:r>
                    <w:rPr>
                      <w:rFonts w:ascii="Times New Roman" w:hAnsi="Times New Roman" w:cs="Times New Roman"/>
                      <w:color w:val="auto"/>
                      <w:spacing w:val="3"/>
                      <w:sz w:val="18"/>
                      <w:szCs w:val="18"/>
                      <w:lang w:eastAsia="zh-CN"/>
                    </w:rPr>
                    <w:t>597-2023</w:t>
                  </w:r>
                  <w:r>
                    <w:rPr>
                      <w:rFonts w:hint="eastAsia" w:ascii="Times New Roman" w:hAnsi="Times New Roman" w:cs="Times New Roman"/>
                      <w:color w:val="auto"/>
                      <w:spacing w:val="3"/>
                      <w:sz w:val="18"/>
                      <w:szCs w:val="18"/>
                      <w:lang w:eastAsia="zh-CN"/>
                    </w:rPr>
                    <w:t>）</w:t>
                  </w:r>
                </w:p>
              </w:tc>
              <w:tc>
                <w:tcPr>
                  <w:tcW w:w="294" w:type="pct"/>
                  <w:tcBorders>
                    <w:tl2br w:val="nil"/>
                    <w:tr2bl w:val="nil"/>
                  </w:tcBorders>
                  <w:vAlign w:val="center"/>
                </w:tcPr>
                <w:p w14:paraId="41464DC7">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rPr>
                  </w:pPr>
                  <w:r>
                    <w:rPr>
                      <w:rFonts w:ascii="Times New Roman" w:hAnsi="Times New Roman" w:cs="Times New Roman"/>
                      <w:color w:val="auto"/>
                      <w:spacing w:val="2"/>
                      <w:sz w:val="18"/>
                      <w:szCs w:val="18"/>
                    </w:rPr>
                    <w:t>总体</w:t>
                  </w:r>
                  <w:r>
                    <w:rPr>
                      <w:rFonts w:ascii="Times New Roman" w:hAnsi="Times New Roman" w:cs="Times New Roman"/>
                      <w:color w:val="auto"/>
                      <w:spacing w:val="4"/>
                      <w:sz w:val="18"/>
                      <w:szCs w:val="18"/>
                    </w:rPr>
                    <w:t>要求</w:t>
                  </w:r>
                </w:p>
              </w:tc>
              <w:tc>
                <w:tcPr>
                  <w:tcW w:w="3037" w:type="pct"/>
                  <w:tcBorders>
                    <w:tl2br w:val="nil"/>
                    <w:tr2bl w:val="nil"/>
                  </w:tcBorders>
                  <w:vAlign w:val="center"/>
                </w:tcPr>
                <w:p w14:paraId="6D92E4F8">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7"/>
                      <w:sz w:val="18"/>
                      <w:szCs w:val="18"/>
                      <w:lang w:eastAsia="zh-CN"/>
                    </w:rPr>
                    <w:t>1、产生、收集、贮存、利用、处置危险废物</w:t>
                  </w:r>
                  <w:r>
                    <w:rPr>
                      <w:rFonts w:ascii="Times New Roman" w:hAnsi="Times New Roman" w:cs="Times New Roman"/>
                      <w:color w:val="auto"/>
                      <w:spacing w:val="8"/>
                      <w:sz w:val="18"/>
                      <w:szCs w:val="18"/>
                      <w:lang w:eastAsia="zh-CN"/>
                    </w:rPr>
                    <w:t>的单位应建造危险废物贮存设施或设置贮存</w:t>
                  </w:r>
                  <w:r>
                    <w:rPr>
                      <w:rFonts w:ascii="Times New Roman" w:hAnsi="Times New Roman" w:cs="Times New Roman"/>
                      <w:color w:val="auto"/>
                      <w:spacing w:val="9"/>
                      <w:sz w:val="18"/>
                      <w:szCs w:val="18"/>
                      <w:lang w:eastAsia="zh-CN"/>
                    </w:rPr>
                    <w:t>场所，并根据需要选择贮存设施类型</w:t>
                  </w:r>
                  <w:r>
                    <w:rPr>
                      <w:rFonts w:ascii="Times New Roman" w:hAnsi="Times New Roman" w:cs="Times New Roman"/>
                      <w:color w:val="auto"/>
                      <w:spacing w:val="8"/>
                      <w:sz w:val="18"/>
                      <w:szCs w:val="18"/>
                      <w:lang w:eastAsia="zh-CN"/>
                    </w:rPr>
                    <w:t>2、贮存危险废物应根据危险废物的类别、数</w:t>
                  </w:r>
                  <w:r>
                    <w:rPr>
                      <w:rFonts w:ascii="Times New Roman" w:hAnsi="Times New Roman" w:cs="Times New Roman"/>
                      <w:color w:val="auto"/>
                      <w:spacing w:val="9"/>
                      <w:sz w:val="18"/>
                      <w:szCs w:val="18"/>
                      <w:lang w:eastAsia="zh-CN"/>
                    </w:rPr>
                    <w:t>量、形态、物理化学性质和环境风险等因素，确定贮存设施或场所类型和规模</w:t>
                  </w:r>
                  <w:r>
                    <w:rPr>
                      <w:rFonts w:ascii="Times New Roman" w:hAnsi="Times New Roman" w:cs="Times New Roman"/>
                      <w:color w:val="auto"/>
                      <w:spacing w:val="8"/>
                      <w:sz w:val="18"/>
                      <w:szCs w:val="18"/>
                      <w:lang w:eastAsia="zh-CN"/>
                    </w:rPr>
                    <w:t>3、贮存危险废物应根据危险废物的类别、形</w:t>
                  </w:r>
                  <w:r>
                    <w:rPr>
                      <w:rFonts w:ascii="Times New Roman" w:hAnsi="Times New Roman" w:cs="Times New Roman"/>
                      <w:color w:val="auto"/>
                      <w:spacing w:val="6"/>
                      <w:sz w:val="18"/>
                      <w:szCs w:val="18"/>
                      <w:lang w:eastAsia="zh-CN"/>
                    </w:rPr>
                    <w:t>态、物理化学性质和污染防治要求进行分类贮存，且应避免危险废物与不相容的物质或材料</w:t>
                  </w:r>
                  <w:r>
                    <w:rPr>
                      <w:rFonts w:ascii="Times New Roman" w:hAnsi="Times New Roman" w:cs="Times New Roman"/>
                      <w:color w:val="auto"/>
                      <w:spacing w:val="5"/>
                      <w:sz w:val="18"/>
                      <w:szCs w:val="18"/>
                      <w:lang w:eastAsia="zh-CN"/>
                    </w:rPr>
                    <w:t>接触</w:t>
                  </w:r>
                  <w:r>
                    <w:rPr>
                      <w:rFonts w:ascii="Times New Roman" w:hAnsi="Times New Roman" w:cs="Times New Roman"/>
                      <w:color w:val="auto"/>
                      <w:spacing w:val="8"/>
                      <w:sz w:val="18"/>
                      <w:szCs w:val="18"/>
                      <w:lang w:eastAsia="zh-CN"/>
                    </w:rPr>
                    <w:t>4、贮存危险废物应根据危险废物的形态、物</w:t>
                  </w:r>
                  <w:r>
                    <w:rPr>
                      <w:rFonts w:ascii="Times New Roman" w:hAnsi="Times New Roman" w:cs="Times New Roman"/>
                      <w:color w:val="auto"/>
                      <w:spacing w:val="5"/>
                      <w:sz w:val="18"/>
                      <w:szCs w:val="18"/>
                      <w:lang w:eastAsia="zh-CN"/>
                    </w:rPr>
                    <w:t>理化学性质、包装形式和污染物迁移途径，采取措施减少渗滤液及其衍生废物、渗漏的液态</w:t>
                  </w:r>
                  <w:r>
                    <w:rPr>
                      <w:rFonts w:ascii="Times New Roman" w:hAnsi="Times New Roman" w:cs="Times New Roman"/>
                      <w:color w:val="auto"/>
                      <w:spacing w:val="8"/>
                      <w:sz w:val="18"/>
                      <w:szCs w:val="18"/>
                      <w:lang w:eastAsia="zh-CN"/>
                    </w:rPr>
                    <w:t>废物（简称渗漏液）、粉尘、</w:t>
                  </w:r>
                  <w:r>
                    <w:rPr>
                      <w:rFonts w:ascii="Times New Roman" w:hAnsi="Times New Roman" w:cs="Times New Roman"/>
                      <w:color w:val="auto"/>
                      <w:sz w:val="18"/>
                      <w:szCs w:val="18"/>
                      <w:lang w:eastAsia="zh-CN"/>
                    </w:rPr>
                    <w:t>VOCs</w:t>
                  </w:r>
                  <w:r>
                    <w:rPr>
                      <w:rFonts w:ascii="Times New Roman" w:hAnsi="Times New Roman" w:cs="Times New Roman"/>
                      <w:color w:val="auto"/>
                      <w:spacing w:val="8"/>
                      <w:sz w:val="18"/>
                      <w:szCs w:val="18"/>
                      <w:lang w:eastAsia="zh-CN"/>
                    </w:rPr>
                    <w:t>、酸雾、</w:t>
                  </w:r>
                  <w:r>
                    <w:rPr>
                      <w:rFonts w:ascii="Times New Roman" w:hAnsi="Times New Roman" w:cs="Times New Roman"/>
                      <w:color w:val="auto"/>
                      <w:spacing w:val="9"/>
                      <w:sz w:val="18"/>
                      <w:szCs w:val="18"/>
                      <w:lang w:eastAsia="zh-CN"/>
                    </w:rPr>
                    <w:t>有毒有害大气污染物和刺激性气味气体等污染物的产生，防止其污染环境</w:t>
                  </w:r>
                  <w:r>
                    <w:rPr>
                      <w:rFonts w:ascii="Times New Roman" w:hAnsi="Times New Roman" w:cs="Times New Roman"/>
                      <w:color w:val="auto"/>
                      <w:spacing w:val="8"/>
                      <w:sz w:val="18"/>
                      <w:szCs w:val="18"/>
                      <w:lang w:eastAsia="zh-CN"/>
                    </w:rPr>
                    <w:t>5、危险废物贮存过程产生的液态废物和固态</w:t>
                  </w:r>
                  <w:r>
                    <w:rPr>
                      <w:rFonts w:ascii="Times New Roman" w:hAnsi="Times New Roman" w:cs="Times New Roman"/>
                      <w:color w:val="auto"/>
                      <w:spacing w:val="6"/>
                      <w:sz w:val="18"/>
                      <w:szCs w:val="18"/>
                      <w:lang w:eastAsia="zh-CN"/>
                    </w:rPr>
                    <w:t>废物应分类收集，按其环境管理要求妥善处理</w:t>
                  </w:r>
                  <w:r>
                    <w:rPr>
                      <w:rFonts w:ascii="Times New Roman" w:hAnsi="Times New Roman" w:cs="Times New Roman"/>
                      <w:color w:val="auto"/>
                      <w:spacing w:val="7"/>
                      <w:sz w:val="18"/>
                      <w:szCs w:val="18"/>
                      <w:lang w:eastAsia="zh-CN"/>
                    </w:rPr>
                    <w:t>6、贮存设施或场所、容器和包装物应按</w:t>
                  </w:r>
                  <w:r>
                    <w:rPr>
                      <w:rFonts w:ascii="Times New Roman" w:hAnsi="Times New Roman" w:cs="Times New Roman"/>
                      <w:color w:val="auto"/>
                      <w:sz w:val="18"/>
                      <w:szCs w:val="18"/>
                      <w:lang w:eastAsia="zh-CN"/>
                    </w:rPr>
                    <w:t>HJ</w:t>
                  </w:r>
                  <w:r>
                    <w:rPr>
                      <w:rFonts w:ascii="Times New Roman" w:hAnsi="Times New Roman" w:cs="Times New Roman"/>
                      <w:color w:val="auto"/>
                      <w:spacing w:val="8"/>
                      <w:sz w:val="18"/>
                      <w:szCs w:val="18"/>
                      <w:lang w:eastAsia="zh-CN"/>
                    </w:rPr>
                    <w:t>1276要求设置危险废物贮存设施或场所标志、危险废物贮存分区标志和危险废物标签等危险废物识别标志</w:t>
                  </w:r>
                  <w:r>
                    <w:rPr>
                      <w:rFonts w:ascii="Times New Roman" w:hAnsi="Times New Roman" w:cs="Times New Roman"/>
                      <w:color w:val="auto"/>
                      <w:spacing w:val="7"/>
                      <w:sz w:val="18"/>
                      <w:szCs w:val="18"/>
                      <w:lang w:eastAsia="zh-CN"/>
                    </w:rPr>
                    <w:t>7、</w:t>
                  </w:r>
                  <w:r>
                    <w:rPr>
                      <w:rFonts w:ascii="Times New Roman" w:hAnsi="Times New Roman" w:cs="Times New Roman"/>
                      <w:color w:val="auto"/>
                      <w:sz w:val="18"/>
                      <w:szCs w:val="18"/>
                      <w:lang w:eastAsia="zh-CN"/>
                    </w:rPr>
                    <w:t>HJ</w:t>
                  </w:r>
                  <w:r>
                    <w:rPr>
                      <w:rFonts w:ascii="Times New Roman" w:hAnsi="Times New Roman" w:cs="Times New Roman"/>
                      <w:color w:val="auto"/>
                      <w:spacing w:val="7"/>
                      <w:sz w:val="18"/>
                      <w:szCs w:val="18"/>
                      <w:lang w:eastAsia="zh-CN"/>
                    </w:rPr>
                    <w:t>1259规定的危险废物环境重点监管单</w:t>
                  </w:r>
                  <w:r>
                    <w:rPr>
                      <w:rFonts w:ascii="Times New Roman" w:hAnsi="Times New Roman" w:cs="Times New Roman"/>
                      <w:color w:val="auto"/>
                      <w:spacing w:val="6"/>
                      <w:sz w:val="18"/>
                      <w:szCs w:val="18"/>
                      <w:lang w:eastAsia="zh-CN"/>
                    </w:rPr>
                    <w:t>位，应采用电子地磅、电子标签、电子管理台</w:t>
                  </w:r>
                  <w:r>
                    <w:rPr>
                      <w:rFonts w:ascii="Times New Roman" w:hAnsi="Times New Roman" w:cs="Times New Roman"/>
                      <w:color w:val="auto"/>
                      <w:spacing w:val="9"/>
                      <w:sz w:val="18"/>
                      <w:szCs w:val="18"/>
                      <w:lang w:eastAsia="zh-CN"/>
                    </w:rPr>
                    <w:t>账等技术手段对危险废物贮存过程进行信息</w:t>
                  </w:r>
                  <w:r>
                    <w:rPr>
                      <w:rFonts w:ascii="Times New Roman" w:hAnsi="Times New Roman" w:cs="Times New Roman"/>
                      <w:color w:val="auto"/>
                      <w:spacing w:val="6"/>
                      <w:sz w:val="18"/>
                      <w:szCs w:val="18"/>
                      <w:lang w:eastAsia="zh-CN"/>
                    </w:rPr>
                    <w:t>化管理，确保数据完整、真实、准确；采用视频监控的应确保监控画面清晰，视频记录保存</w:t>
                  </w:r>
                  <w:r>
                    <w:rPr>
                      <w:rFonts w:ascii="Times New Roman" w:hAnsi="Times New Roman" w:cs="Times New Roman"/>
                      <w:color w:val="auto"/>
                      <w:spacing w:val="5"/>
                      <w:sz w:val="18"/>
                      <w:szCs w:val="18"/>
                      <w:lang w:eastAsia="zh-CN"/>
                    </w:rPr>
                    <w:t>时间至少为3个月</w:t>
                  </w:r>
                  <w:r>
                    <w:rPr>
                      <w:rFonts w:hint="eastAsia" w:ascii="Times New Roman" w:hAnsi="Times New Roman" w:cs="Times New Roman"/>
                      <w:color w:val="auto"/>
                      <w:spacing w:val="5"/>
                      <w:sz w:val="18"/>
                      <w:szCs w:val="18"/>
                      <w:lang w:eastAsia="zh-CN"/>
                    </w:rPr>
                    <w:t>。</w:t>
                  </w:r>
                  <w:r>
                    <w:rPr>
                      <w:rFonts w:ascii="Times New Roman" w:hAnsi="Times New Roman" w:cs="Times New Roman"/>
                      <w:color w:val="auto"/>
                      <w:spacing w:val="7"/>
                      <w:sz w:val="18"/>
                      <w:szCs w:val="18"/>
                      <w:lang w:eastAsia="zh-CN"/>
                    </w:rPr>
                    <w:t>8、贮存设施退役时，所有者或运营者应依法</w:t>
                  </w:r>
                  <w:r>
                    <w:rPr>
                      <w:rFonts w:ascii="Times New Roman" w:hAnsi="Times New Roman" w:cs="Times New Roman"/>
                      <w:color w:val="auto"/>
                      <w:spacing w:val="5"/>
                      <w:sz w:val="18"/>
                      <w:szCs w:val="18"/>
                      <w:lang w:eastAsia="zh-CN"/>
                    </w:rPr>
                    <w:t>履行环境保护责任，退役前应妥善处理处置贮</w:t>
                  </w:r>
                  <w:r>
                    <w:rPr>
                      <w:rFonts w:ascii="Times New Roman" w:hAnsi="Times New Roman" w:cs="Times New Roman"/>
                      <w:color w:val="auto"/>
                      <w:spacing w:val="6"/>
                      <w:sz w:val="18"/>
                      <w:szCs w:val="18"/>
                      <w:lang w:eastAsia="zh-CN"/>
                    </w:rPr>
                    <w:t>存设施内剩余的危险废物，并对贮存设施进行清理，消除污染；还应依据土壤污染防治相关</w:t>
                  </w:r>
                  <w:r>
                    <w:rPr>
                      <w:rFonts w:ascii="Times New Roman" w:hAnsi="Times New Roman" w:cs="Times New Roman"/>
                      <w:color w:val="auto"/>
                      <w:spacing w:val="8"/>
                      <w:sz w:val="18"/>
                      <w:szCs w:val="18"/>
                      <w:lang w:eastAsia="zh-CN"/>
                    </w:rPr>
                    <w:t>法律法规履行场地环境风险防控责任。9、在常温常压下易爆、易燃及排出有毒气体的危险废物应进行预处理，使之稳定后贮存，否则应按易爆、易燃危险品贮存</w:t>
                  </w:r>
                  <w:r>
                    <w:rPr>
                      <w:rFonts w:ascii="Times New Roman" w:hAnsi="Times New Roman" w:cs="Times New Roman"/>
                      <w:color w:val="auto"/>
                      <w:spacing w:val="5"/>
                      <w:sz w:val="18"/>
                      <w:szCs w:val="18"/>
                      <w:lang w:eastAsia="zh-CN"/>
                    </w:rPr>
                    <w:t>10、危险废物贮存除应满足环境保护相关要求外，还应执行国家安全生产、职业健康、交通</w:t>
                  </w:r>
                  <w:r>
                    <w:rPr>
                      <w:rFonts w:ascii="Times New Roman" w:hAnsi="Times New Roman" w:cs="Times New Roman"/>
                      <w:color w:val="auto"/>
                      <w:spacing w:val="9"/>
                      <w:sz w:val="18"/>
                      <w:szCs w:val="18"/>
                      <w:lang w:eastAsia="zh-CN"/>
                    </w:rPr>
                    <w:t>运输、消防等法律法规和标准的相关要求</w:t>
                  </w:r>
                </w:p>
              </w:tc>
              <w:tc>
                <w:tcPr>
                  <w:tcW w:w="936" w:type="pct"/>
                  <w:tcBorders>
                    <w:tl2br w:val="nil"/>
                    <w:tr2bl w:val="nil"/>
                  </w:tcBorders>
                  <w:vAlign w:val="center"/>
                </w:tcPr>
                <w:p w14:paraId="64EAEF96">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8"/>
                      <w:sz w:val="18"/>
                      <w:szCs w:val="18"/>
                      <w:lang w:eastAsia="zh-CN"/>
                    </w:rPr>
                    <w:t>危废库已实行分类收</w:t>
                  </w:r>
                  <w:r>
                    <w:rPr>
                      <w:rFonts w:ascii="Times New Roman" w:hAnsi="Times New Roman" w:cs="Times New Roman"/>
                      <w:color w:val="auto"/>
                      <w:spacing w:val="14"/>
                      <w:sz w:val="18"/>
                      <w:szCs w:val="18"/>
                      <w:lang w:eastAsia="zh-CN"/>
                    </w:rPr>
                    <w:t>集、分区存放，各类标志标牌需齐全，危险废物中液体、半固型废物均采用桶装密</w:t>
                  </w:r>
                  <w:r>
                    <w:rPr>
                      <w:rFonts w:ascii="Times New Roman" w:hAnsi="Times New Roman" w:cs="Times New Roman"/>
                      <w:color w:val="auto"/>
                      <w:spacing w:val="3"/>
                      <w:sz w:val="18"/>
                      <w:szCs w:val="18"/>
                      <w:lang w:eastAsia="zh-CN"/>
                    </w:rPr>
                    <w:t>封，并底部设置托盘，</w:t>
                  </w:r>
                  <w:r>
                    <w:rPr>
                      <w:rFonts w:ascii="Times New Roman" w:hAnsi="Times New Roman" w:cs="Times New Roman"/>
                      <w:color w:val="auto"/>
                      <w:spacing w:val="16"/>
                      <w:sz w:val="18"/>
                      <w:szCs w:val="18"/>
                      <w:lang w:eastAsia="zh-CN"/>
                    </w:rPr>
                    <w:t>固体废物采用袋装，</w:t>
                  </w:r>
                  <w:r>
                    <w:rPr>
                      <w:rFonts w:ascii="Times New Roman" w:hAnsi="Times New Roman" w:cs="Times New Roman"/>
                      <w:color w:val="auto"/>
                      <w:spacing w:val="14"/>
                      <w:sz w:val="18"/>
                      <w:szCs w:val="18"/>
                      <w:lang w:eastAsia="zh-CN"/>
                    </w:rPr>
                    <w:t>危废仓库地面均已做好防腐防渗工作，</w:t>
                  </w:r>
                  <w:r>
                    <w:rPr>
                      <w:rFonts w:hint="eastAsia" w:ascii="Times New Roman" w:hAnsi="Times New Roman" w:cs="Times New Roman"/>
                      <w:color w:val="auto"/>
                      <w:spacing w:val="14"/>
                      <w:sz w:val="18"/>
                      <w:szCs w:val="18"/>
                      <w:lang w:eastAsia="zh-CN"/>
                    </w:rPr>
                    <w:t>已按要求设置标志标识，</w:t>
                  </w:r>
                  <w:r>
                    <w:rPr>
                      <w:rFonts w:ascii="Times New Roman" w:hAnsi="Times New Roman" w:cs="Times New Roman"/>
                      <w:color w:val="auto"/>
                      <w:spacing w:val="14"/>
                      <w:sz w:val="18"/>
                      <w:szCs w:val="18"/>
                      <w:lang w:eastAsia="zh-CN"/>
                    </w:rPr>
                    <w:t>并已安装室内、室外在线监控，视频记录保</w:t>
                  </w:r>
                  <w:r>
                    <w:rPr>
                      <w:rFonts w:ascii="Times New Roman" w:hAnsi="Times New Roman" w:cs="Times New Roman"/>
                      <w:color w:val="auto"/>
                      <w:spacing w:val="6"/>
                      <w:sz w:val="18"/>
                      <w:szCs w:val="18"/>
                      <w:lang w:eastAsia="zh-CN"/>
                    </w:rPr>
                    <w:t>存时间3个月以上</w:t>
                  </w:r>
                </w:p>
              </w:tc>
              <w:tc>
                <w:tcPr>
                  <w:tcW w:w="323" w:type="pct"/>
                  <w:tcBorders>
                    <w:tl2br w:val="nil"/>
                    <w:tr2bl w:val="nil"/>
                  </w:tcBorders>
                  <w:vAlign w:val="center"/>
                </w:tcPr>
                <w:p w14:paraId="216E42BC">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pacing w:val="8"/>
                      <w:sz w:val="18"/>
                      <w:szCs w:val="18"/>
                      <w:lang w:eastAsia="zh-CN"/>
                    </w:rPr>
                  </w:pPr>
                  <w:r>
                    <w:rPr>
                      <w:rFonts w:hint="eastAsia" w:ascii="Times New Roman" w:hAnsi="Times New Roman" w:cs="Times New Roman"/>
                      <w:color w:val="auto"/>
                      <w:spacing w:val="8"/>
                      <w:sz w:val="18"/>
                      <w:szCs w:val="18"/>
                      <w:lang w:eastAsia="zh-CN"/>
                    </w:rPr>
                    <w:t>相符</w:t>
                  </w:r>
                </w:p>
              </w:tc>
            </w:tr>
            <w:tr w14:paraId="22E72D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7" w:type="pct"/>
                  <w:vMerge w:val="continue"/>
                  <w:tcBorders>
                    <w:tl2br w:val="nil"/>
                    <w:tr2bl w:val="nil"/>
                  </w:tcBorders>
                  <w:vAlign w:val="center"/>
                </w:tcPr>
                <w:p w14:paraId="2659EED5">
                  <w:pPr>
                    <w:widowControl/>
                    <w:kinsoku w:val="0"/>
                    <w:autoSpaceDE w:val="0"/>
                    <w:autoSpaceDN w:val="0"/>
                    <w:spacing w:line="240" w:lineRule="auto"/>
                    <w:ind w:firstLine="0" w:firstLineChars="0"/>
                    <w:jc w:val="center"/>
                    <w:textAlignment w:val="baseline"/>
                    <w:rPr>
                      <w:rFonts w:cs="Times New Roman"/>
                      <w:color w:val="auto"/>
                      <w:sz w:val="18"/>
                      <w:szCs w:val="18"/>
                      <w:lang w:eastAsia="en-US"/>
                    </w:rPr>
                  </w:pPr>
                </w:p>
              </w:tc>
              <w:tc>
                <w:tcPr>
                  <w:tcW w:w="294" w:type="pct"/>
                  <w:tcBorders>
                    <w:tl2br w:val="nil"/>
                    <w:tr2bl w:val="nil"/>
                  </w:tcBorders>
                  <w:vAlign w:val="center"/>
                </w:tcPr>
                <w:p w14:paraId="24F456AF">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pacing w:val="4"/>
                      <w:sz w:val="18"/>
                      <w:szCs w:val="18"/>
                    </w:rPr>
                  </w:pPr>
                  <w:r>
                    <w:rPr>
                      <w:rFonts w:ascii="Times New Roman" w:hAnsi="Times New Roman" w:cs="Times New Roman"/>
                      <w:color w:val="auto"/>
                      <w:spacing w:val="4"/>
                      <w:sz w:val="18"/>
                      <w:szCs w:val="18"/>
                    </w:rPr>
                    <w:t>贮存</w:t>
                  </w:r>
                  <w:r>
                    <w:rPr>
                      <w:rFonts w:ascii="Times New Roman" w:hAnsi="Times New Roman" w:cs="Times New Roman"/>
                      <w:color w:val="auto"/>
                      <w:spacing w:val="5"/>
                      <w:sz w:val="18"/>
                      <w:szCs w:val="18"/>
                    </w:rPr>
                    <w:t>设施选址要求</w:t>
                  </w:r>
                </w:p>
              </w:tc>
              <w:tc>
                <w:tcPr>
                  <w:tcW w:w="3037" w:type="pct"/>
                  <w:tcBorders>
                    <w:tl2br w:val="nil"/>
                    <w:tr2bl w:val="nil"/>
                  </w:tcBorders>
                  <w:vAlign w:val="center"/>
                </w:tcPr>
                <w:p w14:paraId="7F8EA443">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pacing w:val="7"/>
                      <w:sz w:val="18"/>
                      <w:szCs w:val="18"/>
                      <w:lang w:eastAsia="zh-CN"/>
                    </w:rPr>
                  </w:pPr>
                  <w:r>
                    <w:rPr>
                      <w:rFonts w:ascii="Times New Roman" w:hAnsi="Times New Roman" w:cs="Times New Roman"/>
                      <w:color w:val="auto"/>
                      <w:spacing w:val="7"/>
                      <w:sz w:val="18"/>
                      <w:szCs w:val="18"/>
                      <w:lang w:eastAsia="zh-CN"/>
                    </w:rPr>
                    <w:t>1、贮存设施选址应满足生态环境保护法律法</w:t>
                  </w:r>
                  <w:r>
                    <w:rPr>
                      <w:rFonts w:ascii="Times New Roman" w:hAnsi="Times New Roman" w:cs="Times New Roman"/>
                      <w:color w:val="auto"/>
                      <w:spacing w:val="6"/>
                      <w:sz w:val="18"/>
                      <w:szCs w:val="18"/>
                      <w:lang w:eastAsia="zh-CN"/>
                    </w:rPr>
                    <w:t>规、规划和</w:t>
                  </w:r>
                  <w:r>
                    <w:rPr>
                      <w:rFonts w:hint="eastAsia" w:ascii="Times New Roman" w:hAnsi="Times New Roman" w:cs="Times New Roman"/>
                      <w:color w:val="auto"/>
                      <w:spacing w:val="6"/>
                      <w:sz w:val="18"/>
                      <w:szCs w:val="18"/>
                      <w:lang w:eastAsia="zh-CN"/>
                    </w:rPr>
                    <w:t>“</w:t>
                  </w:r>
                  <w:r>
                    <w:rPr>
                      <w:rFonts w:ascii="Times New Roman" w:hAnsi="Times New Roman" w:cs="Times New Roman"/>
                      <w:color w:val="auto"/>
                      <w:spacing w:val="6"/>
                      <w:sz w:val="18"/>
                      <w:szCs w:val="18"/>
                      <w:lang w:eastAsia="zh-CN"/>
                    </w:rPr>
                    <w:t>三线一单</w:t>
                  </w:r>
                  <w:r>
                    <w:rPr>
                      <w:rFonts w:hint="eastAsia" w:ascii="Times New Roman" w:hAnsi="Times New Roman" w:cs="Times New Roman"/>
                      <w:color w:val="auto"/>
                      <w:spacing w:val="6"/>
                      <w:sz w:val="18"/>
                      <w:szCs w:val="18"/>
                      <w:lang w:eastAsia="zh-CN"/>
                    </w:rPr>
                    <w:t>”</w:t>
                  </w:r>
                  <w:r>
                    <w:rPr>
                      <w:rFonts w:ascii="Times New Roman" w:hAnsi="Times New Roman" w:cs="Times New Roman"/>
                      <w:color w:val="auto"/>
                      <w:spacing w:val="6"/>
                      <w:sz w:val="18"/>
                      <w:szCs w:val="18"/>
                      <w:lang w:eastAsia="zh-CN"/>
                    </w:rPr>
                    <w:t>生态环境分区管控的要</w:t>
                  </w:r>
                  <w:r>
                    <w:rPr>
                      <w:rFonts w:ascii="Times New Roman" w:hAnsi="Times New Roman" w:cs="Times New Roman"/>
                      <w:color w:val="auto"/>
                      <w:spacing w:val="9"/>
                      <w:sz w:val="18"/>
                      <w:szCs w:val="18"/>
                      <w:lang w:eastAsia="zh-CN"/>
                    </w:rPr>
                    <w:t>求，建设项目应依法进行环境影响评价</w:t>
                  </w:r>
                  <w:r>
                    <w:rPr>
                      <w:rFonts w:ascii="Times New Roman" w:hAnsi="Times New Roman" w:cs="Times New Roman"/>
                      <w:color w:val="auto"/>
                      <w:spacing w:val="5"/>
                      <w:sz w:val="18"/>
                      <w:szCs w:val="18"/>
                      <w:lang w:eastAsia="zh-CN"/>
                    </w:rPr>
                    <w:t>2、集中贮存设施不应选在生态保护红线区域、</w:t>
                  </w:r>
                  <w:r>
                    <w:rPr>
                      <w:rFonts w:ascii="Times New Roman" w:hAnsi="Times New Roman" w:cs="Times New Roman"/>
                      <w:color w:val="auto"/>
                      <w:spacing w:val="8"/>
                      <w:sz w:val="18"/>
                      <w:szCs w:val="18"/>
                      <w:lang w:eastAsia="zh-CN"/>
                    </w:rPr>
                    <w:t>永久基本农田和其他需要特别保护的区域内，</w:t>
                  </w:r>
                  <w:r>
                    <w:rPr>
                      <w:rFonts w:ascii="Times New Roman" w:hAnsi="Times New Roman" w:cs="Times New Roman"/>
                      <w:color w:val="auto"/>
                      <w:sz w:val="18"/>
                      <w:szCs w:val="18"/>
                      <w:lang w:eastAsia="zh-CN"/>
                    </w:rPr>
                    <w:t>不应建在溶洞区或易遭受洪水、滑坡、泥石流、</w:t>
                  </w:r>
                  <w:r>
                    <w:rPr>
                      <w:rFonts w:ascii="Times New Roman" w:hAnsi="Times New Roman" w:cs="Times New Roman"/>
                      <w:color w:val="auto"/>
                      <w:spacing w:val="9"/>
                      <w:sz w:val="18"/>
                      <w:szCs w:val="18"/>
                      <w:lang w:eastAsia="zh-CN"/>
                    </w:rPr>
                    <w:t>潮汐等严重自然灾害影响的地区</w:t>
                  </w:r>
                  <w:r>
                    <w:rPr>
                      <w:rFonts w:ascii="Times New Roman" w:hAnsi="Times New Roman" w:cs="Times New Roman"/>
                      <w:color w:val="auto"/>
                      <w:spacing w:val="8"/>
                      <w:sz w:val="18"/>
                      <w:szCs w:val="18"/>
                      <w:lang w:eastAsia="zh-CN"/>
                    </w:rPr>
                    <w:t>3、贮存设施不应选在江河、湖泊、运河、渠</w:t>
                  </w:r>
                  <w:r>
                    <w:rPr>
                      <w:rFonts w:ascii="Times New Roman" w:hAnsi="Times New Roman" w:cs="Times New Roman"/>
                      <w:color w:val="auto"/>
                      <w:spacing w:val="9"/>
                      <w:sz w:val="18"/>
                      <w:szCs w:val="18"/>
                      <w:lang w:eastAsia="zh-CN"/>
                    </w:rPr>
                    <w:t>道、水库及其最高水位线以下的滩地和岸坡，</w:t>
                  </w:r>
                  <w:r>
                    <w:rPr>
                      <w:rFonts w:ascii="Times New Roman" w:hAnsi="Times New Roman" w:cs="Times New Roman"/>
                      <w:color w:val="auto"/>
                      <w:spacing w:val="8"/>
                      <w:sz w:val="18"/>
                      <w:szCs w:val="18"/>
                      <w:lang w:eastAsia="zh-CN"/>
                    </w:rPr>
                    <w:t>以及法律法规规定禁止贮存危险废物的其他</w:t>
                  </w:r>
                  <w:r>
                    <w:rPr>
                      <w:rFonts w:ascii="Times New Roman" w:hAnsi="Times New Roman" w:cs="Times New Roman"/>
                      <w:color w:val="auto"/>
                      <w:spacing w:val="4"/>
                      <w:sz w:val="18"/>
                      <w:szCs w:val="18"/>
                      <w:lang w:eastAsia="zh-CN"/>
                    </w:rPr>
                    <w:t>地点</w:t>
                  </w:r>
                  <w:r>
                    <w:rPr>
                      <w:rFonts w:ascii="Times New Roman" w:hAnsi="Times New Roman" w:cs="Times New Roman"/>
                      <w:color w:val="auto"/>
                      <w:spacing w:val="8"/>
                      <w:sz w:val="18"/>
                      <w:szCs w:val="18"/>
                      <w:lang w:eastAsia="zh-CN"/>
                    </w:rPr>
                    <w:t>4、贮存设施场址的位置以及其与周围环境敏</w:t>
                  </w:r>
                  <w:r>
                    <w:rPr>
                      <w:rFonts w:ascii="Times New Roman" w:hAnsi="Times New Roman" w:cs="Times New Roman"/>
                      <w:color w:val="auto"/>
                      <w:spacing w:val="9"/>
                      <w:sz w:val="18"/>
                      <w:szCs w:val="18"/>
                      <w:lang w:eastAsia="zh-CN"/>
                    </w:rPr>
                    <w:t>感目标的距离应依据环境影响评价文件确定</w:t>
                  </w:r>
                </w:p>
              </w:tc>
              <w:tc>
                <w:tcPr>
                  <w:tcW w:w="936" w:type="pct"/>
                  <w:tcBorders>
                    <w:tl2br w:val="nil"/>
                    <w:tr2bl w:val="nil"/>
                  </w:tcBorders>
                  <w:vAlign w:val="center"/>
                </w:tcPr>
                <w:p w14:paraId="24F4C55E">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pacing w:val="8"/>
                      <w:sz w:val="18"/>
                      <w:szCs w:val="18"/>
                      <w:lang w:eastAsia="zh-CN"/>
                    </w:rPr>
                  </w:pPr>
                  <w:r>
                    <w:rPr>
                      <w:rFonts w:ascii="Times New Roman" w:hAnsi="Times New Roman" w:cs="Times New Roman"/>
                      <w:color w:val="auto"/>
                      <w:spacing w:val="8"/>
                      <w:sz w:val="18"/>
                      <w:szCs w:val="18"/>
                      <w:lang w:eastAsia="zh-CN"/>
                    </w:rPr>
                    <w:t>现有项目符合法律法</w:t>
                  </w:r>
                  <w:r>
                    <w:rPr>
                      <w:rFonts w:ascii="Times New Roman" w:hAnsi="Times New Roman" w:cs="Times New Roman"/>
                      <w:color w:val="auto"/>
                      <w:spacing w:val="3"/>
                      <w:sz w:val="18"/>
                      <w:szCs w:val="18"/>
                      <w:lang w:eastAsia="zh-CN"/>
                    </w:rPr>
                    <w:t>规、规划和</w:t>
                  </w:r>
                  <w:r>
                    <w:rPr>
                      <w:rFonts w:hint="eastAsia" w:ascii="Times New Roman" w:hAnsi="Times New Roman" w:cs="Times New Roman"/>
                      <w:color w:val="auto"/>
                      <w:spacing w:val="3"/>
                      <w:sz w:val="18"/>
                      <w:szCs w:val="18"/>
                      <w:lang w:eastAsia="zh-CN"/>
                    </w:rPr>
                    <w:t>“</w:t>
                  </w:r>
                  <w:r>
                    <w:rPr>
                      <w:rFonts w:ascii="Times New Roman" w:hAnsi="Times New Roman" w:cs="Times New Roman"/>
                      <w:color w:val="auto"/>
                      <w:spacing w:val="3"/>
                      <w:sz w:val="18"/>
                      <w:szCs w:val="18"/>
                      <w:lang w:eastAsia="zh-CN"/>
                    </w:rPr>
                    <w:t>三线一单</w:t>
                  </w:r>
                  <w:r>
                    <w:rPr>
                      <w:rFonts w:hint="eastAsia" w:ascii="Times New Roman" w:hAnsi="Times New Roman" w:cs="Times New Roman"/>
                      <w:color w:val="auto"/>
                      <w:spacing w:val="3"/>
                      <w:sz w:val="18"/>
                      <w:szCs w:val="18"/>
                      <w:lang w:eastAsia="zh-CN"/>
                    </w:rPr>
                    <w:t>”</w:t>
                  </w:r>
                  <w:r>
                    <w:rPr>
                      <w:rFonts w:ascii="Times New Roman" w:hAnsi="Times New Roman" w:cs="Times New Roman"/>
                      <w:color w:val="auto"/>
                      <w:spacing w:val="14"/>
                      <w:sz w:val="18"/>
                      <w:szCs w:val="18"/>
                      <w:lang w:eastAsia="zh-CN"/>
                    </w:rPr>
                    <w:t>要求，并依法进行环境影响评价，项目所在地为工业用地，不位于生态管控范围内</w:t>
                  </w:r>
                </w:p>
              </w:tc>
              <w:tc>
                <w:tcPr>
                  <w:tcW w:w="323" w:type="pct"/>
                  <w:tcBorders>
                    <w:tl2br w:val="nil"/>
                    <w:tr2bl w:val="nil"/>
                  </w:tcBorders>
                  <w:vAlign w:val="center"/>
                </w:tcPr>
                <w:p w14:paraId="6A577664">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pacing w:val="8"/>
                      <w:sz w:val="18"/>
                      <w:szCs w:val="18"/>
                      <w:lang w:eastAsia="zh-CN"/>
                    </w:rPr>
                  </w:pPr>
                  <w:r>
                    <w:rPr>
                      <w:rFonts w:hint="eastAsia" w:ascii="Times New Roman" w:hAnsi="Times New Roman" w:cs="Times New Roman"/>
                      <w:color w:val="auto"/>
                      <w:spacing w:val="8"/>
                      <w:sz w:val="18"/>
                      <w:szCs w:val="18"/>
                      <w:lang w:eastAsia="zh-CN"/>
                    </w:rPr>
                    <w:t>相符</w:t>
                  </w:r>
                </w:p>
              </w:tc>
            </w:tr>
            <w:tr w14:paraId="055CF2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7" w:type="pct"/>
                  <w:vMerge w:val="continue"/>
                  <w:tcBorders>
                    <w:tl2br w:val="nil"/>
                    <w:tr2bl w:val="nil"/>
                  </w:tcBorders>
                  <w:vAlign w:val="center"/>
                </w:tcPr>
                <w:p w14:paraId="1BFAD221">
                  <w:pPr>
                    <w:widowControl/>
                    <w:kinsoku w:val="0"/>
                    <w:autoSpaceDE w:val="0"/>
                    <w:autoSpaceDN w:val="0"/>
                    <w:spacing w:line="240" w:lineRule="auto"/>
                    <w:ind w:firstLine="0" w:firstLineChars="0"/>
                    <w:jc w:val="center"/>
                    <w:textAlignment w:val="baseline"/>
                    <w:rPr>
                      <w:rFonts w:cs="Times New Roman"/>
                      <w:color w:val="auto"/>
                      <w:sz w:val="18"/>
                      <w:szCs w:val="18"/>
                      <w:lang w:eastAsia="en-US"/>
                    </w:rPr>
                  </w:pPr>
                </w:p>
              </w:tc>
              <w:tc>
                <w:tcPr>
                  <w:tcW w:w="294" w:type="pct"/>
                  <w:tcBorders>
                    <w:tl2br w:val="nil"/>
                    <w:tr2bl w:val="nil"/>
                  </w:tcBorders>
                  <w:vAlign w:val="center"/>
                </w:tcPr>
                <w:p w14:paraId="0AA8ABF1">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4"/>
                      <w:sz w:val="18"/>
                      <w:szCs w:val="18"/>
                      <w:lang w:eastAsia="zh-CN"/>
                    </w:rPr>
                    <w:t>贮存</w:t>
                  </w:r>
                  <w:r>
                    <w:rPr>
                      <w:rFonts w:ascii="Times New Roman" w:hAnsi="Times New Roman" w:cs="Times New Roman"/>
                      <w:color w:val="auto"/>
                      <w:spacing w:val="5"/>
                      <w:sz w:val="18"/>
                      <w:szCs w:val="18"/>
                      <w:lang w:eastAsia="zh-CN"/>
                    </w:rPr>
                    <w:t>设施污染控制要求</w:t>
                  </w:r>
                </w:p>
              </w:tc>
              <w:tc>
                <w:tcPr>
                  <w:tcW w:w="3037" w:type="pct"/>
                  <w:tcBorders>
                    <w:tl2br w:val="nil"/>
                    <w:tr2bl w:val="nil"/>
                  </w:tcBorders>
                  <w:vAlign w:val="center"/>
                </w:tcPr>
                <w:p w14:paraId="744CD73F">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7"/>
                      <w:sz w:val="18"/>
                      <w:szCs w:val="18"/>
                      <w:lang w:eastAsia="zh-CN"/>
                    </w:rPr>
                    <w:t>1、贮存设施应根据危险废物的形态、物理化</w:t>
                  </w:r>
                  <w:r>
                    <w:rPr>
                      <w:rFonts w:ascii="Times New Roman" w:hAnsi="Times New Roman" w:cs="Times New Roman"/>
                      <w:color w:val="auto"/>
                      <w:spacing w:val="5"/>
                      <w:sz w:val="18"/>
                      <w:szCs w:val="18"/>
                      <w:lang w:eastAsia="zh-CN"/>
                    </w:rPr>
                    <w:t>学性质、包装形式和污染物迁移途径，采取必</w:t>
                  </w:r>
                  <w:r>
                    <w:rPr>
                      <w:rFonts w:ascii="Times New Roman" w:hAnsi="Times New Roman" w:cs="Times New Roman"/>
                      <w:color w:val="auto"/>
                      <w:spacing w:val="6"/>
                      <w:sz w:val="18"/>
                      <w:szCs w:val="18"/>
                      <w:lang w:eastAsia="zh-CN"/>
                    </w:rPr>
                    <w:t>要的防风、防晒、防雨、防漏、防渗、防腐以及其他环境污染防治措施，不应露天堆放危险</w:t>
                  </w:r>
                  <w:r>
                    <w:rPr>
                      <w:rFonts w:ascii="Times New Roman" w:hAnsi="Times New Roman" w:cs="Times New Roman"/>
                      <w:color w:val="auto"/>
                      <w:spacing w:val="5"/>
                      <w:sz w:val="18"/>
                      <w:szCs w:val="18"/>
                      <w:lang w:eastAsia="zh-CN"/>
                    </w:rPr>
                    <w:t>废物</w:t>
                  </w:r>
                  <w:r>
                    <w:rPr>
                      <w:rFonts w:ascii="Times New Roman" w:hAnsi="Times New Roman" w:cs="Times New Roman"/>
                      <w:color w:val="auto"/>
                      <w:spacing w:val="9"/>
                      <w:sz w:val="18"/>
                      <w:szCs w:val="18"/>
                      <w:lang w:eastAsia="zh-CN"/>
                    </w:rPr>
                    <w:t>2、贮存设施应根据危险废物的类别、数量、</w:t>
                  </w:r>
                  <w:r>
                    <w:rPr>
                      <w:rFonts w:ascii="Times New Roman" w:hAnsi="Times New Roman" w:cs="Times New Roman"/>
                      <w:color w:val="auto"/>
                      <w:spacing w:val="6"/>
                      <w:sz w:val="18"/>
                      <w:szCs w:val="18"/>
                      <w:lang w:eastAsia="zh-CN"/>
                    </w:rPr>
                    <w:t>形态、物理化学性质和污染防治等要求设置必</w:t>
                  </w:r>
                  <w:r>
                    <w:rPr>
                      <w:rFonts w:ascii="Times New Roman" w:hAnsi="Times New Roman" w:cs="Times New Roman"/>
                      <w:color w:val="auto"/>
                      <w:spacing w:val="7"/>
                      <w:sz w:val="18"/>
                      <w:szCs w:val="18"/>
                      <w:lang w:eastAsia="zh-CN"/>
                    </w:rPr>
                    <w:t>要的贮存分区，避免不相容的危险废物接触、</w:t>
                  </w:r>
                  <w:r>
                    <w:rPr>
                      <w:rFonts w:ascii="Times New Roman" w:hAnsi="Times New Roman" w:cs="Times New Roman"/>
                      <w:color w:val="auto"/>
                      <w:spacing w:val="3"/>
                      <w:sz w:val="18"/>
                      <w:szCs w:val="18"/>
                      <w:lang w:eastAsia="zh-CN"/>
                    </w:rPr>
                    <w:t>混合</w:t>
                  </w:r>
                  <w:r>
                    <w:rPr>
                      <w:rFonts w:ascii="Times New Roman" w:hAnsi="Times New Roman" w:cs="Times New Roman"/>
                      <w:color w:val="auto"/>
                      <w:spacing w:val="8"/>
                      <w:sz w:val="18"/>
                      <w:szCs w:val="18"/>
                      <w:lang w:eastAsia="zh-CN"/>
                    </w:rPr>
                    <w:t>3、贮存设施或贮存分区内地面、墙面裙角、</w:t>
                  </w:r>
                  <w:r>
                    <w:rPr>
                      <w:rFonts w:ascii="Times New Roman" w:hAnsi="Times New Roman" w:cs="Times New Roman"/>
                      <w:color w:val="auto"/>
                      <w:spacing w:val="6"/>
                      <w:sz w:val="18"/>
                      <w:szCs w:val="18"/>
                      <w:lang w:eastAsia="zh-CN"/>
                    </w:rPr>
                    <w:t>堵截泄漏的围堰、接触危险废物的隔板和墙体</w:t>
                  </w:r>
                  <w:r>
                    <w:rPr>
                      <w:rFonts w:ascii="Times New Roman" w:hAnsi="Times New Roman" w:cs="Times New Roman"/>
                      <w:color w:val="auto"/>
                      <w:spacing w:val="8"/>
                      <w:sz w:val="18"/>
                      <w:szCs w:val="18"/>
                      <w:lang w:eastAsia="zh-CN"/>
                    </w:rPr>
                    <w:t>等应采用坚固的材料建造，表面无裂缝。</w:t>
                  </w:r>
                  <w:r>
                    <w:rPr>
                      <w:rFonts w:ascii="Times New Roman" w:hAnsi="Times New Roman" w:cs="Times New Roman"/>
                      <w:color w:val="auto"/>
                      <w:spacing w:val="3"/>
                      <w:sz w:val="18"/>
                      <w:szCs w:val="18"/>
                      <w:lang w:eastAsia="zh-CN"/>
                    </w:rPr>
                    <w:t>4、贮存设施地面与裙脚应采取表面防渗措施；</w:t>
                  </w:r>
                  <w:r>
                    <w:rPr>
                      <w:rFonts w:ascii="Times New Roman" w:hAnsi="Times New Roman" w:cs="Times New Roman"/>
                      <w:color w:val="auto"/>
                      <w:spacing w:val="13"/>
                      <w:sz w:val="18"/>
                      <w:szCs w:val="18"/>
                      <w:lang w:eastAsia="zh-CN"/>
                    </w:rPr>
                    <w:t>表面防渗材料应与所接触的物料或污染物相</w:t>
                  </w:r>
                  <w:r>
                    <w:rPr>
                      <w:rFonts w:ascii="Times New Roman" w:hAnsi="Times New Roman" w:cs="Times New Roman"/>
                      <w:color w:val="auto"/>
                      <w:spacing w:val="6"/>
                      <w:sz w:val="18"/>
                      <w:szCs w:val="18"/>
                      <w:lang w:eastAsia="zh-CN"/>
                    </w:rPr>
                    <w:t>容，可采用抗渗混凝土、高密度聚乙烯膜、钠</w:t>
                  </w:r>
                  <w:r>
                    <w:rPr>
                      <w:rFonts w:ascii="Times New Roman" w:hAnsi="Times New Roman" w:cs="Times New Roman"/>
                      <w:color w:val="auto"/>
                      <w:spacing w:val="7"/>
                      <w:sz w:val="18"/>
                      <w:szCs w:val="18"/>
                      <w:lang w:eastAsia="zh-CN"/>
                    </w:rPr>
                    <w:t>基膨润土防水毯或其他防渗性能等效的材料。</w:t>
                  </w:r>
                  <w:r>
                    <w:rPr>
                      <w:rFonts w:ascii="Times New Roman" w:hAnsi="Times New Roman" w:cs="Times New Roman"/>
                      <w:color w:val="auto"/>
                      <w:spacing w:val="6"/>
                      <w:sz w:val="18"/>
                      <w:szCs w:val="18"/>
                      <w:lang w:eastAsia="zh-CN"/>
                    </w:rPr>
                    <w:t>贮存的危险废物直接接触地面的，还应进行基础防渗，防渗层为至少1m厚黏土层（渗透系</w:t>
                  </w:r>
                  <w:r>
                    <w:rPr>
                      <w:rFonts w:ascii="Times New Roman" w:hAnsi="Times New Roman" w:cs="Times New Roman"/>
                      <w:color w:val="auto"/>
                      <w:spacing w:val="5"/>
                      <w:sz w:val="18"/>
                      <w:szCs w:val="18"/>
                      <w:lang w:eastAsia="zh-CN"/>
                    </w:rPr>
                    <w:t>数不大于10-7</w:t>
                  </w:r>
                  <w:r>
                    <w:rPr>
                      <w:rFonts w:ascii="Times New Roman" w:hAnsi="Times New Roman" w:cs="Times New Roman"/>
                      <w:color w:val="auto"/>
                      <w:sz w:val="18"/>
                      <w:szCs w:val="18"/>
                      <w:lang w:eastAsia="zh-CN"/>
                    </w:rPr>
                    <w:t>cm</w:t>
                  </w:r>
                  <w:r>
                    <w:rPr>
                      <w:rFonts w:ascii="Times New Roman" w:hAnsi="Times New Roman" w:cs="Times New Roman"/>
                      <w:color w:val="auto"/>
                      <w:spacing w:val="5"/>
                      <w:sz w:val="18"/>
                      <w:szCs w:val="18"/>
                      <w:lang w:eastAsia="zh-CN"/>
                    </w:rPr>
                    <w:t>/s</w:t>
                  </w:r>
                  <w:r>
                    <w:rPr>
                      <w:rFonts w:ascii="Times New Roman" w:hAnsi="Times New Roman" w:cs="Times New Roman"/>
                      <w:color w:val="auto"/>
                      <w:spacing w:val="18"/>
                      <w:sz w:val="18"/>
                      <w:szCs w:val="18"/>
                      <w:lang w:eastAsia="zh-CN"/>
                    </w:rPr>
                    <w:t>），</w:t>
                  </w:r>
                  <w:r>
                    <w:rPr>
                      <w:rFonts w:ascii="Times New Roman" w:hAnsi="Times New Roman" w:cs="Times New Roman"/>
                      <w:color w:val="auto"/>
                      <w:spacing w:val="5"/>
                      <w:sz w:val="18"/>
                      <w:szCs w:val="18"/>
                      <w:lang w:eastAsia="zh-CN"/>
                    </w:rPr>
                    <w:t>或至少2</w:t>
                  </w:r>
                  <w:r>
                    <w:rPr>
                      <w:rFonts w:ascii="Times New Roman" w:hAnsi="Times New Roman" w:cs="Times New Roman"/>
                      <w:color w:val="auto"/>
                      <w:sz w:val="18"/>
                      <w:szCs w:val="18"/>
                      <w:lang w:eastAsia="zh-CN"/>
                    </w:rPr>
                    <w:t>mm</w:t>
                  </w:r>
                  <w:r>
                    <w:rPr>
                      <w:rFonts w:ascii="Times New Roman" w:hAnsi="Times New Roman" w:cs="Times New Roman"/>
                      <w:color w:val="auto"/>
                      <w:spacing w:val="5"/>
                      <w:sz w:val="18"/>
                      <w:szCs w:val="18"/>
                      <w:lang w:eastAsia="zh-CN"/>
                    </w:rPr>
                    <w:t>厚高密度</w:t>
                  </w:r>
                  <w:r>
                    <w:rPr>
                      <w:rFonts w:ascii="Times New Roman" w:hAnsi="Times New Roman" w:cs="Times New Roman"/>
                      <w:color w:val="auto"/>
                      <w:spacing w:val="9"/>
                      <w:sz w:val="18"/>
                      <w:szCs w:val="18"/>
                      <w:lang w:eastAsia="zh-CN"/>
                    </w:rPr>
                    <w:t>聚乙烯膜等人工防渗材料（渗透系数不大于</w:t>
                  </w:r>
                  <w:r>
                    <w:rPr>
                      <w:rFonts w:ascii="Times New Roman" w:hAnsi="Times New Roman" w:cs="Times New Roman"/>
                      <w:color w:val="auto"/>
                      <w:spacing w:val="6"/>
                      <w:sz w:val="18"/>
                      <w:szCs w:val="18"/>
                      <w:lang w:eastAsia="zh-CN"/>
                    </w:rPr>
                    <w:t>10-10</w:t>
                  </w:r>
                  <w:r>
                    <w:rPr>
                      <w:rFonts w:ascii="Times New Roman" w:hAnsi="Times New Roman" w:cs="Times New Roman"/>
                      <w:color w:val="auto"/>
                      <w:sz w:val="18"/>
                      <w:szCs w:val="18"/>
                      <w:lang w:eastAsia="zh-CN"/>
                    </w:rPr>
                    <w:t>cm</w:t>
                  </w:r>
                  <w:r>
                    <w:rPr>
                      <w:rFonts w:ascii="Times New Roman" w:hAnsi="Times New Roman" w:cs="Times New Roman"/>
                      <w:color w:val="auto"/>
                      <w:spacing w:val="6"/>
                      <w:sz w:val="18"/>
                      <w:szCs w:val="18"/>
                      <w:lang w:eastAsia="zh-CN"/>
                    </w:rPr>
                    <w:t>/s</w:t>
                  </w:r>
                  <w:r>
                    <w:rPr>
                      <w:rFonts w:ascii="Times New Roman" w:hAnsi="Times New Roman" w:cs="Times New Roman"/>
                      <w:color w:val="auto"/>
                      <w:spacing w:val="19"/>
                      <w:sz w:val="18"/>
                      <w:szCs w:val="18"/>
                      <w:lang w:eastAsia="zh-CN"/>
                    </w:rPr>
                    <w:t>），</w:t>
                  </w:r>
                  <w:r>
                    <w:rPr>
                      <w:rFonts w:ascii="Times New Roman" w:hAnsi="Times New Roman" w:cs="Times New Roman"/>
                      <w:color w:val="auto"/>
                      <w:spacing w:val="6"/>
                      <w:sz w:val="18"/>
                      <w:szCs w:val="18"/>
                      <w:lang w:eastAsia="zh-CN"/>
                    </w:rPr>
                    <w:t>或其他防渗性能等效的材料</w:t>
                  </w:r>
                  <w:r>
                    <w:rPr>
                      <w:rFonts w:ascii="Times New Roman" w:hAnsi="Times New Roman" w:cs="Times New Roman"/>
                      <w:color w:val="auto"/>
                      <w:spacing w:val="8"/>
                      <w:sz w:val="18"/>
                      <w:szCs w:val="18"/>
                      <w:lang w:eastAsia="zh-CN"/>
                    </w:rPr>
                    <w:t>5、同一贮存设施宜采用相同的防渗、防腐工</w:t>
                  </w:r>
                  <w:r>
                    <w:rPr>
                      <w:rFonts w:ascii="Times New Roman" w:hAnsi="Times New Roman" w:cs="Times New Roman"/>
                      <w:color w:val="auto"/>
                      <w:spacing w:val="6"/>
                      <w:sz w:val="18"/>
                      <w:szCs w:val="18"/>
                      <w:lang w:eastAsia="zh-CN"/>
                    </w:rPr>
                    <w:t>艺（包括防渗、防腐结构或材料</w:t>
                  </w:r>
                  <w:r>
                    <w:rPr>
                      <w:rFonts w:ascii="Times New Roman" w:hAnsi="Times New Roman" w:cs="Times New Roman"/>
                      <w:color w:val="auto"/>
                      <w:spacing w:val="10"/>
                      <w:sz w:val="18"/>
                      <w:szCs w:val="18"/>
                      <w:lang w:eastAsia="zh-CN"/>
                    </w:rPr>
                    <w:t>），</w:t>
                  </w:r>
                  <w:r>
                    <w:rPr>
                      <w:rFonts w:ascii="Times New Roman" w:hAnsi="Times New Roman" w:cs="Times New Roman"/>
                      <w:color w:val="auto"/>
                      <w:spacing w:val="6"/>
                      <w:sz w:val="18"/>
                      <w:szCs w:val="18"/>
                      <w:lang w:eastAsia="zh-CN"/>
                    </w:rPr>
                    <w:t>防渗、防腐材料应覆盖所有可能与废物及其渗滤液、渗漏液等接触的构筑物表面；采用不同防渗、防</w:t>
                  </w:r>
                  <w:r>
                    <w:rPr>
                      <w:rFonts w:ascii="Times New Roman" w:hAnsi="Times New Roman" w:cs="Times New Roman"/>
                      <w:color w:val="auto"/>
                      <w:spacing w:val="9"/>
                      <w:sz w:val="18"/>
                      <w:szCs w:val="18"/>
                      <w:lang w:eastAsia="zh-CN"/>
                    </w:rPr>
                    <w:t>腐工艺应分别建设贮存分区</w:t>
                  </w:r>
                  <w:r>
                    <w:rPr>
                      <w:rFonts w:ascii="Times New Roman" w:hAnsi="Times New Roman" w:cs="Times New Roman"/>
                      <w:color w:val="auto"/>
                      <w:spacing w:val="8"/>
                      <w:sz w:val="18"/>
                      <w:szCs w:val="18"/>
                      <w:lang w:eastAsia="zh-CN"/>
                    </w:rPr>
                    <w:t>6、贮存设施应采取技术和管理措施防止无关</w:t>
                  </w:r>
                  <w:r>
                    <w:rPr>
                      <w:rFonts w:ascii="Times New Roman" w:hAnsi="Times New Roman" w:cs="Times New Roman"/>
                      <w:color w:val="auto"/>
                      <w:spacing w:val="6"/>
                      <w:sz w:val="18"/>
                      <w:szCs w:val="18"/>
                      <w:lang w:eastAsia="zh-CN"/>
                    </w:rPr>
                    <w:t>人员进入</w:t>
                  </w:r>
                  <w:r>
                    <w:rPr>
                      <w:rFonts w:ascii="Times New Roman" w:hAnsi="Times New Roman" w:cs="Times New Roman"/>
                      <w:color w:val="auto"/>
                      <w:spacing w:val="8"/>
                      <w:sz w:val="18"/>
                      <w:szCs w:val="18"/>
                      <w:lang w:eastAsia="zh-CN"/>
                    </w:rPr>
                    <w:t>7、贮存库内不同贮存分区之间应采取隔离措</w:t>
                  </w:r>
                  <w:r>
                    <w:rPr>
                      <w:rFonts w:ascii="Times New Roman" w:hAnsi="Times New Roman" w:cs="Times New Roman"/>
                      <w:color w:val="auto"/>
                      <w:spacing w:val="9"/>
                      <w:sz w:val="18"/>
                      <w:szCs w:val="18"/>
                      <w:lang w:eastAsia="zh-CN"/>
                    </w:rPr>
                    <w:t>施。隔离措施可根据危险废物特性采用过道、</w:t>
                  </w:r>
                  <w:r>
                    <w:rPr>
                      <w:rFonts w:ascii="Times New Roman" w:hAnsi="Times New Roman" w:cs="Times New Roman"/>
                      <w:color w:val="auto"/>
                      <w:spacing w:val="6"/>
                      <w:sz w:val="18"/>
                      <w:szCs w:val="18"/>
                      <w:lang w:eastAsia="zh-CN"/>
                    </w:rPr>
                    <w:t>隔板或隔墙等方式。</w:t>
                  </w:r>
                  <w:r>
                    <w:rPr>
                      <w:rFonts w:ascii="Times New Roman" w:hAnsi="Times New Roman" w:cs="Times New Roman"/>
                      <w:color w:val="auto"/>
                      <w:spacing w:val="7"/>
                      <w:sz w:val="18"/>
                      <w:szCs w:val="18"/>
                      <w:lang w:eastAsia="zh-CN"/>
                    </w:rPr>
                    <w:t>8、在贮存库内或通过贮存分区方式贮存液态</w:t>
                  </w:r>
                  <w:r>
                    <w:rPr>
                      <w:rFonts w:ascii="Times New Roman" w:hAnsi="Times New Roman" w:cs="Times New Roman"/>
                      <w:color w:val="auto"/>
                      <w:spacing w:val="6"/>
                      <w:sz w:val="18"/>
                      <w:szCs w:val="18"/>
                      <w:lang w:eastAsia="zh-CN"/>
                    </w:rPr>
                    <w:t>危险废物的，应具有液体泄漏堵截设施，堵截</w:t>
                  </w:r>
                  <w:r>
                    <w:rPr>
                      <w:rFonts w:ascii="Times New Roman" w:hAnsi="Times New Roman" w:cs="Times New Roman"/>
                      <w:color w:val="auto"/>
                      <w:spacing w:val="13"/>
                      <w:sz w:val="18"/>
                      <w:szCs w:val="18"/>
                      <w:lang w:eastAsia="zh-CN"/>
                    </w:rPr>
                    <w:t>设施最小容积不应低于对应贮存区域最大液</w:t>
                  </w:r>
                  <w:r>
                    <w:rPr>
                      <w:rFonts w:ascii="Times New Roman" w:hAnsi="Times New Roman" w:cs="Times New Roman"/>
                      <w:color w:val="auto"/>
                      <w:spacing w:val="4"/>
                      <w:sz w:val="18"/>
                      <w:szCs w:val="18"/>
                      <w:lang w:eastAsia="zh-CN"/>
                    </w:rPr>
                    <w:t>态废物容器容积或液态废物总储量的1/10</w:t>
                  </w:r>
                  <w:r>
                    <w:rPr>
                      <w:rFonts w:ascii="Times New Roman" w:hAnsi="Times New Roman" w:cs="Times New Roman"/>
                      <w:color w:val="auto"/>
                      <w:spacing w:val="3"/>
                      <w:sz w:val="18"/>
                      <w:szCs w:val="18"/>
                      <w:lang w:eastAsia="zh-CN"/>
                    </w:rPr>
                    <w:t>（二</w:t>
                  </w:r>
                  <w:r>
                    <w:rPr>
                      <w:rFonts w:ascii="Times New Roman" w:hAnsi="Times New Roman" w:cs="Times New Roman"/>
                      <w:color w:val="auto"/>
                      <w:spacing w:val="8"/>
                      <w:sz w:val="18"/>
                      <w:szCs w:val="18"/>
                      <w:lang w:eastAsia="zh-CN"/>
                    </w:rPr>
                    <w:t>者取较大者</w:t>
                  </w:r>
                  <w:r>
                    <w:rPr>
                      <w:rFonts w:ascii="Times New Roman" w:hAnsi="Times New Roman" w:cs="Times New Roman"/>
                      <w:color w:val="auto"/>
                      <w:spacing w:val="-12"/>
                      <w:sz w:val="18"/>
                      <w:szCs w:val="18"/>
                      <w:lang w:eastAsia="zh-CN"/>
                    </w:rPr>
                    <w:t>）；</w:t>
                  </w:r>
                  <w:r>
                    <w:rPr>
                      <w:rFonts w:ascii="Times New Roman" w:hAnsi="Times New Roman" w:cs="Times New Roman"/>
                      <w:color w:val="auto"/>
                      <w:spacing w:val="8"/>
                      <w:sz w:val="18"/>
                      <w:szCs w:val="18"/>
                      <w:lang w:eastAsia="zh-CN"/>
                    </w:rPr>
                    <w:t>用于贮存可能产生渗滤液的危</w:t>
                  </w:r>
                  <w:r>
                    <w:rPr>
                      <w:rFonts w:ascii="Times New Roman" w:hAnsi="Times New Roman" w:cs="Times New Roman"/>
                      <w:color w:val="auto"/>
                      <w:spacing w:val="13"/>
                      <w:sz w:val="18"/>
                      <w:szCs w:val="18"/>
                      <w:lang w:eastAsia="zh-CN"/>
                    </w:rPr>
                    <w:t>险废物的贮存库或贮存分区应设计渗滤液收</w:t>
                  </w:r>
                  <w:r>
                    <w:rPr>
                      <w:rFonts w:ascii="Times New Roman" w:hAnsi="Times New Roman" w:cs="Times New Roman"/>
                      <w:color w:val="auto"/>
                      <w:spacing w:val="6"/>
                      <w:sz w:val="18"/>
                      <w:szCs w:val="18"/>
                      <w:lang w:eastAsia="zh-CN"/>
                    </w:rPr>
                    <w:t>集设施，收集设施容积应满足渗滤液的收集要</w:t>
                  </w:r>
                  <w:r>
                    <w:rPr>
                      <w:rFonts w:ascii="Times New Roman" w:hAnsi="Times New Roman" w:cs="Times New Roman"/>
                      <w:color w:val="auto"/>
                      <w:spacing w:val="-1"/>
                      <w:sz w:val="18"/>
                      <w:szCs w:val="18"/>
                      <w:lang w:eastAsia="zh-CN"/>
                    </w:rPr>
                    <w:t>求。</w:t>
                  </w:r>
                  <w:r>
                    <w:rPr>
                      <w:rFonts w:ascii="Times New Roman" w:hAnsi="Times New Roman" w:cs="Times New Roman"/>
                      <w:color w:val="auto"/>
                      <w:spacing w:val="4"/>
                      <w:sz w:val="18"/>
                      <w:szCs w:val="18"/>
                      <w:lang w:eastAsia="zh-CN"/>
                    </w:rPr>
                    <w:t>9、贮存易产生粉尘、</w:t>
                  </w:r>
                  <w:r>
                    <w:rPr>
                      <w:rFonts w:ascii="Times New Roman" w:hAnsi="Times New Roman" w:cs="Times New Roman"/>
                      <w:color w:val="auto"/>
                      <w:sz w:val="18"/>
                      <w:szCs w:val="18"/>
                      <w:lang w:eastAsia="zh-CN"/>
                    </w:rPr>
                    <w:t>VOCs</w:t>
                  </w:r>
                  <w:r>
                    <w:rPr>
                      <w:rFonts w:ascii="Times New Roman" w:hAnsi="Times New Roman" w:cs="Times New Roman"/>
                      <w:color w:val="auto"/>
                      <w:spacing w:val="4"/>
                      <w:sz w:val="18"/>
                      <w:szCs w:val="18"/>
                      <w:lang w:eastAsia="zh-CN"/>
                    </w:rPr>
                    <w:t>、酸雾、有毒有害</w:t>
                  </w:r>
                  <w:r>
                    <w:rPr>
                      <w:rFonts w:ascii="Times New Roman" w:hAnsi="Times New Roman" w:cs="Times New Roman"/>
                      <w:color w:val="auto"/>
                      <w:spacing w:val="13"/>
                      <w:sz w:val="18"/>
                      <w:szCs w:val="18"/>
                      <w:lang w:eastAsia="zh-CN"/>
                    </w:rPr>
                    <w:t>大气污染物和刺激性气味气体的危险废物贮</w:t>
                  </w:r>
                  <w:r>
                    <w:rPr>
                      <w:rFonts w:ascii="Times New Roman" w:hAnsi="Times New Roman" w:cs="Times New Roman"/>
                      <w:color w:val="auto"/>
                      <w:spacing w:val="6"/>
                      <w:sz w:val="18"/>
                      <w:szCs w:val="18"/>
                      <w:lang w:eastAsia="zh-CN"/>
                    </w:rPr>
                    <w:t>存库，应设置气体收集装置和气体净化设施；</w:t>
                  </w:r>
                  <w:r>
                    <w:rPr>
                      <w:rFonts w:ascii="Times New Roman" w:hAnsi="Times New Roman" w:cs="Times New Roman"/>
                      <w:color w:val="auto"/>
                      <w:spacing w:val="8"/>
                      <w:sz w:val="18"/>
                      <w:szCs w:val="18"/>
                      <w:lang w:eastAsia="zh-CN"/>
                    </w:rPr>
                    <w:t>气体净化设施的排气筒高度应符合</w:t>
                  </w:r>
                  <w:r>
                    <w:rPr>
                      <w:rFonts w:ascii="Times New Roman" w:hAnsi="Times New Roman" w:cs="Times New Roman"/>
                      <w:color w:val="auto"/>
                      <w:sz w:val="18"/>
                      <w:szCs w:val="18"/>
                      <w:lang w:eastAsia="zh-CN"/>
                    </w:rPr>
                    <w:t>GB</w:t>
                  </w:r>
                  <w:r>
                    <w:rPr>
                      <w:rFonts w:ascii="Times New Roman" w:hAnsi="Times New Roman" w:cs="Times New Roman"/>
                      <w:color w:val="auto"/>
                      <w:spacing w:val="8"/>
                      <w:sz w:val="18"/>
                      <w:szCs w:val="18"/>
                      <w:lang w:eastAsia="zh-CN"/>
                    </w:rPr>
                    <w:t>16297</w:t>
                  </w:r>
                  <w:r>
                    <w:rPr>
                      <w:rFonts w:ascii="Times New Roman" w:hAnsi="Times New Roman" w:cs="Times New Roman"/>
                      <w:color w:val="auto"/>
                      <w:spacing w:val="4"/>
                      <w:sz w:val="18"/>
                      <w:szCs w:val="18"/>
                      <w:lang w:eastAsia="zh-CN"/>
                    </w:rPr>
                    <w:t>要求</w:t>
                  </w:r>
                </w:p>
              </w:tc>
              <w:tc>
                <w:tcPr>
                  <w:tcW w:w="936" w:type="pct"/>
                  <w:tcBorders>
                    <w:tl2br w:val="nil"/>
                    <w:tr2bl w:val="nil"/>
                  </w:tcBorders>
                  <w:vAlign w:val="center"/>
                </w:tcPr>
                <w:p w14:paraId="33F07F65">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8"/>
                      <w:sz w:val="18"/>
                      <w:szCs w:val="18"/>
                      <w:lang w:eastAsia="zh-CN"/>
                    </w:rPr>
                    <w:t>危废仓库满足防风、</w:t>
                  </w:r>
                  <w:r>
                    <w:rPr>
                      <w:rFonts w:ascii="Times New Roman" w:hAnsi="Times New Roman" w:cs="Times New Roman"/>
                      <w:color w:val="auto"/>
                      <w:spacing w:val="9"/>
                      <w:sz w:val="18"/>
                      <w:szCs w:val="18"/>
                      <w:lang w:eastAsia="zh-CN"/>
                    </w:rPr>
                    <w:t>防晒、防雨、防漏、防渗、防腐等要求，</w:t>
                  </w:r>
                  <w:r>
                    <w:rPr>
                      <w:rFonts w:ascii="Times New Roman" w:hAnsi="Times New Roman" w:cs="Times New Roman"/>
                      <w:color w:val="auto"/>
                      <w:spacing w:val="8"/>
                      <w:sz w:val="18"/>
                      <w:szCs w:val="18"/>
                      <w:lang w:eastAsia="zh-CN"/>
                    </w:rPr>
                    <w:t>危险废物已分区分类</w:t>
                  </w:r>
                  <w:r>
                    <w:rPr>
                      <w:rFonts w:ascii="Times New Roman" w:hAnsi="Times New Roman" w:cs="Times New Roman"/>
                      <w:color w:val="auto"/>
                      <w:spacing w:val="9"/>
                      <w:sz w:val="18"/>
                      <w:szCs w:val="18"/>
                      <w:lang w:eastAsia="zh-CN"/>
                    </w:rPr>
                    <w:t>存放，地面表面不可有裂缝，危废库实行专人管理，无关人员</w:t>
                  </w:r>
                  <w:r>
                    <w:rPr>
                      <w:rFonts w:ascii="Times New Roman" w:hAnsi="Times New Roman" w:cs="Times New Roman"/>
                      <w:color w:val="auto"/>
                      <w:spacing w:val="7"/>
                      <w:sz w:val="18"/>
                      <w:szCs w:val="18"/>
                      <w:lang w:eastAsia="zh-CN"/>
                    </w:rPr>
                    <w:t>禁止进入</w:t>
                  </w:r>
                </w:p>
              </w:tc>
              <w:tc>
                <w:tcPr>
                  <w:tcW w:w="323" w:type="pct"/>
                  <w:tcBorders>
                    <w:tl2br w:val="nil"/>
                    <w:tr2bl w:val="nil"/>
                  </w:tcBorders>
                  <w:vAlign w:val="center"/>
                </w:tcPr>
                <w:p w14:paraId="08A6F414">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pacing w:val="8"/>
                      <w:sz w:val="18"/>
                      <w:szCs w:val="18"/>
                      <w:lang w:eastAsia="zh-CN"/>
                    </w:rPr>
                  </w:pPr>
                  <w:r>
                    <w:rPr>
                      <w:rFonts w:hint="eastAsia" w:ascii="Times New Roman" w:hAnsi="Times New Roman" w:cs="Times New Roman"/>
                      <w:color w:val="auto"/>
                      <w:spacing w:val="8"/>
                      <w:sz w:val="18"/>
                      <w:szCs w:val="18"/>
                      <w:lang w:eastAsia="zh-CN"/>
                    </w:rPr>
                    <w:t>相符</w:t>
                  </w:r>
                </w:p>
              </w:tc>
            </w:tr>
            <w:tr w14:paraId="20069A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7" w:type="pct"/>
                  <w:vMerge w:val="continue"/>
                  <w:tcBorders>
                    <w:tl2br w:val="nil"/>
                    <w:tr2bl w:val="nil"/>
                  </w:tcBorders>
                  <w:vAlign w:val="center"/>
                </w:tcPr>
                <w:p w14:paraId="5023645C">
                  <w:pPr>
                    <w:widowControl/>
                    <w:kinsoku w:val="0"/>
                    <w:autoSpaceDE w:val="0"/>
                    <w:autoSpaceDN w:val="0"/>
                    <w:spacing w:line="240" w:lineRule="auto"/>
                    <w:ind w:firstLine="0" w:firstLineChars="0"/>
                    <w:jc w:val="center"/>
                    <w:textAlignment w:val="baseline"/>
                    <w:rPr>
                      <w:rFonts w:cs="Times New Roman"/>
                      <w:color w:val="auto"/>
                      <w:sz w:val="18"/>
                      <w:szCs w:val="18"/>
                      <w:lang w:eastAsia="zh-CN"/>
                    </w:rPr>
                  </w:pPr>
                </w:p>
              </w:tc>
              <w:tc>
                <w:tcPr>
                  <w:tcW w:w="294" w:type="pct"/>
                  <w:tcBorders>
                    <w:tl2br w:val="nil"/>
                    <w:tr2bl w:val="nil"/>
                  </w:tcBorders>
                  <w:vAlign w:val="center"/>
                </w:tcPr>
                <w:p w14:paraId="04759BC1">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3"/>
                      <w:sz w:val="18"/>
                      <w:szCs w:val="18"/>
                      <w:lang w:eastAsia="zh-CN"/>
                    </w:rPr>
                    <w:t>容器</w:t>
                  </w:r>
                  <w:r>
                    <w:rPr>
                      <w:rFonts w:ascii="Times New Roman" w:hAnsi="Times New Roman" w:cs="Times New Roman"/>
                      <w:color w:val="auto"/>
                      <w:spacing w:val="5"/>
                      <w:sz w:val="18"/>
                      <w:szCs w:val="18"/>
                      <w:lang w:eastAsia="zh-CN"/>
                    </w:rPr>
                    <w:t>和包装物污染控制要求</w:t>
                  </w:r>
                </w:p>
              </w:tc>
              <w:tc>
                <w:tcPr>
                  <w:tcW w:w="3037" w:type="pct"/>
                  <w:tcBorders>
                    <w:tl2br w:val="nil"/>
                    <w:tr2bl w:val="nil"/>
                  </w:tcBorders>
                  <w:vAlign w:val="center"/>
                </w:tcPr>
                <w:p w14:paraId="235F74C0">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5"/>
                      <w:sz w:val="18"/>
                      <w:szCs w:val="18"/>
                      <w:lang w:eastAsia="zh-CN"/>
                    </w:rPr>
                    <w:t>1、容器和包装物材质、内衬应与盛装的危险</w:t>
                  </w:r>
                  <w:r>
                    <w:rPr>
                      <w:rFonts w:ascii="Times New Roman" w:hAnsi="Times New Roman" w:cs="Times New Roman"/>
                      <w:color w:val="auto"/>
                      <w:spacing w:val="7"/>
                      <w:sz w:val="18"/>
                      <w:szCs w:val="18"/>
                      <w:lang w:eastAsia="zh-CN"/>
                    </w:rPr>
                    <w:t>废物相容</w:t>
                  </w:r>
                  <w:r>
                    <w:rPr>
                      <w:rFonts w:ascii="Times New Roman" w:hAnsi="Times New Roman" w:cs="Times New Roman"/>
                      <w:color w:val="auto"/>
                      <w:spacing w:val="8"/>
                      <w:sz w:val="18"/>
                      <w:szCs w:val="18"/>
                      <w:lang w:eastAsia="zh-CN"/>
                    </w:rPr>
                    <w:t>2、针对不同类别、形态、物理化学性质的危险废物，其容器和包装物应满足相应的防渗、</w:t>
                  </w:r>
                  <w:r>
                    <w:rPr>
                      <w:rFonts w:ascii="Times New Roman" w:hAnsi="Times New Roman" w:cs="Times New Roman"/>
                      <w:color w:val="auto"/>
                      <w:spacing w:val="7"/>
                      <w:sz w:val="18"/>
                      <w:szCs w:val="18"/>
                      <w:lang w:eastAsia="zh-CN"/>
                    </w:rPr>
                    <w:t>防漏、防腐和强度等要求</w:t>
                  </w:r>
                  <w:r>
                    <w:rPr>
                      <w:rFonts w:ascii="Times New Roman" w:hAnsi="Times New Roman" w:cs="Times New Roman"/>
                      <w:color w:val="auto"/>
                      <w:spacing w:val="8"/>
                      <w:sz w:val="18"/>
                      <w:szCs w:val="18"/>
                      <w:lang w:eastAsia="zh-CN"/>
                    </w:rPr>
                    <w:t>3、硬质容器和包装物及其支护结构堆叠码放时不应有明显变形，无破损泄漏</w:t>
                  </w:r>
                  <w:r>
                    <w:rPr>
                      <w:rFonts w:ascii="Times New Roman" w:hAnsi="Times New Roman" w:cs="Times New Roman"/>
                      <w:color w:val="auto"/>
                      <w:spacing w:val="5"/>
                      <w:sz w:val="18"/>
                      <w:szCs w:val="18"/>
                      <w:lang w:eastAsia="zh-CN"/>
                    </w:rPr>
                    <w:t>4、柔性容器和包装物堆叠码放时应封口严密，</w:t>
                  </w:r>
                  <w:r>
                    <w:rPr>
                      <w:rFonts w:ascii="Times New Roman" w:hAnsi="Times New Roman" w:cs="Times New Roman"/>
                      <w:color w:val="auto"/>
                      <w:spacing w:val="7"/>
                      <w:sz w:val="18"/>
                      <w:szCs w:val="18"/>
                      <w:lang w:eastAsia="zh-CN"/>
                    </w:rPr>
                    <w:t>无破损泄漏</w:t>
                  </w:r>
                  <w:r>
                    <w:rPr>
                      <w:rFonts w:ascii="Times New Roman" w:hAnsi="Times New Roman" w:cs="Times New Roman"/>
                      <w:color w:val="auto"/>
                      <w:spacing w:val="8"/>
                      <w:sz w:val="18"/>
                      <w:szCs w:val="18"/>
                      <w:lang w:eastAsia="zh-CN"/>
                    </w:rPr>
                    <w:t>5、使用容器盛装液态、半固态危险废物时，</w:t>
                  </w:r>
                  <w:r>
                    <w:rPr>
                      <w:rFonts w:ascii="Times New Roman" w:hAnsi="Times New Roman" w:cs="Times New Roman"/>
                      <w:color w:val="auto"/>
                      <w:spacing w:val="5"/>
                      <w:sz w:val="18"/>
                      <w:szCs w:val="18"/>
                      <w:lang w:eastAsia="zh-CN"/>
                    </w:rPr>
                    <w:t>容器内部应留有适当的空间，以适应因温度变</w:t>
                  </w:r>
                  <w:r>
                    <w:rPr>
                      <w:rFonts w:ascii="Times New Roman" w:hAnsi="Times New Roman" w:cs="Times New Roman"/>
                      <w:color w:val="auto"/>
                      <w:spacing w:val="6"/>
                      <w:sz w:val="18"/>
                      <w:szCs w:val="18"/>
                      <w:lang w:eastAsia="zh-CN"/>
                    </w:rPr>
                    <w:t>化等可能引发的收缩和膨胀，防止其导致容器</w:t>
                  </w:r>
                  <w:r>
                    <w:rPr>
                      <w:rFonts w:ascii="Times New Roman" w:hAnsi="Times New Roman" w:cs="Times New Roman"/>
                      <w:color w:val="auto"/>
                      <w:spacing w:val="8"/>
                      <w:sz w:val="18"/>
                      <w:szCs w:val="18"/>
                      <w:lang w:eastAsia="zh-CN"/>
                    </w:rPr>
                    <w:t>渗漏或永久变形</w:t>
                  </w:r>
                  <w:r>
                    <w:rPr>
                      <w:rFonts w:ascii="Times New Roman" w:hAnsi="Times New Roman" w:cs="Times New Roman"/>
                      <w:color w:val="auto"/>
                      <w:spacing w:val="7"/>
                      <w:sz w:val="18"/>
                      <w:szCs w:val="18"/>
                      <w:lang w:eastAsia="zh-CN"/>
                    </w:rPr>
                    <w:t>6、容器和包装物外表面应保持清洁</w:t>
                  </w:r>
                </w:p>
              </w:tc>
              <w:tc>
                <w:tcPr>
                  <w:tcW w:w="936" w:type="pct"/>
                  <w:tcBorders>
                    <w:tl2br w:val="nil"/>
                    <w:tr2bl w:val="nil"/>
                  </w:tcBorders>
                  <w:vAlign w:val="center"/>
                </w:tcPr>
                <w:p w14:paraId="1C0E3792">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8"/>
                      <w:sz w:val="18"/>
                      <w:szCs w:val="18"/>
                      <w:lang w:eastAsia="zh-CN"/>
                    </w:rPr>
                    <w:t>危险废物中液体、半</w:t>
                  </w:r>
                  <w:r>
                    <w:rPr>
                      <w:rFonts w:ascii="Times New Roman" w:hAnsi="Times New Roman" w:cs="Times New Roman"/>
                      <w:color w:val="auto"/>
                      <w:spacing w:val="6"/>
                      <w:sz w:val="18"/>
                      <w:szCs w:val="18"/>
                      <w:lang w:eastAsia="zh-CN"/>
                    </w:rPr>
                    <w:t>固型废物均采用桶装</w:t>
                  </w:r>
                  <w:r>
                    <w:rPr>
                      <w:rFonts w:ascii="Times New Roman" w:hAnsi="Times New Roman" w:cs="Times New Roman"/>
                      <w:color w:val="auto"/>
                      <w:spacing w:val="7"/>
                      <w:sz w:val="18"/>
                      <w:szCs w:val="18"/>
                      <w:lang w:eastAsia="zh-CN"/>
                    </w:rPr>
                    <w:t>密封，底部设置托盘，</w:t>
                  </w:r>
                  <w:r>
                    <w:rPr>
                      <w:rFonts w:ascii="Times New Roman" w:hAnsi="Times New Roman" w:cs="Times New Roman"/>
                      <w:color w:val="auto"/>
                      <w:spacing w:val="6"/>
                      <w:sz w:val="18"/>
                      <w:szCs w:val="18"/>
                      <w:lang w:eastAsia="zh-CN"/>
                    </w:rPr>
                    <w:t>固体废物可采用袋</w:t>
                  </w:r>
                  <w:r>
                    <w:rPr>
                      <w:rFonts w:ascii="Times New Roman" w:hAnsi="Times New Roman" w:cs="Times New Roman"/>
                      <w:color w:val="auto"/>
                      <w:spacing w:val="7"/>
                      <w:sz w:val="18"/>
                      <w:szCs w:val="18"/>
                      <w:lang w:eastAsia="zh-CN"/>
                    </w:rPr>
                    <w:t>装，底部设置托盘，</w:t>
                  </w:r>
                  <w:r>
                    <w:rPr>
                      <w:rFonts w:ascii="Times New Roman" w:hAnsi="Times New Roman" w:cs="Times New Roman"/>
                      <w:color w:val="auto"/>
                      <w:spacing w:val="8"/>
                      <w:sz w:val="18"/>
                      <w:szCs w:val="18"/>
                      <w:lang w:eastAsia="zh-CN"/>
                    </w:rPr>
                    <w:t>桶装容器、包装物外表面完整、清洁</w:t>
                  </w:r>
                </w:p>
              </w:tc>
              <w:tc>
                <w:tcPr>
                  <w:tcW w:w="323" w:type="pct"/>
                  <w:tcBorders>
                    <w:tl2br w:val="nil"/>
                    <w:tr2bl w:val="nil"/>
                  </w:tcBorders>
                  <w:vAlign w:val="center"/>
                </w:tcPr>
                <w:p w14:paraId="79232CE3">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pacing w:val="8"/>
                      <w:sz w:val="18"/>
                      <w:szCs w:val="18"/>
                      <w:lang w:eastAsia="zh-CN"/>
                    </w:rPr>
                  </w:pPr>
                  <w:r>
                    <w:rPr>
                      <w:rFonts w:hint="eastAsia" w:ascii="Times New Roman" w:hAnsi="Times New Roman" w:cs="Times New Roman"/>
                      <w:color w:val="auto"/>
                      <w:spacing w:val="8"/>
                      <w:sz w:val="18"/>
                      <w:szCs w:val="18"/>
                      <w:lang w:eastAsia="zh-CN"/>
                    </w:rPr>
                    <w:t>相符</w:t>
                  </w:r>
                </w:p>
              </w:tc>
            </w:tr>
            <w:tr w14:paraId="022A25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7" w:type="pct"/>
                  <w:vMerge w:val="continue"/>
                  <w:tcBorders>
                    <w:tl2br w:val="nil"/>
                    <w:tr2bl w:val="nil"/>
                  </w:tcBorders>
                  <w:vAlign w:val="center"/>
                </w:tcPr>
                <w:p w14:paraId="31D83D03">
                  <w:pPr>
                    <w:widowControl/>
                    <w:kinsoku w:val="0"/>
                    <w:autoSpaceDE w:val="0"/>
                    <w:autoSpaceDN w:val="0"/>
                    <w:spacing w:line="240" w:lineRule="auto"/>
                    <w:ind w:firstLine="0" w:firstLineChars="0"/>
                    <w:jc w:val="center"/>
                    <w:textAlignment w:val="baseline"/>
                    <w:rPr>
                      <w:rFonts w:cs="Times New Roman"/>
                      <w:color w:val="auto"/>
                      <w:sz w:val="18"/>
                      <w:szCs w:val="18"/>
                      <w:lang w:eastAsia="en-US"/>
                    </w:rPr>
                  </w:pPr>
                </w:p>
              </w:tc>
              <w:tc>
                <w:tcPr>
                  <w:tcW w:w="294" w:type="pct"/>
                  <w:tcBorders>
                    <w:tl2br w:val="nil"/>
                    <w:tr2bl w:val="nil"/>
                  </w:tcBorders>
                  <w:vAlign w:val="center"/>
                </w:tcPr>
                <w:p w14:paraId="53D91701">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4"/>
                      <w:sz w:val="18"/>
                      <w:szCs w:val="18"/>
                      <w:lang w:eastAsia="zh-CN"/>
                    </w:rPr>
                    <w:t>贮存</w:t>
                  </w:r>
                  <w:r>
                    <w:rPr>
                      <w:rFonts w:ascii="Times New Roman" w:hAnsi="Times New Roman" w:cs="Times New Roman"/>
                      <w:color w:val="auto"/>
                      <w:spacing w:val="5"/>
                      <w:sz w:val="18"/>
                      <w:szCs w:val="18"/>
                      <w:lang w:eastAsia="zh-CN"/>
                    </w:rPr>
                    <w:t>过程污染控制要求</w:t>
                  </w:r>
                </w:p>
              </w:tc>
              <w:tc>
                <w:tcPr>
                  <w:tcW w:w="3037" w:type="pct"/>
                  <w:tcBorders>
                    <w:tl2br w:val="nil"/>
                    <w:tr2bl w:val="nil"/>
                  </w:tcBorders>
                  <w:vAlign w:val="center"/>
                </w:tcPr>
                <w:p w14:paraId="0725AE03">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7"/>
                      <w:sz w:val="18"/>
                      <w:szCs w:val="18"/>
                      <w:lang w:eastAsia="zh-CN"/>
                    </w:rPr>
                    <w:t>1、在常温常压下不易水解、不易挥发的固态</w:t>
                  </w:r>
                  <w:r>
                    <w:rPr>
                      <w:rFonts w:ascii="Times New Roman" w:hAnsi="Times New Roman" w:cs="Times New Roman"/>
                      <w:color w:val="auto"/>
                      <w:spacing w:val="5"/>
                      <w:sz w:val="18"/>
                      <w:szCs w:val="18"/>
                      <w:lang w:eastAsia="zh-CN"/>
                    </w:rPr>
                    <w:t>危险废物可分类堆放贮存，其他固态危险废物</w:t>
                  </w:r>
                  <w:r>
                    <w:rPr>
                      <w:rFonts w:ascii="Times New Roman" w:hAnsi="Times New Roman" w:cs="Times New Roman"/>
                      <w:color w:val="auto"/>
                      <w:spacing w:val="9"/>
                      <w:sz w:val="18"/>
                      <w:szCs w:val="18"/>
                      <w:lang w:eastAsia="zh-CN"/>
                    </w:rPr>
                    <w:t>应装入容器或包装物内贮存</w:t>
                  </w:r>
                  <w:r>
                    <w:rPr>
                      <w:rFonts w:ascii="Times New Roman" w:hAnsi="Times New Roman" w:cs="Times New Roman"/>
                      <w:color w:val="auto"/>
                      <w:spacing w:val="8"/>
                      <w:sz w:val="18"/>
                      <w:szCs w:val="18"/>
                      <w:lang w:eastAsia="zh-CN"/>
                    </w:rPr>
                    <w:t>2、液态危险废物应装入容器内贮存，或直接</w:t>
                  </w:r>
                  <w:r>
                    <w:rPr>
                      <w:rFonts w:ascii="Times New Roman" w:hAnsi="Times New Roman" w:cs="Times New Roman"/>
                      <w:color w:val="auto"/>
                      <w:spacing w:val="9"/>
                      <w:sz w:val="18"/>
                      <w:szCs w:val="18"/>
                      <w:lang w:eastAsia="zh-CN"/>
                    </w:rPr>
                    <w:t>采用贮存池、贮存罐区贮存</w:t>
                  </w:r>
                  <w:r>
                    <w:rPr>
                      <w:rFonts w:ascii="Times New Roman" w:hAnsi="Times New Roman" w:cs="Times New Roman"/>
                      <w:color w:val="auto"/>
                      <w:spacing w:val="8"/>
                      <w:sz w:val="18"/>
                      <w:szCs w:val="18"/>
                      <w:lang w:eastAsia="zh-CN"/>
                    </w:rPr>
                    <w:t>3、半固态危险废物应装入容器或包装袋内贮</w:t>
                  </w:r>
                  <w:r>
                    <w:rPr>
                      <w:rFonts w:ascii="Times New Roman" w:hAnsi="Times New Roman" w:cs="Times New Roman"/>
                      <w:color w:val="auto"/>
                      <w:spacing w:val="9"/>
                      <w:sz w:val="18"/>
                      <w:szCs w:val="18"/>
                      <w:lang w:eastAsia="zh-CN"/>
                    </w:rPr>
                    <w:t>存，或直接采用贮存池贮存</w:t>
                  </w:r>
                  <w:r>
                    <w:rPr>
                      <w:rFonts w:ascii="Times New Roman" w:hAnsi="Times New Roman" w:cs="Times New Roman"/>
                      <w:color w:val="auto"/>
                      <w:spacing w:val="8"/>
                      <w:sz w:val="18"/>
                      <w:szCs w:val="18"/>
                      <w:lang w:eastAsia="zh-CN"/>
                    </w:rPr>
                    <w:t>4、具有热塑性的危险废物应装入容器或包装袋内进行贮存</w:t>
                  </w:r>
                  <w:r>
                    <w:rPr>
                      <w:rFonts w:ascii="Times New Roman" w:hAnsi="Times New Roman" w:cs="Times New Roman"/>
                      <w:color w:val="auto"/>
                      <w:spacing w:val="3"/>
                      <w:sz w:val="18"/>
                      <w:szCs w:val="18"/>
                      <w:lang w:eastAsia="zh-CN"/>
                    </w:rPr>
                    <w:t>5、易产生粉尘、</w:t>
                  </w:r>
                  <w:r>
                    <w:rPr>
                      <w:rFonts w:ascii="Times New Roman" w:hAnsi="Times New Roman" w:cs="Times New Roman"/>
                      <w:color w:val="auto"/>
                      <w:sz w:val="18"/>
                      <w:szCs w:val="18"/>
                      <w:lang w:eastAsia="zh-CN"/>
                    </w:rPr>
                    <w:t>VOCs</w:t>
                  </w:r>
                  <w:r>
                    <w:rPr>
                      <w:rFonts w:ascii="Times New Roman" w:hAnsi="Times New Roman" w:cs="Times New Roman"/>
                      <w:color w:val="auto"/>
                      <w:spacing w:val="3"/>
                      <w:sz w:val="18"/>
                      <w:szCs w:val="18"/>
                      <w:lang w:eastAsia="zh-CN"/>
                    </w:rPr>
                    <w:t>、酸雾、有毒有害大气</w:t>
                  </w:r>
                  <w:r>
                    <w:rPr>
                      <w:rFonts w:ascii="Times New Roman" w:hAnsi="Times New Roman" w:cs="Times New Roman"/>
                      <w:color w:val="auto"/>
                      <w:spacing w:val="9"/>
                      <w:sz w:val="18"/>
                      <w:szCs w:val="18"/>
                      <w:lang w:eastAsia="zh-CN"/>
                    </w:rPr>
                    <w:t>污染物和刺激性气味气体的危险废物应装入</w:t>
                  </w:r>
                  <w:r>
                    <w:rPr>
                      <w:rFonts w:ascii="Times New Roman" w:hAnsi="Times New Roman" w:cs="Times New Roman"/>
                      <w:color w:val="auto"/>
                      <w:spacing w:val="7"/>
                      <w:sz w:val="18"/>
                      <w:szCs w:val="18"/>
                      <w:lang w:eastAsia="zh-CN"/>
                    </w:rPr>
                    <w:t>闭口容器或包装物内贮存</w:t>
                  </w:r>
                  <w:r>
                    <w:rPr>
                      <w:rFonts w:ascii="Times New Roman" w:hAnsi="Times New Roman" w:cs="Times New Roman"/>
                      <w:color w:val="auto"/>
                      <w:spacing w:val="8"/>
                      <w:sz w:val="18"/>
                      <w:szCs w:val="18"/>
                      <w:lang w:eastAsia="zh-CN"/>
                    </w:rPr>
                    <w:t>6、危险废物贮存过程中易产生粉尘等无组织</w:t>
                  </w:r>
                  <w:r>
                    <w:rPr>
                      <w:rFonts w:ascii="Times New Roman" w:hAnsi="Times New Roman" w:cs="Times New Roman"/>
                      <w:color w:val="auto"/>
                      <w:spacing w:val="9"/>
                      <w:sz w:val="18"/>
                      <w:szCs w:val="18"/>
                      <w:lang w:eastAsia="zh-CN"/>
                    </w:rPr>
                    <w:t>排放的，应采取抑尘等有效措施</w:t>
                  </w:r>
                  <w:r>
                    <w:rPr>
                      <w:rFonts w:ascii="Times New Roman" w:hAnsi="Times New Roman" w:cs="Times New Roman"/>
                      <w:color w:val="auto"/>
                      <w:spacing w:val="8"/>
                      <w:sz w:val="18"/>
                      <w:szCs w:val="18"/>
                      <w:lang w:eastAsia="zh-CN"/>
                    </w:rPr>
                    <w:t>7、危险废物存入贮存设施前应对危险废物类</w:t>
                  </w:r>
                  <w:r>
                    <w:rPr>
                      <w:rFonts w:ascii="Times New Roman" w:hAnsi="Times New Roman" w:cs="Times New Roman"/>
                      <w:color w:val="auto"/>
                      <w:spacing w:val="9"/>
                      <w:sz w:val="18"/>
                      <w:szCs w:val="18"/>
                      <w:lang w:eastAsia="zh-CN"/>
                    </w:rPr>
                    <w:t>别和特性与危险废物标签等危险废物识别标</w:t>
                  </w:r>
                  <w:r>
                    <w:rPr>
                      <w:rFonts w:ascii="Times New Roman" w:hAnsi="Times New Roman" w:cs="Times New Roman"/>
                      <w:color w:val="auto"/>
                      <w:spacing w:val="5"/>
                      <w:sz w:val="18"/>
                      <w:szCs w:val="18"/>
                      <w:lang w:eastAsia="zh-CN"/>
                    </w:rPr>
                    <w:t>志的一致性进行核验，不一致的或类别、特性</w:t>
                  </w:r>
                  <w:r>
                    <w:rPr>
                      <w:rFonts w:ascii="Times New Roman" w:hAnsi="Times New Roman" w:cs="Times New Roman"/>
                      <w:color w:val="auto"/>
                      <w:spacing w:val="8"/>
                      <w:sz w:val="18"/>
                      <w:szCs w:val="18"/>
                      <w:lang w:eastAsia="zh-CN"/>
                    </w:rPr>
                    <w:t>不明的不应存入</w:t>
                  </w:r>
                  <w:r>
                    <w:rPr>
                      <w:rFonts w:ascii="Times New Roman" w:hAnsi="Times New Roman" w:cs="Times New Roman"/>
                      <w:color w:val="auto"/>
                      <w:spacing w:val="7"/>
                      <w:sz w:val="18"/>
                      <w:szCs w:val="18"/>
                      <w:lang w:eastAsia="zh-CN"/>
                    </w:rPr>
                    <w:t>8、应定期检查危险废物的贮存状况，及时清</w:t>
                  </w:r>
                  <w:r>
                    <w:rPr>
                      <w:rFonts w:ascii="Times New Roman" w:hAnsi="Times New Roman" w:cs="Times New Roman"/>
                      <w:color w:val="auto"/>
                      <w:spacing w:val="5"/>
                      <w:sz w:val="18"/>
                      <w:szCs w:val="18"/>
                      <w:lang w:eastAsia="zh-CN"/>
                    </w:rPr>
                    <w:t>理贮存设施地面，更换破损泄漏的危险废物贮</w:t>
                  </w:r>
                  <w:r>
                    <w:rPr>
                      <w:rFonts w:ascii="Times New Roman" w:hAnsi="Times New Roman" w:cs="Times New Roman"/>
                      <w:color w:val="auto"/>
                      <w:spacing w:val="9"/>
                      <w:sz w:val="18"/>
                      <w:szCs w:val="18"/>
                      <w:lang w:eastAsia="zh-CN"/>
                    </w:rPr>
                    <w:t>存容器和包装物，保证堆存危险废物的防雨、</w:t>
                  </w:r>
                  <w:r>
                    <w:rPr>
                      <w:rFonts w:ascii="Times New Roman" w:hAnsi="Times New Roman" w:cs="Times New Roman"/>
                      <w:color w:val="auto"/>
                      <w:spacing w:val="7"/>
                      <w:sz w:val="18"/>
                      <w:szCs w:val="18"/>
                      <w:lang w:eastAsia="zh-CN"/>
                    </w:rPr>
                    <w:t>防风、防扬尘等设施功能完好。</w:t>
                  </w:r>
                  <w:r>
                    <w:rPr>
                      <w:rFonts w:ascii="Times New Roman" w:hAnsi="Times New Roman" w:cs="Times New Roman"/>
                      <w:color w:val="auto"/>
                      <w:spacing w:val="8"/>
                      <w:sz w:val="18"/>
                      <w:szCs w:val="18"/>
                      <w:lang w:eastAsia="zh-CN"/>
                    </w:rPr>
                    <w:t>9、作业设备及车辆等结束作业离开贮存设施</w:t>
                  </w:r>
                  <w:r>
                    <w:rPr>
                      <w:rFonts w:ascii="Times New Roman" w:hAnsi="Times New Roman" w:cs="Times New Roman"/>
                      <w:color w:val="auto"/>
                      <w:spacing w:val="5"/>
                      <w:sz w:val="18"/>
                      <w:szCs w:val="18"/>
                      <w:lang w:eastAsia="zh-CN"/>
                    </w:rPr>
                    <w:t>时，应对其残留的危险废物进行清理，清理的</w:t>
                  </w:r>
                  <w:r>
                    <w:rPr>
                      <w:rFonts w:ascii="Times New Roman" w:hAnsi="Times New Roman" w:cs="Times New Roman"/>
                      <w:color w:val="auto"/>
                      <w:spacing w:val="9"/>
                      <w:sz w:val="18"/>
                      <w:szCs w:val="18"/>
                      <w:lang w:eastAsia="zh-CN"/>
                    </w:rPr>
                    <w:t>废物或清洗废水应收集处理</w:t>
                  </w:r>
                  <w:r>
                    <w:rPr>
                      <w:rFonts w:ascii="Times New Roman" w:hAnsi="Times New Roman" w:cs="Times New Roman"/>
                      <w:color w:val="auto"/>
                      <w:spacing w:val="5"/>
                      <w:sz w:val="18"/>
                      <w:szCs w:val="18"/>
                      <w:lang w:eastAsia="zh-CN"/>
                    </w:rPr>
                    <w:t>10、贮存设施运行期间，应按国家有关标准和</w:t>
                  </w:r>
                  <w:r>
                    <w:rPr>
                      <w:rFonts w:ascii="Times New Roman" w:hAnsi="Times New Roman" w:cs="Times New Roman"/>
                      <w:color w:val="auto"/>
                      <w:spacing w:val="9"/>
                      <w:sz w:val="18"/>
                      <w:szCs w:val="18"/>
                      <w:lang w:eastAsia="zh-CN"/>
                    </w:rPr>
                    <w:t>规定建立危险废物管理台账并保存</w:t>
                  </w:r>
                  <w:r>
                    <w:rPr>
                      <w:rFonts w:ascii="Times New Roman" w:hAnsi="Times New Roman" w:cs="Times New Roman"/>
                      <w:color w:val="auto"/>
                      <w:spacing w:val="5"/>
                      <w:sz w:val="18"/>
                      <w:szCs w:val="18"/>
                      <w:lang w:eastAsia="zh-CN"/>
                    </w:rPr>
                    <w:t>11、贮存设施所有者或运营者应建立贮存设施</w:t>
                  </w:r>
                  <w:r>
                    <w:rPr>
                      <w:rFonts w:ascii="Times New Roman" w:hAnsi="Times New Roman" w:cs="Times New Roman"/>
                      <w:color w:val="auto"/>
                      <w:spacing w:val="6"/>
                      <w:sz w:val="18"/>
                      <w:szCs w:val="18"/>
                      <w:lang w:eastAsia="zh-CN"/>
                    </w:rPr>
                    <w:t>环境管理制度、管理人员岗位职责制度、设施</w:t>
                  </w:r>
                  <w:r>
                    <w:rPr>
                      <w:rFonts w:ascii="Times New Roman" w:hAnsi="Times New Roman" w:cs="Times New Roman"/>
                      <w:color w:val="auto"/>
                      <w:spacing w:val="9"/>
                      <w:sz w:val="18"/>
                      <w:szCs w:val="18"/>
                      <w:lang w:eastAsia="zh-CN"/>
                    </w:rPr>
                    <w:t>运行操作制度、人员岗位培训制度等</w:t>
                  </w:r>
                  <w:r>
                    <w:rPr>
                      <w:rFonts w:ascii="Times New Roman" w:hAnsi="Times New Roman" w:cs="Times New Roman"/>
                      <w:color w:val="auto"/>
                      <w:spacing w:val="5"/>
                      <w:sz w:val="18"/>
                      <w:szCs w:val="18"/>
                      <w:lang w:eastAsia="zh-CN"/>
                    </w:rPr>
                    <w:t>11、贮存设施所有者或运营者应依据国家土壤</w:t>
                  </w:r>
                  <w:r>
                    <w:rPr>
                      <w:rFonts w:ascii="Times New Roman" w:hAnsi="Times New Roman" w:cs="Times New Roman"/>
                      <w:color w:val="auto"/>
                      <w:spacing w:val="6"/>
                      <w:sz w:val="18"/>
                      <w:szCs w:val="18"/>
                      <w:lang w:eastAsia="zh-CN"/>
                    </w:rPr>
                    <w:t>和地下水污染防治的有关规定，结合贮存设施特点建立土壤和地下水污染隐患排查制度，并</w:t>
                  </w:r>
                  <w:r>
                    <w:rPr>
                      <w:rFonts w:ascii="Times New Roman" w:hAnsi="Times New Roman" w:cs="Times New Roman"/>
                      <w:color w:val="auto"/>
                      <w:spacing w:val="5"/>
                      <w:sz w:val="18"/>
                      <w:szCs w:val="18"/>
                      <w:lang w:eastAsia="zh-CN"/>
                    </w:rPr>
                    <w:t>定期开展隐患排查；发现隐患应及时采取措施</w:t>
                  </w:r>
                  <w:r>
                    <w:rPr>
                      <w:rFonts w:ascii="Times New Roman" w:hAnsi="Times New Roman" w:cs="Times New Roman"/>
                      <w:color w:val="auto"/>
                      <w:spacing w:val="8"/>
                      <w:sz w:val="18"/>
                      <w:szCs w:val="18"/>
                      <w:lang w:eastAsia="zh-CN"/>
                    </w:rPr>
                    <w:t>消除隐患，并建立档案</w:t>
                  </w:r>
                  <w:r>
                    <w:rPr>
                      <w:rFonts w:ascii="Times New Roman" w:hAnsi="Times New Roman" w:cs="Times New Roman"/>
                      <w:color w:val="auto"/>
                      <w:spacing w:val="5"/>
                      <w:sz w:val="18"/>
                      <w:szCs w:val="18"/>
                      <w:lang w:eastAsia="zh-CN"/>
                    </w:rPr>
                    <w:t>12、贮存设施所有者或运营者应建立贮存设施</w:t>
                  </w:r>
                  <w:r>
                    <w:rPr>
                      <w:rFonts w:ascii="Times New Roman" w:hAnsi="Times New Roman" w:cs="Times New Roman"/>
                      <w:color w:val="auto"/>
                      <w:spacing w:val="6"/>
                      <w:sz w:val="18"/>
                      <w:szCs w:val="18"/>
                      <w:lang w:eastAsia="zh-CN"/>
                    </w:rPr>
                    <w:t>全部档案，包括设计、施工、验收、运行、监测和环境应急等，应按国家有关档案管理的法</w:t>
                  </w:r>
                  <w:r>
                    <w:rPr>
                      <w:rFonts w:ascii="Times New Roman" w:hAnsi="Times New Roman" w:cs="Times New Roman"/>
                      <w:color w:val="auto"/>
                      <w:spacing w:val="8"/>
                      <w:sz w:val="18"/>
                      <w:szCs w:val="18"/>
                      <w:lang w:eastAsia="zh-CN"/>
                    </w:rPr>
                    <w:t>律法规进行整理和归档</w:t>
                  </w:r>
                </w:p>
              </w:tc>
              <w:tc>
                <w:tcPr>
                  <w:tcW w:w="936" w:type="pct"/>
                  <w:tcBorders>
                    <w:tl2br w:val="nil"/>
                    <w:tr2bl w:val="nil"/>
                  </w:tcBorders>
                  <w:vAlign w:val="center"/>
                </w:tcPr>
                <w:p w14:paraId="78E78961">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8"/>
                      <w:sz w:val="18"/>
                      <w:szCs w:val="18"/>
                      <w:lang w:eastAsia="zh-CN"/>
                    </w:rPr>
                    <w:t>液体、半固型废物均</w:t>
                  </w:r>
                  <w:r>
                    <w:rPr>
                      <w:rFonts w:ascii="Times New Roman" w:hAnsi="Times New Roman" w:cs="Times New Roman"/>
                      <w:color w:val="auto"/>
                      <w:spacing w:val="9"/>
                      <w:sz w:val="18"/>
                      <w:szCs w:val="18"/>
                      <w:lang w:eastAsia="zh-CN"/>
                    </w:rPr>
                    <w:t>采用桶装密封，底部</w:t>
                  </w:r>
                  <w:r>
                    <w:rPr>
                      <w:rFonts w:ascii="Times New Roman" w:hAnsi="Times New Roman" w:cs="Times New Roman"/>
                      <w:color w:val="auto"/>
                      <w:spacing w:val="8"/>
                      <w:sz w:val="18"/>
                      <w:szCs w:val="18"/>
                      <w:lang w:eastAsia="zh-CN"/>
                    </w:rPr>
                    <w:t>设置托盘，固体废物采用袋装存放</w:t>
                  </w:r>
                  <w:r>
                    <w:rPr>
                      <w:rFonts w:ascii="Times New Roman" w:hAnsi="Times New Roman" w:cs="Times New Roman"/>
                      <w:color w:val="auto"/>
                      <w:spacing w:val="7"/>
                      <w:sz w:val="18"/>
                      <w:szCs w:val="18"/>
                      <w:lang w:eastAsia="zh-CN"/>
                    </w:rPr>
                    <w:t>。</w:t>
                  </w:r>
                  <w:r>
                    <w:rPr>
                      <w:rFonts w:ascii="Times New Roman" w:hAnsi="Times New Roman" w:cs="Times New Roman"/>
                      <w:color w:val="auto"/>
                      <w:spacing w:val="6"/>
                      <w:sz w:val="18"/>
                      <w:szCs w:val="18"/>
                      <w:lang w:eastAsia="zh-CN"/>
                    </w:rPr>
                    <w:t>已建成危废库运行环</w:t>
                  </w:r>
                  <w:r>
                    <w:rPr>
                      <w:rFonts w:ascii="Times New Roman" w:hAnsi="Times New Roman" w:cs="Times New Roman"/>
                      <w:color w:val="auto"/>
                      <w:spacing w:val="8"/>
                      <w:sz w:val="18"/>
                      <w:szCs w:val="18"/>
                      <w:lang w:eastAsia="zh-CN"/>
                    </w:rPr>
                    <w:t>境管理计划，已建立</w:t>
                  </w:r>
                  <w:r>
                    <w:rPr>
                      <w:rFonts w:ascii="Times New Roman" w:hAnsi="Times New Roman" w:cs="Times New Roman"/>
                      <w:color w:val="auto"/>
                      <w:spacing w:val="6"/>
                      <w:sz w:val="18"/>
                      <w:szCs w:val="18"/>
                      <w:lang w:eastAsia="zh-CN"/>
                    </w:rPr>
                    <w:t>危废管理台账。</w:t>
                  </w:r>
                  <w:r>
                    <w:rPr>
                      <w:rFonts w:ascii="Times New Roman" w:hAnsi="Times New Roman" w:cs="Times New Roman"/>
                      <w:color w:val="auto"/>
                      <w:spacing w:val="8"/>
                      <w:sz w:val="18"/>
                      <w:szCs w:val="18"/>
                      <w:lang w:eastAsia="zh-CN"/>
                    </w:rPr>
                    <w:t>危废仓库设置专员管理，定期排查隐患</w:t>
                  </w:r>
                </w:p>
              </w:tc>
              <w:tc>
                <w:tcPr>
                  <w:tcW w:w="323" w:type="pct"/>
                  <w:tcBorders>
                    <w:tl2br w:val="nil"/>
                    <w:tr2bl w:val="nil"/>
                  </w:tcBorders>
                  <w:vAlign w:val="center"/>
                </w:tcPr>
                <w:p w14:paraId="7209933D">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pacing w:val="8"/>
                      <w:sz w:val="18"/>
                      <w:szCs w:val="18"/>
                      <w:lang w:eastAsia="zh-CN"/>
                    </w:rPr>
                  </w:pPr>
                  <w:r>
                    <w:rPr>
                      <w:rFonts w:hint="eastAsia" w:ascii="Times New Roman" w:hAnsi="Times New Roman" w:cs="Times New Roman"/>
                      <w:color w:val="auto"/>
                      <w:spacing w:val="8"/>
                      <w:sz w:val="18"/>
                      <w:szCs w:val="18"/>
                      <w:lang w:eastAsia="zh-CN"/>
                    </w:rPr>
                    <w:t>相符</w:t>
                  </w:r>
                </w:p>
              </w:tc>
            </w:tr>
            <w:tr w14:paraId="16A6CE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07" w:type="pct"/>
                  <w:vMerge w:val="continue"/>
                  <w:tcBorders>
                    <w:tl2br w:val="nil"/>
                    <w:tr2bl w:val="nil"/>
                  </w:tcBorders>
                  <w:vAlign w:val="center"/>
                </w:tcPr>
                <w:p w14:paraId="16480C44">
                  <w:pPr>
                    <w:widowControl/>
                    <w:kinsoku w:val="0"/>
                    <w:autoSpaceDE w:val="0"/>
                    <w:autoSpaceDN w:val="0"/>
                    <w:spacing w:line="240" w:lineRule="auto"/>
                    <w:ind w:firstLine="0" w:firstLineChars="0"/>
                    <w:jc w:val="center"/>
                    <w:textAlignment w:val="baseline"/>
                    <w:rPr>
                      <w:rFonts w:cs="Times New Roman"/>
                      <w:color w:val="auto"/>
                      <w:sz w:val="18"/>
                      <w:szCs w:val="18"/>
                      <w:lang w:eastAsia="en-US"/>
                    </w:rPr>
                  </w:pPr>
                </w:p>
              </w:tc>
              <w:tc>
                <w:tcPr>
                  <w:tcW w:w="294" w:type="pct"/>
                  <w:tcBorders>
                    <w:tl2br w:val="nil"/>
                    <w:tr2bl w:val="nil"/>
                  </w:tcBorders>
                  <w:vAlign w:val="center"/>
                </w:tcPr>
                <w:p w14:paraId="282EF12E">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rPr>
                  </w:pPr>
                  <w:r>
                    <w:rPr>
                      <w:rFonts w:ascii="Times New Roman" w:hAnsi="Times New Roman" w:cs="Times New Roman"/>
                      <w:color w:val="auto"/>
                      <w:spacing w:val="4"/>
                      <w:sz w:val="18"/>
                      <w:szCs w:val="18"/>
                    </w:rPr>
                    <w:t>环境应急要求</w:t>
                  </w:r>
                </w:p>
              </w:tc>
              <w:tc>
                <w:tcPr>
                  <w:tcW w:w="3037" w:type="pct"/>
                  <w:tcBorders>
                    <w:tl2br w:val="nil"/>
                    <w:tr2bl w:val="nil"/>
                  </w:tcBorders>
                  <w:vAlign w:val="center"/>
                </w:tcPr>
                <w:p w14:paraId="5D9FFB2F">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7"/>
                      <w:sz w:val="18"/>
                      <w:szCs w:val="18"/>
                      <w:lang w:eastAsia="zh-CN"/>
                    </w:rPr>
                    <w:t>1、贮存设施所有者或运营者应按照国家有关</w:t>
                  </w:r>
                  <w:r>
                    <w:rPr>
                      <w:rFonts w:ascii="Times New Roman" w:hAnsi="Times New Roman" w:cs="Times New Roman"/>
                      <w:color w:val="auto"/>
                      <w:spacing w:val="6"/>
                      <w:sz w:val="18"/>
                      <w:szCs w:val="18"/>
                      <w:lang w:eastAsia="zh-CN"/>
                    </w:rPr>
                    <w:t>规定编制突发环境事件应急预案，定期开展必要的培训和环境应急演练，并做好培训、演练</w:t>
                  </w:r>
                  <w:r>
                    <w:rPr>
                      <w:rFonts w:ascii="Times New Roman" w:hAnsi="Times New Roman" w:cs="Times New Roman"/>
                      <w:color w:val="auto"/>
                      <w:spacing w:val="5"/>
                      <w:sz w:val="18"/>
                      <w:szCs w:val="18"/>
                      <w:lang w:eastAsia="zh-CN"/>
                    </w:rPr>
                    <w:t>记录</w:t>
                  </w:r>
                  <w:r>
                    <w:rPr>
                      <w:rFonts w:ascii="Times New Roman" w:hAnsi="Times New Roman" w:cs="Times New Roman"/>
                      <w:color w:val="auto"/>
                      <w:spacing w:val="8"/>
                      <w:sz w:val="18"/>
                      <w:szCs w:val="18"/>
                      <w:lang w:eastAsia="zh-CN"/>
                    </w:rPr>
                    <w:t>2、贮存设施所有者或运营者应配备满足其突</w:t>
                  </w:r>
                  <w:r>
                    <w:rPr>
                      <w:rFonts w:ascii="Times New Roman" w:hAnsi="Times New Roman" w:cs="Times New Roman"/>
                      <w:color w:val="auto"/>
                      <w:spacing w:val="9"/>
                      <w:sz w:val="18"/>
                      <w:szCs w:val="18"/>
                      <w:lang w:eastAsia="zh-CN"/>
                    </w:rPr>
                    <w:t>发环境事件应急要求的应急人员、装备和物</w:t>
                  </w:r>
                  <w:r>
                    <w:rPr>
                      <w:rFonts w:ascii="Times New Roman" w:hAnsi="Times New Roman" w:cs="Times New Roman"/>
                      <w:color w:val="auto"/>
                      <w:spacing w:val="8"/>
                      <w:sz w:val="18"/>
                      <w:szCs w:val="18"/>
                      <w:lang w:eastAsia="zh-CN"/>
                    </w:rPr>
                    <w:t>资，并应设置应急照明系统3、相关部门发布自然灾害或恶劣天气预警</w:t>
                  </w:r>
                  <w:r>
                    <w:rPr>
                      <w:rFonts w:ascii="Times New Roman" w:hAnsi="Times New Roman" w:cs="Times New Roman"/>
                      <w:color w:val="auto"/>
                      <w:spacing w:val="6"/>
                      <w:sz w:val="18"/>
                      <w:szCs w:val="18"/>
                      <w:lang w:eastAsia="zh-CN"/>
                    </w:rPr>
                    <w:t>后，贮存设施所有者或运营者应启动相应防控措施，若有必要可将危险废物转移至其他具有</w:t>
                  </w:r>
                  <w:r>
                    <w:rPr>
                      <w:rFonts w:ascii="Times New Roman" w:hAnsi="Times New Roman" w:cs="Times New Roman"/>
                      <w:color w:val="auto"/>
                      <w:spacing w:val="7"/>
                      <w:sz w:val="18"/>
                      <w:szCs w:val="18"/>
                      <w:lang w:eastAsia="zh-CN"/>
                    </w:rPr>
                    <w:t>防护条件的地点贮存</w:t>
                  </w:r>
                </w:p>
              </w:tc>
              <w:tc>
                <w:tcPr>
                  <w:tcW w:w="936" w:type="pct"/>
                  <w:tcBorders>
                    <w:tl2br w:val="nil"/>
                    <w:tr2bl w:val="nil"/>
                  </w:tcBorders>
                  <w:vAlign w:val="center"/>
                </w:tcPr>
                <w:p w14:paraId="11C12A07">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z w:val="18"/>
                      <w:szCs w:val="18"/>
                      <w:lang w:eastAsia="zh-CN"/>
                    </w:rPr>
                  </w:pPr>
                  <w:r>
                    <w:rPr>
                      <w:rFonts w:ascii="Times New Roman" w:hAnsi="Times New Roman" w:cs="Times New Roman"/>
                      <w:color w:val="auto"/>
                      <w:spacing w:val="8"/>
                      <w:sz w:val="18"/>
                      <w:szCs w:val="18"/>
                      <w:lang w:eastAsia="zh-CN"/>
                    </w:rPr>
                    <w:t>现有项目应急预案</w:t>
                  </w:r>
                  <w:r>
                    <w:rPr>
                      <w:rFonts w:hint="eastAsia" w:ascii="Times New Roman" w:hAnsi="Times New Roman" w:cs="Times New Roman"/>
                      <w:color w:val="auto"/>
                      <w:spacing w:val="8"/>
                      <w:sz w:val="18"/>
                      <w:szCs w:val="18"/>
                      <w:lang w:eastAsia="zh-CN"/>
                    </w:rPr>
                    <w:t>未</w:t>
                  </w:r>
                  <w:r>
                    <w:rPr>
                      <w:rFonts w:ascii="Times New Roman" w:hAnsi="Times New Roman" w:cs="Times New Roman"/>
                      <w:color w:val="auto"/>
                      <w:spacing w:val="8"/>
                      <w:sz w:val="18"/>
                      <w:szCs w:val="18"/>
                      <w:lang w:eastAsia="zh-CN"/>
                    </w:rPr>
                    <w:t>备案，已开展应急培训和应急演练，厂区内配备应急物资、装备</w:t>
                  </w:r>
                  <w:r>
                    <w:rPr>
                      <w:rFonts w:ascii="Times New Roman" w:hAnsi="Times New Roman" w:cs="Times New Roman"/>
                      <w:color w:val="auto"/>
                      <w:spacing w:val="7"/>
                      <w:sz w:val="18"/>
                      <w:szCs w:val="18"/>
                      <w:lang w:eastAsia="zh-CN"/>
                    </w:rPr>
                    <w:t>和管理人员</w:t>
                  </w:r>
                </w:p>
              </w:tc>
              <w:tc>
                <w:tcPr>
                  <w:tcW w:w="323" w:type="pct"/>
                  <w:tcBorders>
                    <w:tl2br w:val="nil"/>
                    <w:tr2bl w:val="nil"/>
                  </w:tcBorders>
                  <w:vAlign w:val="center"/>
                </w:tcPr>
                <w:p w14:paraId="6E7026D5">
                  <w:pPr>
                    <w:pStyle w:val="167"/>
                    <w:widowControl/>
                    <w:kinsoku w:val="0"/>
                    <w:autoSpaceDE w:val="0"/>
                    <w:autoSpaceDN w:val="0"/>
                    <w:spacing w:line="240" w:lineRule="auto"/>
                    <w:ind w:firstLine="0" w:firstLineChars="0"/>
                    <w:jc w:val="center"/>
                    <w:textAlignment w:val="baseline"/>
                    <w:rPr>
                      <w:rFonts w:ascii="Times New Roman" w:hAnsi="Times New Roman" w:cs="Times New Roman"/>
                      <w:color w:val="auto"/>
                      <w:spacing w:val="8"/>
                      <w:sz w:val="18"/>
                      <w:szCs w:val="18"/>
                      <w:lang w:eastAsia="zh-CN"/>
                    </w:rPr>
                  </w:pPr>
                  <w:r>
                    <w:rPr>
                      <w:rFonts w:hint="eastAsia" w:ascii="Times New Roman" w:hAnsi="Times New Roman" w:cs="Times New Roman"/>
                      <w:color w:val="auto"/>
                      <w:spacing w:val="8"/>
                      <w:sz w:val="18"/>
                      <w:szCs w:val="18"/>
                      <w:lang w:eastAsia="zh-CN"/>
                    </w:rPr>
                    <w:t>不相符，应尽快进行</w:t>
                  </w:r>
                  <w:r>
                    <w:rPr>
                      <w:rFonts w:ascii="Times New Roman" w:hAnsi="Times New Roman" w:cs="Times New Roman"/>
                      <w:color w:val="auto"/>
                      <w:spacing w:val="8"/>
                      <w:sz w:val="18"/>
                      <w:szCs w:val="18"/>
                      <w:lang w:eastAsia="zh-CN"/>
                    </w:rPr>
                    <w:t>应急预案备案</w:t>
                  </w:r>
                </w:p>
              </w:tc>
            </w:tr>
          </w:tbl>
          <w:p w14:paraId="0EA13BA5">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color w:val="auto"/>
                <w:sz w:val="21"/>
                <w:szCs w:val="21"/>
              </w:rPr>
            </w:pPr>
            <w:r>
              <w:rPr>
                <w:rFonts w:hint="eastAsia"/>
                <w:color w:val="auto"/>
                <w:sz w:val="21"/>
                <w:szCs w:val="21"/>
              </w:rPr>
              <w:t>⑤现有项目风险防范措施</w:t>
            </w:r>
          </w:p>
          <w:p w14:paraId="694C03FA">
            <w:pPr>
              <w:keepNext w:val="0"/>
              <w:keepLines w:val="0"/>
              <w:pageBreakBefore w:val="0"/>
              <w:widowControl w:val="0"/>
              <w:kinsoku/>
              <w:wordWrap/>
              <w:overflowPunct/>
              <w:topLinePunct w:val="0"/>
              <w:autoSpaceDE/>
              <w:autoSpaceDN/>
              <w:bidi w:val="0"/>
              <w:adjustRightInd w:val="0"/>
              <w:snapToGrid w:val="0"/>
              <w:spacing w:line="360" w:lineRule="auto"/>
              <w:ind w:left="0" w:right="0" w:firstLine="487"/>
              <w:textAlignment w:val="auto"/>
              <w:rPr>
                <w:rFonts w:ascii="宋体" w:hAnsi="宋体" w:eastAsia="宋体" w:cs="宋体"/>
                <w:color w:val="auto"/>
                <w:sz w:val="21"/>
                <w:szCs w:val="21"/>
              </w:rPr>
            </w:pPr>
            <w:r>
              <w:rPr>
                <w:rFonts w:ascii="宋体" w:hAnsi="宋体" w:eastAsia="宋体" w:cs="宋体"/>
                <w:color w:val="auto"/>
                <w:spacing w:val="-1"/>
                <w:sz w:val="21"/>
                <w:szCs w:val="21"/>
              </w:rPr>
              <w:t>公司已根据环评批复设置</w:t>
            </w:r>
            <w:r>
              <w:rPr>
                <w:rFonts w:ascii="宋体" w:hAnsi="宋体" w:eastAsia="宋体" w:cs="宋体"/>
                <w:color w:val="auto"/>
                <w:spacing w:val="-50"/>
                <w:sz w:val="21"/>
                <w:szCs w:val="21"/>
              </w:rPr>
              <w:t xml:space="preserve"> </w:t>
            </w:r>
            <w:r>
              <w:rPr>
                <w:rFonts w:ascii="Times New Roman" w:hAnsi="Times New Roman" w:eastAsia="Times New Roman" w:cs="Times New Roman"/>
                <w:color w:val="auto"/>
                <w:spacing w:val="-1"/>
                <w:sz w:val="21"/>
                <w:szCs w:val="21"/>
              </w:rPr>
              <w:t>310m</w:t>
            </w:r>
            <w:r>
              <w:rPr>
                <w:rFonts w:ascii="宋体" w:hAnsi="宋体" w:eastAsia="宋体" w:cs="宋体"/>
                <w:color w:val="auto"/>
                <w:spacing w:val="-1"/>
                <w:sz w:val="21"/>
                <w:szCs w:val="21"/>
              </w:rPr>
              <w:t>³事故池</w:t>
            </w:r>
            <w:r>
              <w:rPr>
                <w:rFonts w:ascii="宋体" w:hAnsi="宋体" w:eastAsia="宋体" w:cs="宋体"/>
                <w:color w:val="auto"/>
                <w:spacing w:val="-2"/>
                <w:sz w:val="21"/>
                <w:szCs w:val="21"/>
              </w:rPr>
              <w:t>，并编制了《纳琳科新材料（南通）</w:t>
            </w:r>
            <w:r>
              <w:rPr>
                <w:rFonts w:ascii="宋体" w:hAnsi="宋体" w:eastAsia="宋体" w:cs="宋体"/>
                <w:color w:val="auto"/>
                <w:spacing w:val="4"/>
                <w:sz w:val="21"/>
                <w:szCs w:val="21"/>
              </w:rPr>
              <w:t>有限公司突发环境事件应急预案》，制定了安全、环保处理规范。公司</w:t>
            </w:r>
            <w:r>
              <w:rPr>
                <w:rFonts w:ascii="宋体" w:hAnsi="宋体" w:eastAsia="宋体" w:cs="宋体"/>
                <w:color w:val="auto"/>
                <w:spacing w:val="3"/>
                <w:sz w:val="21"/>
                <w:szCs w:val="21"/>
              </w:rPr>
              <w:t>定期对</w:t>
            </w:r>
            <w:r>
              <w:rPr>
                <w:rFonts w:ascii="宋体" w:hAnsi="宋体" w:eastAsia="宋体" w:cs="宋体"/>
                <w:color w:val="auto"/>
                <w:spacing w:val="4"/>
                <w:sz w:val="21"/>
                <w:szCs w:val="21"/>
              </w:rPr>
              <w:t>各车间进行消防、环保的演练。同时，厂区内设置了专门的安全环保机构和专</w:t>
            </w:r>
            <w:r>
              <w:rPr>
                <w:rFonts w:ascii="宋体" w:hAnsi="宋体" w:eastAsia="宋体" w:cs="宋体"/>
                <w:color w:val="auto"/>
                <w:spacing w:val="5"/>
                <w:sz w:val="21"/>
                <w:szCs w:val="21"/>
              </w:rPr>
              <w:t>门负责人员，安全环保机构配置了必要的仪器设备，负责全</w:t>
            </w:r>
            <w:r>
              <w:rPr>
                <w:rFonts w:ascii="宋体" w:hAnsi="宋体" w:eastAsia="宋体" w:cs="宋体"/>
                <w:color w:val="auto"/>
                <w:spacing w:val="4"/>
                <w:sz w:val="21"/>
                <w:szCs w:val="21"/>
              </w:rPr>
              <w:t>公司的环境管理、</w:t>
            </w:r>
            <w:r>
              <w:rPr>
                <w:rFonts w:ascii="宋体" w:hAnsi="宋体" w:eastAsia="宋体" w:cs="宋体"/>
                <w:color w:val="auto"/>
                <w:spacing w:val="5"/>
                <w:sz w:val="21"/>
                <w:szCs w:val="21"/>
              </w:rPr>
              <w:t>环境监测和事故应急处理等工作。根据国家环境管理要求和公司</w:t>
            </w:r>
            <w:r>
              <w:rPr>
                <w:rFonts w:ascii="宋体" w:hAnsi="宋体" w:eastAsia="宋体" w:cs="宋体"/>
                <w:color w:val="auto"/>
                <w:spacing w:val="4"/>
                <w:sz w:val="21"/>
                <w:szCs w:val="21"/>
              </w:rPr>
              <w:t>的实际情况，制定了各项安全生产管理制度、严格的生产操作规则和完善的事故应急计划及</w:t>
            </w:r>
            <w:r>
              <w:rPr>
                <w:rFonts w:ascii="宋体" w:hAnsi="宋体" w:eastAsia="宋体" w:cs="宋体"/>
                <w:color w:val="auto"/>
                <w:spacing w:val="-1"/>
                <w:sz w:val="21"/>
                <w:szCs w:val="21"/>
              </w:rPr>
              <w:t>相应的应急处理手段和设施。</w:t>
            </w:r>
          </w:p>
          <w:p w14:paraId="468F6C68">
            <w:pPr>
              <w:keepNext w:val="0"/>
              <w:keepLines w:val="0"/>
              <w:pageBreakBefore w:val="0"/>
              <w:widowControl w:val="0"/>
              <w:kinsoku/>
              <w:wordWrap/>
              <w:overflowPunct/>
              <w:topLinePunct w:val="0"/>
              <w:autoSpaceDE/>
              <w:autoSpaceDN/>
              <w:bidi w:val="0"/>
              <w:adjustRightInd w:val="0"/>
              <w:snapToGrid w:val="0"/>
              <w:spacing w:line="360" w:lineRule="auto"/>
              <w:ind w:left="123" w:right="112" w:firstLine="480"/>
              <w:jc w:val="both"/>
              <w:textAlignment w:val="auto"/>
              <w:rPr>
                <w:rFonts w:ascii="宋体" w:hAnsi="宋体" w:eastAsia="宋体" w:cs="宋体"/>
                <w:color w:val="auto"/>
                <w:sz w:val="21"/>
                <w:szCs w:val="21"/>
              </w:rPr>
            </w:pPr>
            <w:r>
              <w:rPr>
                <w:rFonts w:ascii="宋体" w:hAnsi="宋体" w:eastAsia="宋体" w:cs="宋体"/>
                <w:color w:val="auto"/>
                <w:spacing w:val="4"/>
                <w:sz w:val="21"/>
                <w:szCs w:val="21"/>
              </w:rPr>
              <w:t>车间地面、特别是原辅材料堆放处和固废堆场等可能存化学品进入土壤污染土壤和地下水的地方已进行防渗地坪；污水处理站已进行防渗和防腐工</w:t>
            </w:r>
            <w:r>
              <w:rPr>
                <w:rFonts w:ascii="宋体" w:hAnsi="宋体" w:eastAsia="宋体" w:cs="宋体"/>
                <w:color w:val="auto"/>
                <w:spacing w:val="3"/>
                <w:sz w:val="21"/>
                <w:szCs w:val="21"/>
              </w:rPr>
              <w:t>作，</w:t>
            </w:r>
            <w:r>
              <w:rPr>
                <w:rFonts w:ascii="宋体" w:hAnsi="宋体" w:eastAsia="宋体" w:cs="宋体"/>
                <w:color w:val="auto"/>
                <w:spacing w:val="4"/>
                <w:sz w:val="21"/>
                <w:szCs w:val="21"/>
              </w:rPr>
              <w:t>防止废水渗入土壤污染土壤和地下水，并定期检查，确保不发生废水泄漏</w:t>
            </w:r>
            <w:r>
              <w:rPr>
                <w:rFonts w:ascii="宋体" w:hAnsi="宋体" w:eastAsia="宋体" w:cs="宋体"/>
                <w:color w:val="auto"/>
                <w:spacing w:val="3"/>
                <w:sz w:val="21"/>
                <w:szCs w:val="21"/>
              </w:rPr>
              <w:t>污染</w:t>
            </w:r>
            <w:r>
              <w:rPr>
                <w:rFonts w:ascii="宋体" w:hAnsi="宋体" w:eastAsia="宋体" w:cs="宋体"/>
                <w:color w:val="auto"/>
                <w:spacing w:val="-2"/>
                <w:sz w:val="21"/>
                <w:szCs w:val="21"/>
              </w:rPr>
              <w:t>土壤及地下水的事故。</w:t>
            </w:r>
          </w:p>
          <w:tbl>
            <w:tblPr>
              <w:tblStyle w:val="15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73"/>
              <w:gridCol w:w="4195"/>
            </w:tblGrid>
            <w:tr w14:paraId="26E65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 w:hRule="atLeast"/>
                <w:jc w:val="center"/>
              </w:trPr>
              <w:tc>
                <w:tcPr>
                  <w:tcW w:w="2500" w:type="pct"/>
                  <w:vAlign w:val="center"/>
                </w:tcPr>
                <w:p w14:paraId="48AAFF63">
                  <w:pPr>
                    <w:autoSpaceDE w:val="0"/>
                    <w:autoSpaceDN w:val="0"/>
                    <w:spacing w:before="5" w:line="3480" w:lineRule="exact"/>
                    <w:ind w:firstLine="107"/>
                    <w:rPr>
                      <w:color w:val="auto"/>
                    </w:rPr>
                  </w:pPr>
                  <w:r>
                    <w:rPr>
                      <w:color w:val="auto"/>
                      <w:position w:val="-69"/>
                    </w:rPr>
                    <w:drawing>
                      <wp:inline distT="0" distB="0" distL="0" distR="0">
                        <wp:extent cx="2560320" cy="22098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
                                <a:stretch>
                                  <a:fillRect/>
                                </a:stretch>
                              </pic:blipFill>
                              <pic:spPr>
                                <a:xfrm>
                                  <a:off x="0" y="0"/>
                                  <a:ext cx="2560320" cy="2209800"/>
                                </a:xfrm>
                                <a:prstGeom prst="rect">
                                  <a:avLst/>
                                </a:prstGeom>
                              </pic:spPr>
                            </pic:pic>
                          </a:graphicData>
                        </a:graphic>
                      </wp:inline>
                    </w:drawing>
                  </w:r>
                </w:p>
              </w:tc>
              <w:tc>
                <w:tcPr>
                  <w:tcW w:w="2500" w:type="pct"/>
                  <w:vAlign w:val="center"/>
                </w:tcPr>
                <w:p w14:paraId="4C241935">
                  <w:pPr>
                    <w:autoSpaceDE w:val="0"/>
                    <w:autoSpaceDN w:val="0"/>
                    <w:spacing w:before="5" w:line="3552" w:lineRule="exact"/>
                    <w:ind w:firstLine="104"/>
                    <w:rPr>
                      <w:color w:val="auto"/>
                    </w:rPr>
                  </w:pPr>
                  <w:r>
                    <w:rPr>
                      <w:color w:val="auto"/>
                      <w:position w:val="-71"/>
                    </w:rPr>
                    <w:drawing>
                      <wp:inline distT="0" distB="0" distL="0" distR="0">
                        <wp:extent cx="2561590" cy="2255520"/>
                        <wp:effectExtent l="0" t="0" r="1397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0"/>
                                <a:stretch>
                                  <a:fillRect/>
                                </a:stretch>
                              </pic:blipFill>
                              <pic:spPr>
                                <a:xfrm>
                                  <a:off x="0" y="0"/>
                                  <a:ext cx="2561844" cy="2255520"/>
                                </a:xfrm>
                                <a:prstGeom prst="rect">
                                  <a:avLst/>
                                </a:prstGeom>
                              </pic:spPr>
                            </pic:pic>
                          </a:graphicData>
                        </a:graphic>
                      </wp:inline>
                    </w:drawing>
                  </w:r>
                </w:p>
              </w:tc>
            </w:tr>
            <w:tr w14:paraId="1C2ED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000" w:type="pct"/>
                  <w:gridSpan w:val="2"/>
                  <w:vAlign w:val="center"/>
                </w:tcPr>
                <w:p w14:paraId="47070478">
                  <w:pPr>
                    <w:pStyle w:val="167"/>
                    <w:autoSpaceDE w:val="0"/>
                    <w:autoSpaceDN w:val="0"/>
                    <w:spacing w:before="40" w:line="207" w:lineRule="auto"/>
                    <w:ind w:left="3909"/>
                    <w:rPr>
                      <w:color w:val="auto"/>
                      <w:sz w:val="24"/>
                      <w:szCs w:val="24"/>
                    </w:rPr>
                  </w:pPr>
                  <w:r>
                    <w:rPr>
                      <w:color w:val="auto"/>
                      <w:spacing w:val="-4"/>
                      <w:sz w:val="18"/>
                      <w:szCs w:val="18"/>
                    </w:rPr>
                    <w:t>事故池</w:t>
                  </w:r>
                </w:p>
              </w:tc>
            </w:tr>
          </w:tbl>
          <w:p w14:paraId="71C57C33">
            <w:pPr>
              <w:keepNext w:val="0"/>
              <w:keepLines w:val="0"/>
              <w:pageBreakBefore w:val="0"/>
              <w:widowControl/>
              <w:kinsoku/>
              <w:wordWrap/>
              <w:overflowPunct/>
              <w:topLinePunct w:val="0"/>
              <w:autoSpaceDE/>
              <w:autoSpaceDN/>
              <w:bidi w:val="0"/>
              <w:adjustRightInd w:val="0"/>
              <w:snapToGrid w:val="0"/>
              <w:spacing w:line="240" w:lineRule="auto"/>
              <w:ind w:firstLine="422"/>
              <w:jc w:val="center"/>
              <w:textAlignment w:val="auto"/>
              <w:rPr>
                <w:b/>
                <w:color w:val="auto"/>
              </w:rPr>
            </w:pPr>
            <w:r>
              <w:rPr>
                <w:b/>
                <w:color w:val="auto"/>
              </w:rPr>
              <w:t xml:space="preserve">图 </w:t>
            </w:r>
            <w:r>
              <w:rPr>
                <w:rFonts w:hint="eastAsia"/>
                <w:b/>
                <w:color w:val="auto"/>
                <w:lang w:val="en-US" w:eastAsia="zh-CN"/>
              </w:rPr>
              <w:t>2-3</w:t>
            </w:r>
            <w:r>
              <w:rPr>
                <w:b/>
                <w:color w:val="auto"/>
              </w:rPr>
              <w:t xml:space="preserve"> 事故池现场照片</w:t>
            </w:r>
          </w:p>
          <w:p w14:paraId="6058A478">
            <w:pPr>
              <w:spacing w:line="360" w:lineRule="auto"/>
              <w:ind w:firstLine="420"/>
              <w:rPr>
                <w:color w:val="auto"/>
                <w:szCs w:val="21"/>
              </w:rPr>
            </w:pPr>
            <w:r>
              <w:rPr>
                <w:color w:val="auto"/>
                <w:szCs w:val="21"/>
              </w:rPr>
              <w:t>综上所述，本公司现有项目环境风险措施基本落实到位，环境风险处于可接受的水平。</w:t>
            </w:r>
          </w:p>
          <w:p w14:paraId="6117B305">
            <w:pPr>
              <w:keepNext w:val="0"/>
              <w:keepLines w:val="0"/>
              <w:pageBreakBefore w:val="0"/>
              <w:widowControl w:val="0"/>
              <w:kinsoku/>
              <w:wordWrap/>
              <w:overflowPunct/>
              <w:topLinePunct w:val="0"/>
              <w:autoSpaceDE/>
              <w:autoSpaceDN/>
              <w:bidi w:val="0"/>
              <w:adjustRightInd w:val="0"/>
              <w:snapToGrid w:val="0"/>
              <w:spacing w:line="360" w:lineRule="auto"/>
              <w:ind w:firstLine="422"/>
              <w:textAlignment w:val="auto"/>
              <w:rPr>
                <w:b/>
                <w:bCs/>
                <w:color w:val="auto"/>
              </w:rPr>
            </w:pPr>
            <w:r>
              <w:rPr>
                <w:rFonts w:hint="eastAsia"/>
                <w:b/>
                <w:bCs/>
                <w:color w:val="auto"/>
              </w:rPr>
              <w:t>2、排污许可手续情况</w:t>
            </w:r>
          </w:p>
          <w:p w14:paraId="0D0E2E5E">
            <w:pPr>
              <w:spacing w:line="360" w:lineRule="auto"/>
              <w:ind w:firstLine="420"/>
              <w:rPr>
                <w:rFonts w:hint="eastAsia"/>
                <w:color w:val="auto"/>
                <w:szCs w:val="21"/>
                <w:lang w:val="en-US" w:eastAsia="zh-CN"/>
              </w:rPr>
            </w:pPr>
            <w:r>
              <w:rPr>
                <w:color w:val="auto"/>
                <w:szCs w:val="21"/>
              </w:rPr>
              <w:t>纳琳科新材料（南通）有限公司已于202</w:t>
            </w:r>
            <w:r>
              <w:rPr>
                <w:rFonts w:hint="eastAsia"/>
                <w:color w:val="auto"/>
                <w:szCs w:val="21"/>
              </w:rPr>
              <w:t>4</w:t>
            </w:r>
            <w:r>
              <w:rPr>
                <w:color w:val="auto"/>
                <w:szCs w:val="21"/>
              </w:rPr>
              <w:t>年</w:t>
            </w:r>
            <w:r>
              <w:rPr>
                <w:rFonts w:hint="eastAsia"/>
                <w:color w:val="auto"/>
                <w:szCs w:val="21"/>
                <w:lang w:val="en-US" w:eastAsia="zh-CN"/>
              </w:rPr>
              <w:t>8</w:t>
            </w:r>
            <w:r>
              <w:rPr>
                <w:color w:val="auto"/>
                <w:szCs w:val="21"/>
              </w:rPr>
              <w:t>月</w:t>
            </w:r>
            <w:r>
              <w:rPr>
                <w:rFonts w:hint="eastAsia"/>
                <w:color w:val="auto"/>
                <w:szCs w:val="21"/>
                <w:lang w:val="en-US" w:eastAsia="zh-CN"/>
              </w:rPr>
              <w:t>26</w:t>
            </w:r>
            <w:r>
              <w:rPr>
                <w:color w:val="auto"/>
                <w:szCs w:val="21"/>
              </w:rPr>
              <w:t>日取得</w:t>
            </w:r>
            <w:r>
              <w:rPr>
                <w:rFonts w:hint="eastAsia"/>
                <w:color w:val="auto"/>
                <w:szCs w:val="21"/>
                <w:lang w:val="en-US" w:eastAsia="zh-CN"/>
              </w:rPr>
              <w:t>排污许可证</w:t>
            </w:r>
            <w:r>
              <w:rPr>
                <w:color w:val="auto"/>
                <w:szCs w:val="21"/>
              </w:rPr>
              <w:t>，</w:t>
            </w:r>
            <w:r>
              <w:rPr>
                <w:rFonts w:hint="eastAsia"/>
                <w:color w:val="auto"/>
                <w:szCs w:val="21"/>
                <w:lang w:val="en-US" w:eastAsia="zh-CN"/>
              </w:rPr>
              <w:t>管理类别为简化管理，</w:t>
            </w:r>
            <w:r>
              <w:rPr>
                <w:color w:val="auto"/>
                <w:szCs w:val="21"/>
              </w:rPr>
              <w:t>编号：91320684MA2687156H001U</w:t>
            </w:r>
            <w:r>
              <w:rPr>
                <w:rFonts w:hint="eastAsia"/>
                <w:color w:val="auto"/>
                <w:szCs w:val="21"/>
              </w:rPr>
              <w:t>，有效期2024年</w:t>
            </w:r>
            <w:r>
              <w:rPr>
                <w:rFonts w:hint="eastAsia"/>
                <w:color w:val="auto"/>
                <w:szCs w:val="21"/>
                <w:lang w:val="en-US" w:eastAsia="zh-CN"/>
              </w:rPr>
              <w:t>8</w:t>
            </w:r>
            <w:r>
              <w:rPr>
                <w:rFonts w:hint="eastAsia"/>
                <w:color w:val="auto"/>
                <w:szCs w:val="21"/>
              </w:rPr>
              <w:t>月</w:t>
            </w:r>
            <w:r>
              <w:rPr>
                <w:rFonts w:hint="eastAsia"/>
                <w:color w:val="auto"/>
                <w:szCs w:val="21"/>
                <w:lang w:val="en-US" w:eastAsia="zh-CN"/>
              </w:rPr>
              <w:t>26</w:t>
            </w:r>
            <w:r>
              <w:rPr>
                <w:rFonts w:hint="eastAsia"/>
                <w:color w:val="auto"/>
                <w:szCs w:val="21"/>
              </w:rPr>
              <w:t>日至2029年</w:t>
            </w:r>
            <w:r>
              <w:rPr>
                <w:rFonts w:hint="eastAsia"/>
                <w:color w:val="auto"/>
                <w:szCs w:val="21"/>
                <w:lang w:val="en-US" w:eastAsia="zh-CN"/>
              </w:rPr>
              <w:t>8</w:t>
            </w:r>
            <w:r>
              <w:rPr>
                <w:rFonts w:hint="eastAsia"/>
                <w:color w:val="auto"/>
                <w:szCs w:val="21"/>
              </w:rPr>
              <w:t>月</w:t>
            </w:r>
            <w:r>
              <w:rPr>
                <w:rFonts w:hint="eastAsia"/>
                <w:color w:val="auto"/>
                <w:szCs w:val="21"/>
                <w:lang w:val="en-US" w:eastAsia="zh-CN"/>
              </w:rPr>
              <w:t>25</w:t>
            </w:r>
            <w:r>
              <w:rPr>
                <w:rFonts w:hint="eastAsia"/>
                <w:color w:val="auto"/>
                <w:szCs w:val="21"/>
              </w:rPr>
              <w:t>日。</w:t>
            </w:r>
            <w:r>
              <w:rPr>
                <w:rFonts w:hint="eastAsia"/>
                <w:color w:val="auto"/>
                <w:szCs w:val="21"/>
                <w:lang w:val="en-US" w:eastAsia="zh-CN"/>
              </w:rPr>
              <w:t>排污许可证自行检测要求见下表。</w:t>
            </w:r>
          </w:p>
          <w:p w14:paraId="09EF59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szCs w:val="21"/>
                <w:lang w:val="en-US" w:eastAsia="zh-CN"/>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rPr>
              <w:t>2-</w:t>
            </w:r>
            <w:r>
              <w:rPr>
                <w:rFonts w:hint="eastAsia" w:cs="Times New Roman"/>
                <w:b/>
                <w:color w:val="auto"/>
                <w:sz w:val="21"/>
                <w:szCs w:val="21"/>
                <w:highlight w:val="none"/>
                <w:lang w:val="en-US" w:eastAsia="zh-CN"/>
              </w:rPr>
              <w:t>15</w:t>
            </w:r>
            <w:r>
              <w:rPr>
                <w:rFonts w:hint="eastAsia"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val="en-US" w:eastAsia="zh-CN"/>
              </w:rPr>
              <w:t>排污许可执行情况</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69"/>
              <w:gridCol w:w="1162"/>
              <w:gridCol w:w="905"/>
              <w:gridCol w:w="1782"/>
              <w:gridCol w:w="1033"/>
              <w:gridCol w:w="1315"/>
              <w:gridCol w:w="1302"/>
            </w:tblGrid>
            <w:tr w14:paraId="7BC3C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19" w:type="pct"/>
                  <w:tcBorders>
                    <w:tl2br w:val="nil"/>
                    <w:tr2bl w:val="nil"/>
                  </w:tcBorders>
                  <w:shd w:val="clear" w:color="auto" w:fill="D7D7D7" w:themeFill="background1" w:themeFillShade="D8"/>
                  <w:vAlign w:val="center"/>
                </w:tcPr>
                <w:p w14:paraId="2A2485A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污染源类别</w:t>
                  </w:r>
                </w:p>
              </w:tc>
              <w:tc>
                <w:tcPr>
                  <w:tcW w:w="694" w:type="pct"/>
                  <w:tcBorders>
                    <w:tl2br w:val="nil"/>
                    <w:tr2bl w:val="nil"/>
                  </w:tcBorders>
                  <w:shd w:val="clear" w:color="auto" w:fill="D7D7D7" w:themeFill="background1" w:themeFillShade="D8"/>
                  <w:vAlign w:val="center"/>
                </w:tcPr>
                <w:p w14:paraId="655866E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排放口编号</w:t>
                  </w:r>
                </w:p>
              </w:tc>
              <w:tc>
                <w:tcPr>
                  <w:tcW w:w="540" w:type="pct"/>
                  <w:tcBorders>
                    <w:tl2br w:val="nil"/>
                    <w:tr2bl w:val="nil"/>
                  </w:tcBorders>
                  <w:shd w:val="clear" w:color="auto" w:fill="D7D7D7" w:themeFill="background1" w:themeFillShade="D8"/>
                  <w:vAlign w:val="center"/>
                </w:tcPr>
                <w:p w14:paraId="10F66D6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排放口名称</w:t>
                  </w:r>
                </w:p>
              </w:tc>
              <w:tc>
                <w:tcPr>
                  <w:tcW w:w="1064" w:type="pct"/>
                  <w:tcBorders>
                    <w:tl2br w:val="nil"/>
                    <w:tr2bl w:val="nil"/>
                  </w:tcBorders>
                  <w:shd w:val="clear" w:color="auto" w:fill="D7D7D7" w:themeFill="background1" w:themeFillShade="D8"/>
                  <w:vAlign w:val="center"/>
                </w:tcPr>
                <w:p w14:paraId="07B2AD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污染物名称</w:t>
                  </w:r>
                </w:p>
              </w:tc>
              <w:tc>
                <w:tcPr>
                  <w:tcW w:w="617" w:type="pct"/>
                  <w:tcBorders>
                    <w:tl2br w:val="nil"/>
                    <w:tr2bl w:val="nil"/>
                  </w:tcBorders>
                  <w:shd w:val="clear" w:color="auto" w:fill="D7D7D7" w:themeFill="background1" w:themeFillShade="D8"/>
                  <w:vAlign w:val="center"/>
                </w:tcPr>
                <w:p w14:paraId="2EA2D9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监测频次</w:t>
                  </w:r>
                </w:p>
              </w:tc>
              <w:tc>
                <w:tcPr>
                  <w:tcW w:w="785" w:type="pct"/>
                  <w:tcBorders>
                    <w:tl2br w:val="nil"/>
                    <w:tr2bl w:val="nil"/>
                  </w:tcBorders>
                  <w:shd w:val="clear" w:color="auto" w:fill="D7D7D7" w:themeFill="background1" w:themeFillShade="D8"/>
                  <w:noWrap/>
                  <w:vAlign w:val="center"/>
                </w:tcPr>
                <w:p w14:paraId="115D99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实际监测情况</w:t>
                  </w:r>
                </w:p>
              </w:tc>
              <w:tc>
                <w:tcPr>
                  <w:tcW w:w="777" w:type="pct"/>
                  <w:tcBorders>
                    <w:tl2br w:val="nil"/>
                    <w:tr2bl w:val="nil"/>
                  </w:tcBorders>
                  <w:shd w:val="clear" w:color="auto" w:fill="D7D7D7" w:themeFill="background1" w:themeFillShade="D8"/>
                  <w:noWrap/>
                  <w:vAlign w:val="center"/>
                </w:tcPr>
                <w:p w14:paraId="4651C03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是否符合要求</w:t>
                  </w:r>
                </w:p>
              </w:tc>
            </w:tr>
            <w:tr w14:paraId="01606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restart"/>
                  <w:tcBorders>
                    <w:tl2br w:val="nil"/>
                    <w:tr2bl w:val="nil"/>
                  </w:tcBorders>
                  <w:shd w:val="clear" w:color="auto" w:fill="FFFFFF"/>
                  <w:vAlign w:val="center"/>
                </w:tcPr>
                <w:p w14:paraId="0939244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废气</w:t>
                  </w:r>
                </w:p>
              </w:tc>
              <w:tc>
                <w:tcPr>
                  <w:tcW w:w="694" w:type="pct"/>
                  <w:vMerge w:val="restart"/>
                  <w:tcBorders>
                    <w:tl2br w:val="nil"/>
                    <w:tr2bl w:val="nil"/>
                  </w:tcBorders>
                  <w:shd w:val="clear" w:color="auto" w:fill="FFFFFF"/>
                  <w:vAlign w:val="center"/>
                </w:tcPr>
                <w:p w14:paraId="7C95E6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DA001</w:t>
                  </w:r>
                </w:p>
              </w:tc>
              <w:tc>
                <w:tcPr>
                  <w:tcW w:w="540" w:type="pct"/>
                  <w:vMerge w:val="restart"/>
                  <w:tcBorders>
                    <w:tl2br w:val="nil"/>
                    <w:tr2bl w:val="nil"/>
                  </w:tcBorders>
                  <w:shd w:val="clear" w:color="auto" w:fill="FFFFFF"/>
                  <w:vAlign w:val="center"/>
                </w:tcPr>
                <w:p w14:paraId="768D1CB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PQ2</w:t>
                  </w:r>
                </w:p>
              </w:tc>
              <w:tc>
                <w:tcPr>
                  <w:tcW w:w="1064" w:type="pct"/>
                  <w:tcBorders>
                    <w:tl2br w:val="nil"/>
                    <w:tr2bl w:val="nil"/>
                  </w:tcBorders>
                  <w:shd w:val="clear" w:color="auto" w:fill="FFFFFF"/>
                  <w:vAlign w:val="center"/>
                </w:tcPr>
                <w:p w14:paraId="56A4AF8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氮氧化物</w:t>
                  </w:r>
                </w:p>
              </w:tc>
              <w:tc>
                <w:tcPr>
                  <w:tcW w:w="617" w:type="pct"/>
                  <w:tcBorders>
                    <w:tl2br w:val="nil"/>
                    <w:tr2bl w:val="nil"/>
                  </w:tcBorders>
                  <w:shd w:val="clear" w:color="auto" w:fill="FFFFFF"/>
                  <w:vAlign w:val="center"/>
                </w:tcPr>
                <w:p w14:paraId="5C600E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0305D66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26BC7D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355A3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5232C1E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7ACDFBD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489570E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57F7D83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二氧化硫</w:t>
                  </w:r>
                </w:p>
              </w:tc>
              <w:tc>
                <w:tcPr>
                  <w:tcW w:w="617" w:type="pct"/>
                  <w:tcBorders>
                    <w:tl2br w:val="nil"/>
                    <w:tr2bl w:val="nil"/>
                  </w:tcBorders>
                  <w:shd w:val="clear" w:color="auto" w:fill="FFFFFF"/>
                  <w:vAlign w:val="center"/>
                </w:tcPr>
                <w:p w14:paraId="660CBB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33E43EF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00B616F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6182C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05B9E09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05DD439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3256164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397C756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甲苯</w:t>
                  </w:r>
                </w:p>
              </w:tc>
              <w:tc>
                <w:tcPr>
                  <w:tcW w:w="617" w:type="pct"/>
                  <w:tcBorders>
                    <w:tl2br w:val="nil"/>
                    <w:tr2bl w:val="nil"/>
                  </w:tcBorders>
                  <w:shd w:val="clear" w:color="auto" w:fill="FFFFFF"/>
                  <w:vAlign w:val="center"/>
                </w:tcPr>
                <w:p w14:paraId="554CE9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36440F0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47618D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70E8C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0FAFDE3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597C243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5B69580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4A5A4D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乙酸乙酯</w:t>
                  </w:r>
                </w:p>
              </w:tc>
              <w:tc>
                <w:tcPr>
                  <w:tcW w:w="617" w:type="pct"/>
                  <w:tcBorders>
                    <w:tl2br w:val="nil"/>
                    <w:tr2bl w:val="nil"/>
                  </w:tcBorders>
                  <w:shd w:val="clear" w:color="auto" w:fill="FFFFFF"/>
                  <w:vAlign w:val="center"/>
                </w:tcPr>
                <w:p w14:paraId="1158EB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18757A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0FF400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49B36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7284B0A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014C7CF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6768CED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2D56610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乙酸丁酯</w:t>
                  </w:r>
                </w:p>
              </w:tc>
              <w:tc>
                <w:tcPr>
                  <w:tcW w:w="617" w:type="pct"/>
                  <w:tcBorders>
                    <w:tl2br w:val="nil"/>
                    <w:tr2bl w:val="nil"/>
                  </w:tcBorders>
                  <w:shd w:val="clear" w:color="auto" w:fill="FFFFFF"/>
                  <w:vAlign w:val="center"/>
                </w:tcPr>
                <w:p w14:paraId="27AE3E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713DB3A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35DE95D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6DC2D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636D11E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6844250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2BF8A8C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672E26F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2-丁酮</w:t>
                  </w:r>
                </w:p>
              </w:tc>
              <w:tc>
                <w:tcPr>
                  <w:tcW w:w="617" w:type="pct"/>
                  <w:tcBorders>
                    <w:tl2br w:val="nil"/>
                    <w:tr2bl w:val="nil"/>
                  </w:tcBorders>
                  <w:shd w:val="clear" w:color="auto" w:fill="FFFFFF"/>
                  <w:vAlign w:val="center"/>
                </w:tcPr>
                <w:p w14:paraId="120D21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1C9D424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75F3904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4E0C5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7B81C78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7F27C34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07990D2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02EBF25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颗粒物</w:t>
                  </w:r>
                </w:p>
              </w:tc>
              <w:tc>
                <w:tcPr>
                  <w:tcW w:w="617" w:type="pct"/>
                  <w:tcBorders>
                    <w:tl2br w:val="nil"/>
                    <w:tr2bl w:val="nil"/>
                  </w:tcBorders>
                  <w:shd w:val="clear" w:color="auto" w:fill="FFFFFF"/>
                  <w:vAlign w:val="center"/>
                </w:tcPr>
                <w:p w14:paraId="7C1D192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3896AC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46944E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2CAB9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147C7B8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7CF05C1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420D8CC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368BA1D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非甲烷总烃</w:t>
                  </w:r>
                </w:p>
              </w:tc>
              <w:tc>
                <w:tcPr>
                  <w:tcW w:w="617" w:type="pct"/>
                  <w:tcBorders>
                    <w:tl2br w:val="nil"/>
                    <w:tr2bl w:val="nil"/>
                  </w:tcBorders>
                  <w:shd w:val="clear" w:color="auto" w:fill="FFFFFF"/>
                  <w:vAlign w:val="center"/>
                </w:tcPr>
                <w:p w14:paraId="5C2204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1次/半年</w:t>
                  </w:r>
                </w:p>
              </w:tc>
              <w:tc>
                <w:tcPr>
                  <w:tcW w:w="785" w:type="pct"/>
                  <w:tcBorders>
                    <w:tl2br w:val="nil"/>
                    <w:tr2bl w:val="nil"/>
                  </w:tcBorders>
                  <w:shd w:val="clear" w:color="auto" w:fill="auto"/>
                  <w:noWrap/>
                  <w:vAlign w:val="center"/>
                </w:tcPr>
                <w:p w14:paraId="3486C63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1次/半年</w:t>
                  </w:r>
                </w:p>
              </w:tc>
              <w:tc>
                <w:tcPr>
                  <w:tcW w:w="777" w:type="pct"/>
                  <w:tcBorders>
                    <w:tl2br w:val="nil"/>
                    <w:tr2bl w:val="nil"/>
                  </w:tcBorders>
                  <w:shd w:val="clear" w:color="auto" w:fill="auto"/>
                  <w:noWrap/>
                  <w:vAlign w:val="center"/>
                </w:tcPr>
                <w:p w14:paraId="0910B6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2D657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7AC722B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restart"/>
                  <w:tcBorders>
                    <w:tl2br w:val="nil"/>
                    <w:tr2bl w:val="nil"/>
                  </w:tcBorders>
                  <w:shd w:val="clear" w:color="auto" w:fill="FFFFFF"/>
                  <w:vAlign w:val="center"/>
                </w:tcPr>
                <w:p w14:paraId="14F0667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DA002</w:t>
                  </w:r>
                </w:p>
              </w:tc>
              <w:tc>
                <w:tcPr>
                  <w:tcW w:w="540" w:type="pct"/>
                  <w:vMerge w:val="restart"/>
                  <w:tcBorders>
                    <w:tl2br w:val="nil"/>
                    <w:tr2bl w:val="nil"/>
                  </w:tcBorders>
                  <w:shd w:val="clear" w:color="auto" w:fill="FFFFFF"/>
                  <w:vAlign w:val="center"/>
                </w:tcPr>
                <w:p w14:paraId="22F573F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PQ1</w:t>
                  </w:r>
                </w:p>
              </w:tc>
              <w:tc>
                <w:tcPr>
                  <w:tcW w:w="1064" w:type="pct"/>
                  <w:tcBorders>
                    <w:tl2br w:val="nil"/>
                    <w:tr2bl w:val="nil"/>
                  </w:tcBorders>
                  <w:shd w:val="clear" w:color="auto" w:fill="FFFFFF"/>
                  <w:vAlign w:val="center"/>
                </w:tcPr>
                <w:p w14:paraId="6ADC73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臭气浓度</w:t>
                  </w:r>
                </w:p>
              </w:tc>
              <w:tc>
                <w:tcPr>
                  <w:tcW w:w="617" w:type="pct"/>
                  <w:tcBorders>
                    <w:tl2br w:val="nil"/>
                    <w:tr2bl w:val="nil"/>
                  </w:tcBorders>
                  <w:shd w:val="clear" w:color="auto" w:fill="FFFFFF"/>
                  <w:vAlign w:val="center"/>
                </w:tcPr>
                <w:p w14:paraId="6C8797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3AC24EB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484A517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57C66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3A1BFC5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5FDC4E7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0D924AB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430F2CD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氮氧化物</w:t>
                  </w:r>
                </w:p>
              </w:tc>
              <w:tc>
                <w:tcPr>
                  <w:tcW w:w="617" w:type="pct"/>
                  <w:tcBorders>
                    <w:tl2br w:val="nil"/>
                    <w:tr2bl w:val="nil"/>
                  </w:tcBorders>
                  <w:shd w:val="clear" w:color="auto" w:fill="FFFFFF"/>
                  <w:vAlign w:val="center"/>
                </w:tcPr>
                <w:p w14:paraId="116AAED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0BCFCDB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63CDE7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5055B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0B0684C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082790C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07B15AA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4BB18DB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颗粒物</w:t>
                  </w:r>
                </w:p>
              </w:tc>
              <w:tc>
                <w:tcPr>
                  <w:tcW w:w="617" w:type="pct"/>
                  <w:tcBorders>
                    <w:tl2br w:val="nil"/>
                    <w:tr2bl w:val="nil"/>
                  </w:tcBorders>
                  <w:shd w:val="clear" w:color="auto" w:fill="FFFFFF"/>
                  <w:vAlign w:val="center"/>
                </w:tcPr>
                <w:p w14:paraId="4716D2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5DA5B1F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auto"/>
                      <w:sz w:val="18"/>
                      <w:szCs w:val="18"/>
                      <w:u w:val="none"/>
                      <w:lang w:val="en-US" w:eastAsia="zh-CN"/>
                    </w:rPr>
                  </w:pPr>
                  <w:r>
                    <w:rPr>
                      <w:rFonts w:hint="eastAsia" w:cs="Times New Roman"/>
                      <w:i w:val="0"/>
                      <w:iCs w:val="0"/>
                      <w:color w:val="auto"/>
                      <w:sz w:val="18"/>
                      <w:szCs w:val="18"/>
                      <w:u w:val="none"/>
                      <w:lang w:val="en-US" w:eastAsia="zh-CN"/>
                    </w:rPr>
                    <w:t>未检测</w:t>
                  </w:r>
                </w:p>
              </w:tc>
              <w:tc>
                <w:tcPr>
                  <w:tcW w:w="777" w:type="pct"/>
                  <w:tcBorders>
                    <w:tl2br w:val="nil"/>
                    <w:tr2bl w:val="nil"/>
                  </w:tcBorders>
                  <w:shd w:val="clear" w:color="auto" w:fill="auto"/>
                  <w:noWrap/>
                  <w:vAlign w:val="center"/>
                </w:tcPr>
                <w:p w14:paraId="17682AE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eastAsia" w:cs="Times New Roman"/>
                      <w:i w:val="0"/>
                      <w:iCs w:val="0"/>
                      <w:color w:val="auto"/>
                      <w:kern w:val="0"/>
                      <w:sz w:val="18"/>
                      <w:szCs w:val="18"/>
                      <w:u w:val="none"/>
                      <w:lang w:val="en-US" w:eastAsia="zh-CN" w:bidi="ar"/>
                    </w:rPr>
                    <w:t>不</w:t>
                  </w:r>
                  <w:r>
                    <w:rPr>
                      <w:rFonts w:hint="default" w:ascii="Times New Roman" w:hAnsi="Times New Roman" w:eastAsia="宋体" w:cs="Times New Roman"/>
                      <w:i w:val="0"/>
                      <w:iCs w:val="0"/>
                      <w:color w:val="auto"/>
                      <w:kern w:val="0"/>
                      <w:sz w:val="18"/>
                      <w:szCs w:val="18"/>
                      <w:u w:val="none"/>
                      <w:lang w:val="en-US" w:eastAsia="zh-CN" w:bidi="ar"/>
                    </w:rPr>
                    <w:t>符合</w:t>
                  </w:r>
                </w:p>
              </w:tc>
            </w:tr>
            <w:tr w14:paraId="4F414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370082E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55455A3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4194A1F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58FAB18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非甲烷总烃</w:t>
                  </w:r>
                </w:p>
              </w:tc>
              <w:tc>
                <w:tcPr>
                  <w:tcW w:w="617" w:type="pct"/>
                  <w:tcBorders>
                    <w:tl2br w:val="nil"/>
                    <w:tr2bl w:val="nil"/>
                  </w:tcBorders>
                  <w:shd w:val="clear" w:color="auto" w:fill="FFFFFF"/>
                  <w:vAlign w:val="center"/>
                </w:tcPr>
                <w:p w14:paraId="22ECAF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1次/半年</w:t>
                  </w:r>
                </w:p>
              </w:tc>
              <w:tc>
                <w:tcPr>
                  <w:tcW w:w="785" w:type="pct"/>
                  <w:tcBorders>
                    <w:tl2br w:val="nil"/>
                    <w:tr2bl w:val="nil"/>
                  </w:tcBorders>
                  <w:shd w:val="clear" w:color="auto" w:fill="auto"/>
                  <w:noWrap/>
                  <w:vAlign w:val="center"/>
                </w:tcPr>
                <w:p w14:paraId="7D9E6C3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1次/半年</w:t>
                  </w:r>
                </w:p>
              </w:tc>
              <w:tc>
                <w:tcPr>
                  <w:tcW w:w="777" w:type="pct"/>
                  <w:tcBorders>
                    <w:tl2br w:val="nil"/>
                    <w:tr2bl w:val="nil"/>
                  </w:tcBorders>
                  <w:shd w:val="clear" w:color="auto" w:fill="auto"/>
                  <w:noWrap/>
                  <w:vAlign w:val="center"/>
                </w:tcPr>
                <w:p w14:paraId="096D435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3BD3F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restart"/>
                  <w:tcBorders>
                    <w:tl2br w:val="nil"/>
                    <w:tr2bl w:val="nil"/>
                  </w:tcBorders>
                  <w:shd w:val="clear" w:color="auto" w:fill="FFFFFF"/>
                  <w:vAlign w:val="center"/>
                </w:tcPr>
                <w:p w14:paraId="336F711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废水</w:t>
                  </w:r>
                </w:p>
              </w:tc>
              <w:tc>
                <w:tcPr>
                  <w:tcW w:w="694" w:type="pct"/>
                  <w:vMerge w:val="restart"/>
                  <w:tcBorders>
                    <w:tl2br w:val="nil"/>
                    <w:tr2bl w:val="nil"/>
                  </w:tcBorders>
                  <w:shd w:val="clear" w:color="auto" w:fill="FFFFFF"/>
                  <w:vAlign w:val="center"/>
                </w:tcPr>
                <w:p w14:paraId="1360A81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DW001</w:t>
                  </w:r>
                </w:p>
              </w:tc>
              <w:tc>
                <w:tcPr>
                  <w:tcW w:w="540" w:type="pct"/>
                  <w:vMerge w:val="restart"/>
                  <w:tcBorders>
                    <w:tl2br w:val="nil"/>
                    <w:tr2bl w:val="nil"/>
                  </w:tcBorders>
                  <w:shd w:val="clear" w:color="auto" w:fill="FFFFFF"/>
                  <w:vAlign w:val="center"/>
                </w:tcPr>
                <w:p w14:paraId="17D591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废水排放口</w:t>
                  </w:r>
                </w:p>
              </w:tc>
              <w:tc>
                <w:tcPr>
                  <w:tcW w:w="1064" w:type="pct"/>
                  <w:tcBorders>
                    <w:tl2br w:val="nil"/>
                    <w:tr2bl w:val="nil"/>
                  </w:tcBorders>
                  <w:shd w:val="clear" w:color="auto" w:fill="FFFFFF"/>
                  <w:vAlign w:val="center"/>
                </w:tcPr>
                <w:p w14:paraId="366333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pH值</w:t>
                  </w:r>
                </w:p>
              </w:tc>
              <w:tc>
                <w:tcPr>
                  <w:tcW w:w="617" w:type="pct"/>
                  <w:tcBorders>
                    <w:tl2br w:val="nil"/>
                    <w:tr2bl w:val="nil"/>
                  </w:tcBorders>
                  <w:shd w:val="clear" w:color="auto" w:fill="FFFFFF"/>
                  <w:vAlign w:val="center"/>
                </w:tcPr>
                <w:p w14:paraId="135478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268D7D3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3CF466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31A45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1E972C4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60221769">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21A2C68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2CF6E0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悬浮物</w:t>
                  </w:r>
                </w:p>
              </w:tc>
              <w:tc>
                <w:tcPr>
                  <w:tcW w:w="617" w:type="pct"/>
                  <w:tcBorders>
                    <w:tl2br w:val="nil"/>
                    <w:tr2bl w:val="nil"/>
                  </w:tcBorders>
                  <w:shd w:val="clear" w:color="auto" w:fill="FFFFFF"/>
                  <w:vAlign w:val="center"/>
                </w:tcPr>
                <w:p w14:paraId="5C6F040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2D93334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60AC54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31782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4CDF2BA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0CA3706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694CF2C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79A0FF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五日生化需氧量</w:t>
                  </w:r>
                </w:p>
              </w:tc>
              <w:tc>
                <w:tcPr>
                  <w:tcW w:w="617" w:type="pct"/>
                  <w:tcBorders>
                    <w:tl2br w:val="nil"/>
                    <w:tr2bl w:val="nil"/>
                  </w:tcBorders>
                  <w:shd w:val="clear" w:color="auto" w:fill="FFFFFF"/>
                  <w:vAlign w:val="center"/>
                </w:tcPr>
                <w:p w14:paraId="6D93CCB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098E6E8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61E7671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49DC6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43E982B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060E0A9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583A588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69CAAE4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化学需氧量</w:t>
                  </w:r>
                </w:p>
              </w:tc>
              <w:tc>
                <w:tcPr>
                  <w:tcW w:w="617" w:type="pct"/>
                  <w:tcBorders>
                    <w:tl2br w:val="nil"/>
                    <w:tr2bl w:val="nil"/>
                  </w:tcBorders>
                  <w:shd w:val="clear" w:color="auto" w:fill="FFFFFF"/>
                  <w:vAlign w:val="center"/>
                </w:tcPr>
                <w:p w14:paraId="73F8006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505103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0B989F1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46531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24647D0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0BB2501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1655311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5F84044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总有机碳</w:t>
                  </w:r>
                </w:p>
              </w:tc>
              <w:tc>
                <w:tcPr>
                  <w:tcW w:w="617" w:type="pct"/>
                  <w:tcBorders>
                    <w:tl2br w:val="nil"/>
                    <w:tr2bl w:val="nil"/>
                  </w:tcBorders>
                  <w:shd w:val="clear" w:color="auto" w:fill="FFFFFF"/>
                  <w:vAlign w:val="center"/>
                </w:tcPr>
                <w:p w14:paraId="0B8C59E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4AAC50F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716CDE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547A9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6A73726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16FD984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059F926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7F1D56F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总氮（以N计）</w:t>
                  </w:r>
                </w:p>
              </w:tc>
              <w:tc>
                <w:tcPr>
                  <w:tcW w:w="617" w:type="pct"/>
                  <w:tcBorders>
                    <w:tl2br w:val="nil"/>
                    <w:tr2bl w:val="nil"/>
                  </w:tcBorders>
                  <w:shd w:val="clear" w:color="auto" w:fill="FFFFFF"/>
                  <w:vAlign w:val="center"/>
                </w:tcPr>
                <w:p w14:paraId="1C50D98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5713B4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3A03DCB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5BB1A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46B24779">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1325F5B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5FE4E0A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722BBB0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氨氮（NH</w:t>
                  </w:r>
                  <w:r>
                    <w:rPr>
                      <w:rFonts w:hint="default" w:ascii="Times New Roman" w:hAnsi="Times New Roman" w:eastAsia="宋体" w:cs="Times New Roman"/>
                      <w:i w:val="0"/>
                      <w:iCs w:val="0"/>
                      <w:color w:val="auto"/>
                      <w:kern w:val="0"/>
                      <w:sz w:val="18"/>
                      <w:szCs w:val="18"/>
                      <w:u w:val="none"/>
                      <w:vertAlign w:val="sub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-N）</w:t>
                  </w:r>
                </w:p>
              </w:tc>
              <w:tc>
                <w:tcPr>
                  <w:tcW w:w="617" w:type="pct"/>
                  <w:tcBorders>
                    <w:tl2br w:val="nil"/>
                    <w:tr2bl w:val="nil"/>
                  </w:tcBorders>
                  <w:shd w:val="clear" w:color="auto" w:fill="FFFFFF"/>
                  <w:vAlign w:val="center"/>
                </w:tcPr>
                <w:p w14:paraId="23614F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14FFAE4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699E4B3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222A5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6A637CF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76F4FD9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255BB75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51F922A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总磷（以P计）</w:t>
                  </w:r>
                </w:p>
              </w:tc>
              <w:tc>
                <w:tcPr>
                  <w:tcW w:w="617" w:type="pct"/>
                  <w:tcBorders>
                    <w:tl2br w:val="nil"/>
                    <w:tr2bl w:val="nil"/>
                  </w:tcBorders>
                  <w:shd w:val="clear" w:color="auto" w:fill="FFFFFF"/>
                  <w:vAlign w:val="center"/>
                </w:tcPr>
                <w:p w14:paraId="6F9A4A9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6FDA53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3BD5E15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33E51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6B051889">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047D0D7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67DE459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09AF45A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动植物油</w:t>
                  </w:r>
                </w:p>
              </w:tc>
              <w:tc>
                <w:tcPr>
                  <w:tcW w:w="617" w:type="pct"/>
                  <w:tcBorders>
                    <w:tl2br w:val="nil"/>
                    <w:tr2bl w:val="nil"/>
                  </w:tcBorders>
                  <w:shd w:val="clear" w:color="auto" w:fill="FFFFFF"/>
                  <w:vAlign w:val="center"/>
                </w:tcPr>
                <w:p w14:paraId="5B96FFB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23FDE03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4CDB25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40985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3CF378B2">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47F9BED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4DF9F46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5835CC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可吸附有机卤化物</w:t>
                  </w:r>
                </w:p>
              </w:tc>
              <w:tc>
                <w:tcPr>
                  <w:tcW w:w="617" w:type="pct"/>
                  <w:tcBorders>
                    <w:tl2br w:val="nil"/>
                    <w:tr2bl w:val="nil"/>
                  </w:tcBorders>
                  <w:shd w:val="clear" w:color="auto" w:fill="FFFFFF"/>
                  <w:vAlign w:val="center"/>
                </w:tcPr>
                <w:p w14:paraId="5456D0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85" w:type="pct"/>
                  <w:tcBorders>
                    <w:tl2br w:val="nil"/>
                    <w:tr2bl w:val="nil"/>
                  </w:tcBorders>
                  <w:shd w:val="clear" w:color="auto" w:fill="auto"/>
                  <w:noWrap/>
                  <w:vAlign w:val="center"/>
                </w:tcPr>
                <w:p w14:paraId="4DC71C8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1次/年</w:t>
                  </w:r>
                </w:p>
              </w:tc>
              <w:tc>
                <w:tcPr>
                  <w:tcW w:w="777" w:type="pct"/>
                  <w:tcBorders>
                    <w:tl2br w:val="nil"/>
                    <w:tr2bl w:val="nil"/>
                  </w:tcBorders>
                  <w:shd w:val="clear" w:color="auto" w:fill="auto"/>
                  <w:noWrap/>
                  <w:vAlign w:val="center"/>
                </w:tcPr>
                <w:p w14:paraId="434823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2457B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restart"/>
                  <w:tcBorders>
                    <w:tl2br w:val="nil"/>
                    <w:tr2bl w:val="nil"/>
                  </w:tcBorders>
                  <w:shd w:val="clear" w:color="auto" w:fill="FFFFFF"/>
                  <w:vAlign w:val="center"/>
                </w:tcPr>
                <w:p w14:paraId="67813D3B">
                  <w:pPr>
                    <w:keepNext w:val="0"/>
                    <w:keepLines w:val="0"/>
                    <w:pageBreakBefore w:val="0"/>
                    <w:widowControl/>
                    <w:tabs>
                      <w:tab w:val="left" w:pos="590"/>
                    </w:tabs>
                    <w:kinsoku/>
                    <w:wordWrap/>
                    <w:overflowPunct/>
                    <w:topLinePunct w:val="0"/>
                    <w:autoSpaceDE/>
                    <w:autoSpaceDN/>
                    <w:bidi w:val="0"/>
                    <w:spacing w:line="240" w:lineRule="auto"/>
                    <w:ind w:firstLine="0" w:firstLineChars="0"/>
                    <w:jc w:val="left"/>
                    <w:rPr>
                      <w:rFonts w:hint="default" w:ascii="Times New Roman" w:hAnsi="Times New Roman" w:eastAsia="宋体" w:cs="Times New Roman"/>
                      <w:i w:val="0"/>
                      <w:iCs w:val="0"/>
                      <w:color w:val="auto"/>
                      <w:sz w:val="18"/>
                      <w:szCs w:val="18"/>
                      <w:u w:val="none"/>
                      <w:lang w:val="en-US" w:eastAsia="zh-CN"/>
                    </w:rPr>
                  </w:pPr>
                  <w:r>
                    <w:rPr>
                      <w:rFonts w:hint="eastAsia" w:cs="Times New Roman"/>
                      <w:i w:val="0"/>
                      <w:iCs w:val="0"/>
                      <w:color w:val="auto"/>
                      <w:sz w:val="18"/>
                      <w:szCs w:val="18"/>
                      <w:u w:val="none"/>
                      <w:lang w:eastAsia="zh-CN"/>
                    </w:rPr>
                    <w:tab/>
                  </w:r>
                  <w:r>
                    <w:rPr>
                      <w:rFonts w:hint="eastAsia" w:cs="Times New Roman"/>
                      <w:i w:val="0"/>
                      <w:iCs w:val="0"/>
                      <w:color w:val="auto"/>
                      <w:sz w:val="18"/>
                      <w:szCs w:val="18"/>
                      <w:u w:val="none"/>
                      <w:lang w:val="en-US" w:eastAsia="zh-CN"/>
                    </w:rPr>
                    <w:t>雨水排口</w:t>
                  </w:r>
                </w:p>
              </w:tc>
              <w:tc>
                <w:tcPr>
                  <w:tcW w:w="694" w:type="pct"/>
                  <w:vMerge w:val="restart"/>
                  <w:tcBorders>
                    <w:tl2br w:val="nil"/>
                    <w:tr2bl w:val="nil"/>
                  </w:tcBorders>
                  <w:shd w:val="clear" w:color="auto" w:fill="FFFFFF"/>
                  <w:vAlign w:val="center"/>
                </w:tcPr>
                <w:p w14:paraId="5DE5828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eastAsia" w:cs="Times New Roman"/>
                      <w:i w:val="0"/>
                      <w:iCs w:val="0"/>
                      <w:color w:val="auto"/>
                      <w:sz w:val="18"/>
                      <w:szCs w:val="18"/>
                      <w:u w:val="none"/>
                      <w:lang w:val="en-US" w:eastAsia="zh-CN"/>
                    </w:rPr>
                    <w:t>DW002</w:t>
                  </w:r>
                </w:p>
              </w:tc>
              <w:tc>
                <w:tcPr>
                  <w:tcW w:w="540" w:type="pct"/>
                  <w:vMerge w:val="restart"/>
                  <w:tcBorders>
                    <w:tl2br w:val="nil"/>
                    <w:tr2bl w:val="nil"/>
                  </w:tcBorders>
                  <w:shd w:val="clear" w:color="auto" w:fill="FFFFFF"/>
                  <w:vAlign w:val="center"/>
                </w:tcPr>
                <w:p w14:paraId="28FFF76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auto"/>
                      <w:sz w:val="18"/>
                      <w:szCs w:val="18"/>
                      <w:u w:val="none"/>
                      <w:lang w:val="en-US" w:eastAsia="zh-CN"/>
                    </w:rPr>
                  </w:pPr>
                  <w:r>
                    <w:rPr>
                      <w:rFonts w:hint="eastAsia" w:cs="Times New Roman"/>
                      <w:i w:val="0"/>
                      <w:iCs w:val="0"/>
                      <w:color w:val="auto"/>
                      <w:sz w:val="18"/>
                      <w:szCs w:val="18"/>
                      <w:u w:val="none"/>
                      <w:lang w:val="en-US" w:eastAsia="zh-CN"/>
                    </w:rPr>
                    <w:t>雨水排口</w:t>
                  </w:r>
                </w:p>
              </w:tc>
              <w:tc>
                <w:tcPr>
                  <w:tcW w:w="1064" w:type="pct"/>
                  <w:tcBorders>
                    <w:tl2br w:val="nil"/>
                    <w:tr2bl w:val="nil"/>
                  </w:tcBorders>
                  <w:shd w:val="clear" w:color="auto" w:fill="FFFFFF"/>
                  <w:vAlign w:val="center"/>
                </w:tcPr>
                <w:p w14:paraId="1093F12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化学需氧量</w:t>
                  </w:r>
                </w:p>
              </w:tc>
              <w:tc>
                <w:tcPr>
                  <w:tcW w:w="617" w:type="pct"/>
                  <w:tcBorders>
                    <w:tl2br w:val="nil"/>
                    <w:tr2bl w:val="nil"/>
                  </w:tcBorders>
                  <w:shd w:val="clear" w:color="auto" w:fill="FFFFFF"/>
                  <w:vAlign w:val="center"/>
                </w:tcPr>
                <w:p w14:paraId="206C611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1次/月</w:t>
                  </w:r>
                  <w:r>
                    <w:rPr>
                      <w:rFonts w:hint="default" w:ascii="Times New Roman" w:hAnsi="Times New Roman" w:eastAsia="宋体" w:cs="Times New Roman"/>
                      <w:i w:val="0"/>
                      <w:iCs w:val="0"/>
                      <w:color w:val="auto"/>
                      <w:kern w:val="0"/>
                      <w:sz w:val="18"/>
                      <w:szCs w:val="18"/>
                      <w:u w:val="none"/>
                      <w:lang w:val="en-US" w:eastAsia="zh-CN" w:bidi="ar"/>
                    </w:rPr>
                    <w:t>。若监测一年无异常情况，可放宽至每季度开展一次</w:t>
                  </w:r>
                </w:p>
              </w:tc>
              <w:tc>
                <w:tcPr>
                  <w:tcW w:w="785" w:type="pct"/>
                  <w:tcBorders>
                    <w:tl2br w:val="nil"/>
                    <w:tr2bl w:val="nil"/>
                  </w:tcBorders>
                  <w:shd w:val="clear" w:color="auto" w:fill="auto"/>
                  <w:noWrap/>
                  <w:vAlign w:val="center"/>
                </w:tcPr>
                <w:p w14:paraId="1E8D382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1次/月</w:t>
                  </w:r>
                </w:p>
              </w:tc>
              <w:tc>
                <w:tcPr>
                  <w:tcW w:w="777" w:type="pct"/>
                  <w:tcBorders>
                    <w:tl2br w:val="nil"/>
                    <w:tr2bl w:val="nil"/>
                  </w:tcBorders>
                  <w:shd w:val="clear" w:color="auto" w:fill="auto"/>
                  <w:noWrap/>
                  <w:vAlign w:val="center"/>
                </w:tcPr>
                <w:p w14:paraId="4A170B5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符合</w:t>
                  </w:r>
                </w:p>
              </w:tc>
            </w:tr>
            <w:tr w14:paraId="1FBB7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9" w:type="pct"/>
                  <w:vMerge w:val="continue"/>
                  <w:tcBorders>
                    <w:tl2br w:val="nil"/>
                    <w:tr2bl w:val="nil"/>
                  </w:tcBorders>
                  <w:shd w:val="clear" w:color="auto" w:fill="FFFFFF"/>
                  <w:vAlign w:val="center"/>
                </w:tcPr>
                <w:p w14:paraId="4924E3B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694" w:type="pct"/>
                  <w:vMerge w:val="continue"/>
                  <w:tcBorders>
                    <w:tl2br w:val="nil"/>
                    <w:tr2bl w:val="nil"/>
                  </w:tcBorders>
                  <w:shd w:val="clear" w:color="auto" w:fill="FFFFFF"/>
                  <w:vAlign w:val="center"/>
                </w:tcPr>
                <w:p w14:paraId="2017413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540" w:type="pct"/>
                  <w:vMerge w:val="continue"/>
                  <w:tcBorders>
                    <w:tl2br w:val="nil"/>
                    <w:tr2bl w:val="nil"/>
                  </w:tcBorders>
                  <w:shd w:val="clear" w:color="auto" w:fill="FFFFFF"/>
                  <w:vAlign w:val="center"/>
                </w:tcPr>
                <w:p w14:paraId="2788BB92">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18"/>
                      <w:szCs w:val="18"/>
                      <w:u w:val="none"/>
                    </w:rPr>
                  </w:pPr>
                </w:p>
              </w:tc>
              <w:tc>
                <w:tcPr>
                  <w:tcW w:w="1064" w:type="pct"/>
                  <w:tcBorders>
                    <w:tl2br w:val="nil"/>
                    <w:tr2bl w:val="nil"/>
                  </w:tcBorders>
                  <w:shd w:val="clear" w:color="auto" w:fill="FFFFFF"/>
                  <w:vAlign w:val="center"/>
                </w:tcPr>
                <w:p w14:paraId="3EE218F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石油类</w:t>
                  </w:r>
                </w:p>
              </w:tc>
              <w:tc>
                <w:tcPr>
                  <w:tcW w:w="617" w:type="pct"/>
                  <w:tcBorders>
                    <w:tl2br w:val="nil"/>
                    <w:tr2bl w:val="nil"/>
                  </w:tcBorders>
                  <w:shd w:val="clear" w:color="auto" w:fill="FFFFFF"/>
                  <w:vAlign w:val="center"/>
                </w:tcPr>
                <w:p w14:paraId="7A1883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1次/月</w:t>
                  </w:r>
                  <w:r>
                    <w:rPr>
                      <w:rFonts w:hint="default" w:ascii="Times New Roman" w:hAnsi="Times New Roman" w:eastAsia="宋体" w:cs="Times New Roman"/>
                      <w:i w:val="0"/>
                      <w:iCs w:val="0"/>
                      <w:color w:val="auto"/>
                      <w:kern w:val="0"/>
                      <w:sz w:val="18"/>
                      <w:szCs w:val="18"/>
                      <w:u w:val="none"/>
                      <w:lang w:val="en-US" w:eastAsia="zh-CN" w:bidi="ar"/>
                    </w:rPr>
                    <w:t>。若监测一年无异常情况，可放宽至每季度开展一次</w:t>
                  </w:r>
                </w:p>
              </w:tc>
              <w:tc>
                <w:tcPr>
                  <w:tcW w:w="785" w:type="pct"/>
                  <w:tcBorders>
                    <w:tl2br w:val="nil"/>
                    <w:tr2bl w:val="nil"/>
                  </w:tcBorders>
                  <w:shd w:val="clear" w:color="auto" w:fill="auto"/>
                  <w:noWrap/>
                  <w:vAlign w:val="center"/>
                </w:tcPr>
                <w:p w14:paraId="4433FD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1次/月</w:t>
                  </w:r>
                </w:p>
              </w:tc>
              <w:tc>
                <w:tcPr>
                  <w:tcW w:w="777" w:type="pct"/>
                  <w:tcBorders>
                    <w:tl2br w:val="nil"/>
                    <w:tr2bl w:val="nil"/>
                  </w:tcBorders>
                  <w:shd w:val="clear" w:color="auto" w:fill="auto"/>
                  <w:noWrap/>
                  <w:vAlign w:val="center"/>
                </w:tcPr>
                <w:p w14:paraId="7F8EE1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符合</w:t>
                  </w:r>
                </w:p>
              </w:tc>
            </w:tr>
          </w:tbl>
          <w:p w14:paraId="45CCC4BC">
            <w:pPr>
              <w:keepNext w:val="0"/>
              <w:keepLines w:val="0"/>
              <w:pageBreakBefore w:val="0"/>
              <w:widowControl w:val="0"/>
              <w:kinsoku/>
              <w:wordWrap/>
              <w:overflowPunct/>
              <w:topLinePunct w:val="0"/>
              <w:autoSpaceDE/>
              <w:autoSpaceDN/>
              <w:bidi w:val="0"/>
              <w:adjustRightInd w:val="0"/>
              <w:snapToGrid w:val="0"/>
              <w:spacing w:line="360" w:lineRule="auto"/>
              <w:ind w:firstLine="408"/>
              <w:textAlignment w:val="auto"/>
              <w:rPr>
                <w:rFonts w:hint="default" w:eastAsia="宋体"/>
                <w:color w:val="auto"/>
                <w:highlight w:val="none"/>
                <w:lang w:val="en-US" w:eastAsia="zh-CN"/>
              </w:rPr>
            </w:pPr>
            <w:r>
              <w:rPr>
                <w:rFonts w:hint="eastAsia"/>
                <w:color w:val="auto"/>
                <w:highlight w:val="none"/>
                <w:lang w:val="en-US" w:eastAsia="zh-CN"/>
              </w:rPr>
              <w:t>建设单位目前已根据排污许可要求完成了2025年年度执行报告，根据执行报告，公司2025年各项污染物均达标排放且未超许可总量，未出现特殊工况。</w:t>
            </w:r>
          </w:p>
          <w:p w14:paraId="3FF8D44D">
            <w:pPr>
              <w:keepNext w:val="0"/>
              <w:keepLines w:val="0"/>
              <w:pageBreakBefore w:val="0"/>
              <w:widowControl w:val="0"/>
              <w:kinsoku/>
              <w:wordWrap/>
              <w:overflowPunct/>
              <w:topLinePunct w:val="0"/>
              <w:autoSpaceDE/>
              <w:autoSpaceDN/>
              <w:bidi w:val="0"/>
              <w:adjustRightInd w:val="0"/>
              <w:snapToGrid w:val="0"/>
              <w:spacing w:line="360" w:lineRule="auto"/>
              <w:ind w:firstLine="408"/>
              <w:textAlignment w:val="auto"/>
              <w:rPr>
                <w:rFonts w:hint="default" w:eastAsia="宋体"/>
                <w:color w:val="auto"/>
                <w:highlight w:val="none"/>
                <w:lang w:val="en-US" w:eastAsia="zh-CN"/>
              </w:rPr>
            </w:pPr>
            <w:r>
              <w:rPr>
                <w:rFonts w:hint="eastAsia"/>
                <w:color w:val="auto"/>
                <w:spacing w:val="1"/>
                <w:highlight w:val="none"/>
                <w:lang w:val="en-US" w:eastAsia="zh-CN"/>
              </w:rPr>
              <w:t>综上所述，建设单位PQ1排气筒的颗粒物未进行检测，应按要求进行检测。</w:t>
            </w:r>
          </w:p>
          <w:p w14:paraId="40D3420D">
            <w:pPr>
              <w:keepNext w:val="0"/>
              <w:keepLines w:val="0"/>
              <w:pageBreakBefore w:val="0"/>
              <w:widowControl w:val="0"/>
              <w:kinsoku/>
              <w:wordWrap/>
              <w:overflowPunct/>
              <w:topLinePunct w:val="0"/>
              <w:autoSpaceDE/>
              <w:autoSpaceDN/>
              <w:bidi w:val="0"/>
              <w:adjustRightInd w:val="0"/>
              <w:snapToGrid w:val="0"/>
              <w:spacing w:line="360" w:lineRule="auto"/>
              <w:ind w:firstLine="422"/>
              <w:textAlignment w:val="auto"/>
              <w:rPr>
                <w:b/>
                <w:bCs/>
                <w:color w:val="auto"/>
              </w:rPr>
            </w:pPr>
            <w:r>
              <w:rPr>
                <w:rFonts w:hint="eastAsia"/>
                <w:b/>
                <w:bCs/>
                <w:color w:val="auto"/>
              </w:rPr>
              <w:t>3、现有项目实际排放总量情况</w:t>
            </w:r>
          </w:p>
          <w:p w14:paraId="0399B781">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color w:val="auto"/>
              </w:rPr>
            </w:pPr>
            <w:r>
              <w:rPr>
                <w:rFonts w:hint="eastAsia"/>
                <w:color w:val="auto"/>
                <w:spacing w:val="1"/>
                <w:lang w:val="en-US" w:eastAsia="zh-CN"/>
              </w:rPr>
              <w:t>根据现有验收数据，建设单位废气排放量如下</w:t>
            </w:r>
            <w:r>
              <w:rPr>
                <w:rFonts w:hint="eastAsia"/>
                <w:color w:val="auto"/>
              </w:rPr>
              <w:t>。</w:t>
            </w:r>
          </w:p>
          <w:p w14:paraId="660258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color w:val="auto"/>
              </w:rPr>
            </w:pPr>
            <w:r>
              <w:rPr>
                <w:rFonts w:cs="Times New Roman"/>
                <w:b/>
                <w:color w:val="auto"/>
              </w:rPr>
              <w:t>表</w:t>
            </w:r>
            <w:r>
              <w:rPr>
                <w:rFonts w:hint="eastAsia" w:cs="Times New Roman"/>
                <w:b/>
                <w:color w:val="auto"/>
              </w:rPr>
              <w:t>2-</w:t>
            </w:r>
            <w:r>
              <w:rPr>
                <w:rFonts w:hint="eastAsia" w:cs="Times New Roman"/>
                <w:b/>
                <w:color w:val="auto"/>
                <w:lang w:val="en-US" w:eastAsia="zh-CN"/>
              </w:rPr>
              <w:t xml:space="preserve">16 </w:t>
            </w:r>
            <w:r>
              <w:rPr>
                <w:rFonts w:cs="Times New Roman"/>
                <w:b/>
                <w:color w:val="auto"/>
              </w:rPr>
              <w:t>现有</w:t>
            </w:r>
            <w:r>
              <w:rPr>
                <w:rFonts w:hint="eastAsia" w:cs="Times New Roman"/>
                <w:b/>
                <w:color w:val="auto"/>
              </w:rPr>
              <w:t>已建</w:t>
            </w:r>
            <w:r>
              <w:rPr>
                <w:rFonts w:cs="Times New Roman"/>
                <w:b/>
                <w:color w:val="auto"/>
              </w:rPr>
              <w:t>项目污染物排放</w:t>
            </w:r>
            <w:r>
              <w:rPr>
                <w:rFonts w:hint="eastAsia" w:cs="Times New Roman"/>
                <w:b/>
                <w:color w:val="auto"/>
              </w:rPr>
              <w:t>情况表单位</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3"/>
              <w:gridCol w:w="675"/>
              <w:gridCol w:w="1162"/>
              <w:gridCol w:w="1090"/>
              <w:gridCol w:w="1363"/>
              <w:gridCol w:w="1058"/>
              <w:gridCol w:w="1288"/>
              <w:gridCol w:w="1061"/>
            </w:tblGrid>
            <w:tr w14:paraId="25CAC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shd w:val="clear" w:color="auto" w:fill="D7D7D7" w:themeFill="background1" w:themeFillShade="D8"/>
                  <w:vAlign w:val="center"/>
                </w:tcPr>
                <w:p w14:paraId="106C1A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序号</w:t>
                  </w:r>
                </w:p>
              </w:tc>
              <w:tc>
                <w:tcPr>
                  <w:tcW w:w="403" w:type="pct"/>
                  <w:shd w:val="clear" w:color="auto" w:fill="D7D7D7" w:themeFill="background1" w:themeFillShade="D8"/>
                  <w:vAlign w:val="center"/>
                </w:tcPr>
                <w:p w14:paraId="711284F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对应生产线</w:t>
                  </w:r>
                </w:p>
              </w:tc>
              <w:tc>
                <w:tcPr>
                  <w:tcW w:w="694" w:type="pct"/>
                  <w:shd w:val="clear" w:color="auto" w:fill="D7D7D7" w:themeFill="background1" w:themeFillShade="D8"/>
                  <w:vAlign w:val="center"/>
                </w:tcPr>
                <w:p w14:paraId="1EFCF4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已建规模</w:t>
                  </w:r>
                </w:p>
              </w:tc>
              <w:tc>
                <w:tcPr>
                  <w:tcW w:w="651" w:type="pct"/>
                  <w:shd w:val="clear" w:color="auto" w:fill="D7D7D7" w:themeFill="background1" w:themeFillShade="D8"/>
                  <w:vAlign w:val="center"/>
                </w:tcPr>
                <w:p w14:paraId="79C32C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排气筒</w:t>
                  </w:r>
                </w:p>
              </w:tc>
              <w:tc>
                <w:tcPr>
                  <w:tcW w:w="814" w:type="pct"/>
                  <w:shd w:val="clear" w:color="auto" w:fill="D7D7D7" w:themeFill="background1" w:themeFillShade="D8"/>
                  <w:vAlign w:val="center"/>
                </w:tcPr>
                <w:p w14:paraId="65ADC6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w:t>
                  </w:r>
                </w:p>
              </w:tc>
              <w:tc>
                <w:tcPr>
                  <w:tcW w:w="632" w:type="pct"/>
                  <w:shd w:val="clear" w:color="auto" w:fill="D7D7D7" w:themeFill="background1" w:themeFillShade="D8"/>
                  <w:vAlign w:val="center"/>
                </w:tcPr>
                <w:p w14:paraId="4E0259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rPr>
                    <w:t>实际排放量</w:t>
                  </w:r>
                  <w:r>
                    <w:rPr>
                      <w:rFonts w:hint="default" w:ascii="Times New Roman" w:hAnsi="Times New Roman" w:eastAsia="宋体" w:cs="Times New Roman"/>
                      <w:b/>
                      <w:color w:val="auto"/>
                      <w:sz w:val="18"/>
                      <w:szCs w:val="18"/>
                      <w:lang w:val="en-US" w:eastAsia="zh-CN"/>
                    </w:rPr>
                    <w:t>t/a</w:t>
                  </w:r>
                </w:p>
              </w:tc>
              <w:tc>
                <w:tcPr>
                  <w:tcW w:w="769" w:type="pct"/>
                  <w:shd w:val="clear" w:color="auto" w:fill="D7D7D7" w:themeFill="background1" w:themeFillShade="D8"/>
                  <w:vAlign w:val="center"/>
                </w:tcPr>
                <w:p w14:paraId="67FD88B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全部生产线投产后产能</w:t>
                  </w:r>
                </w:p>
              </w:tc>
              <w:tc>
                <w:tcPr>
                  <w:tcW w:w="633" w:type="pct"/>
                  <w:shd w:val="clear" w:color="auto" w:fill="D7D7D7" w:themeFill="background1" w:themeFillShade="D8"/>
                  <w:vAlign w:val="center"/>
                </w:tcPr>
                <w:p w14:paraId="3E7BAE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达产后实际排放量t/a</w:t>
                  </w:r>
                </w:p>
              </w:tc>
            </w:tr>
            <w:tr w14:paraId="0BEE4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36639ED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403" w:type="pct"/>
                  <w:vMerge w:val="restart"/>
                  <w:vAlign w:val="center"/>
                </w:tcPr>
                <w:p w14:paraId="6289057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PET生产线</w:t>
                  </w:r>
                </w:p>
              </w:tc>
              <w:tc>
                <w:tcPr>
                  <w:tcW w:w="694" w:type="pct"/>
                  <w:vMerge w:val="restart"/>
                  <w:vAlign w:val="center"/>
                </w:tcPr>
                <w:p w14:paraId="5EE133F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6500t/a</w:t>
                  </w:r>
                </w:p>
              </w:tc>
              <w:tc>
                <w:tcPr>
                  <w:tcW w:w="651" w:type="pct"/>
                  <w:vMerge w:val="restart"/>
                  <w:vAlign w:val="center"/>
                </w:tcPr>
                <w:p w14:paraId="04AAC9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PQ1</w:t>
                  </w:r>
                </w:p>
              </w:tc>
              <w:tc>
                <w:tcPr>
                  <w:tcW w:w="814" w:type="pct"/>
                  <w:vAlign w:val="center"/>
                </w:tcPr>
                <w:p w14:paraId="41FC6B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非甲烷总烃</w:t>
                  </w:r>
                </w:p>
              </w:tc>
              <w:tc>
                <w:tcPr>
                  <w:tcW w:w="632" w:type="pct"/>
                  <w:vAlign w:val="center"/>
                </w:tcPr>
                <w:p w14:paraId="53D44F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0.259</w:t>
                  </w:r>
                </w:p>
              </w:tc>
              <w:tc>
                <w:tcPr>
                  <w:tcW w:w="769" w:type="pct"/>
                  <w:vMerge w:val="restart"/>
                  <w:vAlign w:val="center"/>
                </w:tcPr>
                <w:p w14:paraId="50EF59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13000t/a</w:t>
                  </w:r>
                </w:p>
              </w:tc>
              <w:tc>
                <w:tcPr>
                  <w:tcW w:w="633" w:type="pct"/>
                  <w:vAlign w:val="center"/>
                </w:tcPr>
                <w:p w14:paraId="3A5729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0.518</w:t>
                  </w:r>
                </w:p>
              </w:tc>
            </w:tr>
            <w:tr w14:paraId="71A97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30EB11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403" w:type="pct"/>
                  <w:vMerge w:val="continue"/>
                  <w:vAlign w:val="center"/>
                </w:tcPr>
                <w:p w14:paraId="544F9F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694" w:type="pct"/>
                  <w:vMerge w:val="continue"/>
                  <w:vAlign w:val="center"/>
                </w:tcPr>
                <w:p w14:paraId="689DA4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651" w:type="pct"/>
                  <w:vMerge w:val="continue"/>
                  <w:vAlign w:val="center"/>
                </w:tcPr>
                <w:p w14:paraId="2BE568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814" w:type="pct"/>
                  <w:vAlign w:val="center"/>
                </w:tcPr>
                <w:p w14:paraId="750062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NOx</w:t>
                  </w:r>
                </w:p>
              </w:tc>
              <w:tc>
                <w:tcPr>
                  <w:tcW w:w="632" w:type="pct"/>
                  <w:vAlign w:val="center"/>
                </w:tcPr>
                <w:p w14:paraId="27E124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0.036</w:t>
                  </w:r>
                </w:p>
              </w:tc>
              <w:tc>
                <w:tcPr>
                  <w:tcW w:w="769" w:type="pct"/>
                  <w:vMerge w:val="continue"/>
                  <w:vAlign w:val="center"/>
                </w:tcPr>
                <w:p w14:paraId="7A23A1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p>
              </w:tc>
              <w:tc>
                <w:tcPr>
                  <w:tcW w:w="633" w:type="pct"/>
                  <w:vAlign w:val="center"/>
                </w:tcPr>
                <w:p w14:paraId="09BAC7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0.072</w:t>
                  </w:r>
                </w:p>
              </w:tc>
            </w:tr>
            <w:tr w14:paraId="42A7C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57D8DD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w:t>
                  </w:r>
                </w:p>
              </w:tc>
              <w:tc>
                <w:tcPr>
                  <w:tcW w:w="403" w:type="pct"/>
                  <w:vMerge w:val="restart"/>
                  <w:vAlign w:val="center"/>
                </w:tcPr>
                <w:p w14:paraId="3EDBAD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涂布生产线</w:t>
                  </w:r>
                </w:p>
              </w:tc>
              <w:tc>
                <w:tcPr>
                  <w:tcW w:w="694" w:type="pct"/>
                  <w:vMerge w:val="restart"/>
                  <w:vAlign w:val="center"/>
                </w:tcPr>
                <w:p w14:paraId="139832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10000t/a</w:t>
                  </w:r>
                </w:p>
              </w:tc>
              <w:tc>
                <w:tcPr>
                  <w:tcW w:w="651" w:type="pct"/>
                  <w:vMerge w:val="restart"/>
                  <w:vAlign w:val="center"/>
                </w:tcPr>
                <w:p w14:paraId="2643DE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PQ2</w:t>
                  </w:r>
                </w:p>
              </w:tc>
              <w:tc>
                <w:tcPr>
                  <w:tcW w:w="814" w:type="pct"/>
                  <w:vAlign w:val="center"/>
                </w:tcPr>
                <w:p w14:paraId="1DFF4A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颗粒物</w:t>
                  </w:r>
                  <w:r>
                    <w:rPr>
                      <w:rFonts w:hint="eastAsia" w:ascii="Times New Roman" w:hAnsi="Times New Roman" w:eastAsia="宋体" w:cs="Times New Roman"/>
                      <w:i w:val="0"/>
                      <w:iCs w:val="0"/>
                      <w:color w:val="auto"/>
                      <w:kern w:val="0"/>
                      <w:sz w:val="18"/>
                      <w:szCs w:val="18"/>
                      <w:u w:val="none"/>
                      <w:lang w:val="en-US" w:eastAsia="zh-CN" w:bidi="ar"/>
                    </w:rPr>
                    <w:t>*</w:t>
                  </w:r>
                </w:p>
              </w:tc>
              <w:tc>
                <w:tcPr>
                  <w:tcW w:w="632" w:type="pct"/>
                  <w:vAlign w:val="center"/>
                </w:tcPr>
                <w:p w14:paraId="52EEA2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0.168</w:t>
                  </w:r>
                </w:p>
              </w:tc>
              <w:tc>
                <w:tcPr>
                  <w:tcW w:w="769" w:type="pct"/>
                  <w:vMerge w:val="restart"/>
                  <w:vAlign w:val="center"/>
                </w:tcPr>
                <w:p w14:paraId="384909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12000t/a</w:t>
                  </w:r>
                </w:p>
              </w:tc>
              <w:tc>
                <w:tcPr>
                  <w:tcW w:w="633" w:type="pct"/>
                  <w:vAlign w:val="center"/>
                </w:tcPr>
                <w:p w14:paraId="5E3BF6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0.168</w:t>
                  </w:r>
                </w:p>
              </w:tc>
            </w:tr>
            <w:tr w14:paraId="475BA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5D3C088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403" w:type="pct"/>
                  <w:vMerge w:val="continue"/>
                  <w:vAlign w:val="center"/>
                </w:tcPr>
                <w:p w14:paraId="22A9544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p>
              </w:tc>
              <w:tc>
                <w:tcPr>
                  <w:tcW w:w="694" w:type="pct"/>
                  <w:vMerge w:val="continue"/>
                  <w:vAlign w:val="center"/>
                </w:tcPr>
                <w:p w14:paraId="2404FAE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p>
              </w:tc>
              <w:tc>
                <w:tcPr>
                  <w:tcW w:w="651" w:type="pct"/>
                  <w:vMerge w:val="continue"/>
                  <w:vAlign w:val="center"/>
                </w:tcPr>
                <w:p w14:paraId="3D27C3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p>
              </w:tc>
              <w:tc>
                <w:tcPr>
                  <w:tcW w:w="814" w:type="pct"/>
                  <w:vAlign w:val="center"/>
                </w:tcPr>
                <w:p w14:paraId="2B82C9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SO2</w:t>
                  </w:r>
                  <w:r>
                    <w:rPr>
                      <w:rFonts w:hint="eastAsia" w:ascii="Times New Roman" w:hAnsi="Times New Roman" w:eastAsia="宋体" w:cs="Times New Roman"/>
                      <w:i w:val="0"/>
                      <w:iCs w:val="0"/>
                      <w:color w:val="auto"/>
                      <w:kern w:val="0"/>
                      <w:sz w:val="18"/>
                      <w:szCs w:val="18"/>
                      <w:u w:val="none"/>
                      <w:lang w:val="en-US" w:eastAsia="zh-CN" w:bidi="ar"/>
                    </w:rPr>
                    <w:t>*</w:t>
                  </w:r>
                </w:p>
              </w:tc>
              <w:tc>
                <w:tcPr>
                  <w:tcW w:w="632" w:type="pct"/>
                  <w:vAlign w:val="center"/>
                </w:tcPr>
                <w:p w14:paraId="1D2D4B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0.108</w:t>
                  </w:r>
                </w:p>
              </w:tc>
              <w:tc>
                <w:tcPr>
                  <w:tcW w:w="769" w:type="pct"/>
                  <w:vMerge w:val="continue"/>
                  <w:vAlign w:val="center"/>
                </w:tcPr>
                <w:p w14:paraId="78E0B2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p>
              </w:tc>
              <w:tc>
                <w:tcPr>
                  <w:tcW w:w="633" w:type="pct"/>
                  <w:vAlign w:val="center"/>
                </w:tcPr>
                <w:p w14:paraId="09A987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0.108</w:t>
                  </w:r>
                </w:p>
              </w:tc>
            </w:tr>
            <w:tr w14:paraId="6A85D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69B3172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403" w:type="pct"/>
                  <w:vMerge w:val="continue"/>
                  <w:vAlign w:val="center"/>
                </w:tcPr>
                <w:p w14:paraId="0FDB7BA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94" w:type="pct"/>
                  <w:vMerge w:val="continue"/>
                  <w:vAlign w:val="center"/>
                </w:tcPr>
                <w:p w14:paraId="4F02017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51" w:type="pct"/>
                  <w:vMerge w:val="continue"/>
                  <w:vAlign w:val="center"/>
                </w:tcPr>
                <w:p w14:paraId="677B239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814" w:type="pct"/>
                  <w:vAlign w:val="center"/>
                </w:tcPr>
                <w:p w14:paraId="2EF1E7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NOx</w:t>
                  </w:r>
                  <w:r>
                    <w:rPr>
                      <w:rFonts w:hint="eastAsia" w:ascii="Times New Roman" w:hAnsi="Times New Roman" w:eastAsia="宋体" w:cs="Times New Roman"/>
                      <w:i w:val="0"/>
                      <w:iCs w:val="0"/>
                      <w:color w:val="auto"/>
                      <w:kern w:val="0"/>
                      <w:sz w:val="18"/>
                      <w:szCs w:val="18"/>
                      <w:u w:val="none"/>
                      <w:lang w:val="en-US" w:eastAsia="zh-CN" w:bidi="ar"/>
                    </w:rPr>
                    <w:t>*</w:t>
                  </w:r>
                </w:p>
              </w:tc>
              <w:tc>
                <w:tcPr>
                  <w:tcW w:w="632" w:type="pct"/>
                  <w:vAlign w:val="center"/>
                </w:tcPr>
                <w:p w14:paraId="21C1A2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0.072</w:t>
                  </w:r>
                </w:p>
              </w:tc>
              <w:tc>
                <w:tcPr>
                  <w:tcW w:w="769" w:type="pct"/>
                  <w:vMerge w:val="continue"/>
                  <w:vAlign w:val="center"/>
                </w:tcPr>
                <w:p w14:paraId="057DA4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p>
              </w:tc>
              <w:tc>
                <w:tcPr>
                  <w:tcW w:w="633" w:type="pct"/>
                  <w:vAlign w:val="center"/>
                </w:tcPr>
                <w:p w14:paraId="4BF646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0.072</w:t>
                  </w:r>
                </w:p>
              </w:tc>
            </w:tr>
            <w:tr w14:paraId="4A4FA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33FAB1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403" w:type="pct"/>
                  <w:vMerge w:val="continue"/>
                  <w:vAlign w:val="center"/>
                </w:tcPr>
                <w:p w14:paraId="08DE29C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94" w:type="pct"/>
                  <w:vMerge w:val="continue"/>
                  <w:vAlign w:val="center"/>
                </w:tcPr>
                <w:p w14:paraId="3B93D82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51" w:type="pct"/>
                  <w:vMerge w:val="continue"/>
                  <w:vAlign w:val="center"/>
                </w:tcPr>
                <w:p w14:paraId="2279574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814" w:type="pct"/>
                  <w:vAlign w:val="center"/>
                </w:tcPr>
                <w:p w14:paraId="3B62C4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非甲烷总烃</w:t>
                  </w:r>
                </w:p>
              </w:tc>
              <w:tc>
                <w:tcPr>
                  <w:tcW w:w="632" w:type="pct"/>
                  <w:vAlign w:val="center"/>
                </w:tcPr>
                <w:p w14:paraId="48FC64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0.13</w:t>
                  </w:r>
                </w:p>
              </w:tc>
              <w:tc>
                <w:tcPr>
                  <w:tcW w:w="769" w:type="pct"/>
                  <w:vMerge w:val="continue"/>
                  <w:vAlign w:val="center"/>
                </w:tcPr>
                <w:p w14:paraId="1A3F29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p>
              </w:tc>
              <w:tc>
                <w:tcPr>
                  <w:tcW w:w="633" w:type="pct"/>
                  <w:vAlign w:val="center"/>
                </w:tcPr>
                <w:p w14:paraId="711002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0.156</w:t>
                  </w:r>
                </w:p>
              </w:tc>
            </w:tr>
            <w:tr w14:paraId="4671D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6C5572C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w:t>
                  </w:r>
                </w:p>
              </w:tc>
              <w:tc>
                <w:tcPr>
                  <w:tcW w:w="403" w:type="pct"/>
                  <w:vMerge w:val="continue"/>
                  <w:vAlign w:val="center"/>
                </w:tcPr>
                <w:p w14:paraId="3E109B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94" w:type="pct"/>
                  <w:vMerge w:val="continue"/>
                  <w:vAlign w:val="center"/>
                </w:tcPr>
                <w:p w14:paraId="447347F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51" w:type="pct"/>
                  <w:vMerge w:val="continue"/>
                  <w:vAlign w:val="center"/>
                </w:tcPr>
                <w:p w14:paraId="2CE64A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814" w:type="pct"/>
                  <w:vAlign w:val="center"/>
                </w:tcPr>
                <w:p w14:paraId="2266C3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乙酸乙酯</w:t>
                  </w:r>
                </w:p>
              </w:tc>
              <w:tc>
                <w:tcPr>
                  <w:tcW w:w="632" w:type="pct"/>
                  <w:vAlign w:val="center"/>
                </w:tcPr>
                <w:p w14:paraId="2C43A8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0.0001</w:t>
                  </w:r>
                </w:p>
              </w:tc>
              <w:tc>
                <w:tcPr>
                  <w:tcW w:w="769" w:type="pct"/>
                  <w:vMerge w:val="continue"/>
                  <w:vAlign w:val="center"/>
                </w:tcPr>
                <w:p w14:paraId="136527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p>
              </w:tc>
              <w:tc>
                <w:tcPr>
                  <w:tcW w:w="633" w:type="pct"/>
                  <w:vAlign w:val="center"/>
                </w:tcPr>
                <w:p w14:paraId="7EDED6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0.00012</w:t>
                  </w:r>
                </w:p>
              </w:tc>
            </w:tr>
            <w:tr w14:paraId="0D561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7C6EC20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403" w:type="pct"/>
                  <w:vMerge w:val="continue"/>
                  <w:vAlign w:val="center"/>
                </w:tcPr>
                <w:p w14:paraId="056CE4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94" w:type="pct"/>
                  <w:vMerge w:val="continue"/>
                  <w:vAlign w:val="center"/>
                </w:tcPr>
                <w:p w14:paraId="690251A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51" w:type="pct"/>
                  <w:vMerge w:val="continue"/>
                  <w:vAlign w:val="center"/>
                </w:tcPr>
                <w:p w14:paraId="4683675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814" w:type="pct"/>
                  <w:vAlign w:val="center"/>
                </w:tcPr>
                <w:p w14:paraId="6517E5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甲苯</w:t>
                  </w:r>
                </w:p>
              </w:tc>
              <w:tc>
                <w:tcPr>
                  <w:tcW w:w="632" w:type="pct"/>
                  <w:vAlign w:val="center"/>
                </w:tcPr>
                <w:p w14:paraId="65C935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0.0001</w:t>
                  </w:r>
                </w:p>
              </w:tc>
              <w:tc>
                <w:tcPr>
                  <w:tcW w:w="769" w:type="pct"/>
                  <w:vMerge w:val="continue"/>
                  <w:vAlign w:val="center"/>
                </w:tcPr>
                <w:p w14:paraId="1B1FCB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p>
              </w:tc>
              <w:tc>
                <w:tcPr>
                  <w:tcW w:w="633" w:type="pct"/>
                  <w:vAlign w:val="center"/>
                </w:tcPr>
                <w:p w14:paraId="2A02CC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0.00012</w:t>
                  </w:r>
                </w:p>
              </w:tc>
            </w:tr>
            <w:tr w14:paraId="42CA6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3E928EE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w:t>
                  </w:r>
                </w:p>
              </w:tc>
              <w:tc>
                <w:tcPr>
                  <w:tcW w:w="403" w:type="pct"/>
                  <w:vMerge w:val="continue"/>
                  <w:vAlign w:val="center"/>
                </w:tcPr>
                <w:p w14:paraId="428C83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94" w:type="pct"/>
                  <w:vMerge w:val="continue"/>
                  <w:vAlign w:val="center"/>
                </w:tcPr>
                <w:p w14:paraId="0602355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651" w:type="pct"/>
                  <w:vMerge w:val="continue"/>
                  <w:vAlign w:val="center"/>
                </w:tcPr>
                <w:p w14:paraId="4C1DE0F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p>
              </w:tc>
              <w:tc>
                <w:tcPr>
                  <w:tcW w:w="814" w:type="pct"/>
                  <w:vAlign w:val="center"/>
                </w:tcPr>
                <w:p w14:paraId="0ED114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丁酮</w:t>
                  </w:r>
                </w:p>
              </w:tc>
              <w:tc>
                <w:tcPr>
                  <w:tcW w:w="632" w:type="pct"/>
                  <w:vAlign w:val="center"/>
                </w:tcPr>
                <w:p w14:paraId="5E1CF0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0.0096</w:t>
                  </w:r>
                </w:p>
              </w:tc>
              <w:tc>
                <w:tcPr>
                  <w:tcW w:w="769" w:type="pct"/>
                  <w:vMerge w:val="continue"/>
                  <w:vAlign w:val="center"/>
                </w:tcPr>
                <w:p w14:paraId="7042D8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p>
              </w:tc>
              <w:tc>
                <w:tcPr>
                  <w:tcW w:w="633" w:type="pct"/>
                  <w:vAlign w:val="center"/>
                </w:tcPr>
                <w:p w14:paraId="5D5101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0.01152</w:t>
                  </w:r>
                </w:p>
              </w:tc>
            </w:tr>
            <w:tr w14:paraId="47FDA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2" w:type="pct"/>
                  <w:vAlign w:val="center"/>
                </w:tcPr>
                <w:p w14:paraId="67F277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403" w:type="pct"/>
                  <w:vAlign w:val="center"/>
                </w:tcPr>
                <w:p w14:paraId="2500AC1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危废仓库</w:t>
                  </w:r>
                </w:p>
              </w:tc>
              <w:tc>
                <w:tcPr>
                  <w:tcW w:w="694" w:type="pct"/>
                  <w:vAlign w:val="center"/>
                </w:tcPr>
                <w:p w14:paraId="02505FD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51" w:type="pct"/>
                  <w:vAlign w:val="center"/>
                </w:tcPr>
                <w:p w14:paraId="7F556F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PQ3</w:t>
                  </w:r>
                </w:p>
              </w:tc>
              <w:tc>
                <w:tcPr>
                  <w:tcW w:w="814" w:type="pct"/>
                  <w:vAlign w:val="center"/>
                </w:tcPr>
                <w:p w14:paraId="170AD3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非甲烷总烃</w:t>
                  </w:r>
                </w:p>
              </w:tc>
              <w:tc>
                <w:tcPr>
                  <w:tcW w:w="632" w:type="pct"/>
                  <w:vAlign w:val="center"/>
                </w:tcPr>
                <w:p w14:paraId="45ABA9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769" w:type="pct"/>
                  <w:vAlign w:val="center"/>
                </w:tcPr>
                <w:p w14:paraId="7F244A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p>
              </w:tc>
              <w:tc>
                <w:tcPr>
                  <w:tcW w:w="633" w:type="pct"/>
                  <w:vAlign w:val="center"/>
                </w:tcPr>
                <w:p w14:paraId="4443D7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w:t>
                  </w:r>
                </w:p>
              </w:tc>
            </w:tr>
          </w:tbl>
          <w:p w14:paraId="2696B0C6">
            <w:pPr>
              <w:spacing w:line="240" w:lineRule="auto"/>
              <w:ind w:left="0" w:leftChars="0" w:firstLine="0" w:firstLineChars="0"/>
              <w:jc w:val="both"/>
              <w:rPr>
                <w:rFonts w:hint="default" w:eastAsia="宋体" w:cs="Times New Roman"/>
                <w:b/>
                <w:bCs w:val="0"/>
                <w:color w:val="auto"/>
                <w:sz w:val="18"/>
                <w:szCs w:val="18"/>
                <w:lang w:val="en-US" w:eastAsia="zh-CN"/>
              </w:rPr>
            </w:pPr>
            <w:r>
              <w:rPr>
                <w:rFonts w:hint="eastAsia" w:cs="Times New Roman"/>
                <w:b/>
                <w:bCs w:val="0"/>
                <w:color w:val="auto"/>
                <w:sz w:val="18"/>
                <w:szCs w:val="18"/>
                <w:lang w:val="en-US" w:eastAsia="zh-CN"/>
              </w:rPr>
              <w:t>注：</w:t>
            </w:r>
            <w:r>
              <w:rPr>
                <w:rFonts w:hint="default" w:ascii="Times New Roman" w:hAnsi="Times New Roman" w:eastAsia="宋体" w:cs="Times New Roman"/>
                <w:b/>
                <w:bCs w:val="0"/>
                <w:i w:val="0"/>
                <w:iCs w:val="0"/>
                <w:color w:val="auto"/>
                <w:kern w:val="0"/>
                <w:sz w:val="18"/>
                <w:szCs w:val="18"/>
                <w:u w:val="none"/>
                <w:lang w:val="en-US" w:eastAsia="zh-CN" w:bidi="ar"/>
              </w:rPr>
              <w:t>颗粒物</w:t>
            </w:r>
            <w:r>
              <w:rPr>
                <w:rFonts w:hint="eastAsia" w:cs="Times New Roman"/>
                <w:b/>
                <w:bCs w:val="0"/>
                <w:i w:val="0"/>
                <w:iCs w:val="0"/>
                <w:color w:val="auto"/>
                <w:kern w:val="0"/>
                <w:sz w:val="18"/>
                <w:szCs w:val="18"/>
                <w:u w:val="none"/>
                <w:lang w:val="en-US" w:eastAsia="zh-CN" w:bidi="ar"/>
              </w:rPr>
              <w:t>、二氧化硫、氮氧化物来源于RTO燃烧室天然气助燃废气。</w:t>
            </w:r>
          </w:p>
          <w:p w14:paraId="3B218DFB">
            <w:pPr>
              <w:spacing w:line="240" w:lineRule="auto"/>
              <w:ind w:firstLine="422"/>
              <w:jc w:val="center"/>
              <w:rPr>
                <w:rFonts w:cs="Times New Roman"/>
                <w:b/>
                <w:color w:val="auto"/>
              </w:rPr>
            </w:pPr>
            <w:r>
              <w:rPr>
                <w:rFonts w:cs="Times New Roman"/>
                <w:b/>
                <w:color w:val="auto"/>
              </w:rPr>
              <w:t>表</w:t>
            </w:r>
            <w:r>
              <w:rPr>
                <w:rFonts w:hint="eastAsia" w:cs="Times New Roman"/>
                <w:b/>
                <w:color w:val="auto"/>
              </w:rPr>
              <w:t>2-</w:t>
            </w:r>
            <w:r>
              <w:rPr>
                <w:rFonts w:hint="eastAsia" w:cs="Times New Roman"/>
                <w:b/>
                <w:color w:val="auto"/>
                <w:lang w:val="en-US" w:eastAsia="zh-CN"/>
              </w:rPr>
              <w:t xml:space="preserve">17 </w:t>
            </w:r>
            <w:r>
              <w:rPr>
                <w:rFonts w:cs="Times New Roman"/>
                <w:b/>
                <w:color w:val="auto"/>
              </w:rPr>
              <w:t>现有</w:t>
            </w:r>
            <w:r>
              <w:rPr>
                <w:rFonts w:hint="eastAsia" w:cs="Times New Roman"/>
                <w:b/>
                <w:color w:val="auto"/>
              </w:rPr>
              <w:t>已建</w:t>
            </w:r>
            <w:r>
              <w:rPr>
                <w:rFonts w:cs="Times New Roman"/>
                <w:b/>
                <w:color w:val="auto"/>
              </w:rPr>
              <w:t>项目污染物排放</w:t>
            </w:r>
            <w:r>
              <w:rPr>
                <w:rFonts w:hint="eastAsia" w:cs="Times New Roman"/>
                <w:b/>
                <w:color w:val="auto"/>
              </w:rPr>
              <w:t>情况表单位：t/a</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92"/>
              <w:gridCol w:w="1360"/>
              <w:gridCol w:w="2641"/>
              <w:gridCol w:w="2174"/>
              <w:gridCol w:w="4"/>
            </w:tblGrid>
            <w:tr w14:paraId="586AE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9" w:type="pct"/>
                  <w:shd w:val="clear" w:color="auto" w:fill="D7D7D7" w:themeFill="background1" w:themeFillShade="D8"/>
                  <w:noWrap/>
                  <w:tcMar>
                    <w:top w:w="15" w:type="dxa"/>
                    <w:left w:w="15" w:type="dxa"/>
                    <w:bottom w:w="0" w:type="dxa"/>
                    <w:right w:w="15" w:type="dxa"/>
                  </w:tcMar>
                  <w:vAlign w:val="center"/>
                </w:tcPr>
                <w:p w14:paraId="244EB559">
                  <w:pPr>
                    <w:pStyle w:val="24"/>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类别</w:t>
                  </w:r>
                </w:p>
              </w:tc>
              <w:tc>
                <w:tcPr>
                  <w:tcW w:w="812" w:type="pct"/>
                  <w:shd w:val="clear" w:color="auto" w:fill="D7D7D7" w:themeFill="background1" w:themeFillShade="D8"/>
                  <w:vAlign w:val="center"/>
                </w:tcPr>
                <w:p w14:paraId="6700D74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w:t>
                  </w:r>
                </w:p>
              </w:tc>
              <w:tc>
                <w:tcPr>
                  <w:tcW w:w="1577" w:type="pct"/>
                  <w:shd w:val="clear" w:color="auto" w:fill="D7D7D7" w:themeFill="background1" w:themeFillShade="D8"/>
                  <w:vAlign w:val="center"/>
                </w:tcPr>
                <w:p w14:paraId="0E6BB88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实际排放量</w:t>
                  </w:r>
                </w:p>
              </w:tc>
              <w:tc>
                <w:tcPr>
                  <w:tcW w:w="1300" w:type="pct"/>
                  <w:gridSpan w:val="2"/>
                  <w:shd w:val="clear" w:color="auto" w:fill="D7D7D7" w:themeFill="background1" w:themeFillShade="D8"/>
                  <w:vAlign w:val="center"/>
                </w:tcPr>
                <w:p w14:paraId="00CB4145">
                  <w:pPr>
                    <w:pStyle w:val="24"/>
                    <w:keepNext w:val="0"/>
                    <w:keepLines w:val="0"/>
                    <w:pageBreakBefore w:val="0"/>
                    <w:kinsoku/>
                    <w:wordWrap/>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环评批复量</w:t>
                  </w:r>
                </w:p>
              </w:tc>
            </w:tr>
            <w:tr w14:paraId="0D2E5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90" w:hRule="atLeast"/>
                <w:jc w:val="center"/>
              </w:trPr>
              <w:tc>
                <w:tcPr>
                  <w:tcW w:w="1309" w:type="pct"/>
                  <w:vMerge w:val="restart"/>
                  <w:noWrap/>
                  <w:tcMar>
                    <w:top w:w="15" w:type="dxa"/>
                    <w:left w:w="15" w:type="dxa"/>
                    <w:bottom w:w="0" w:type="dxa"/>
                    <w:right w:w="15" w:type="dxa"/>
                  </w:tcMar>
                  <w:vAlign w:val="center"/>
                </w:tcPr>
                <w:p w14:paraId="46783654">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有组织废气</w:t>
                  </w:r>
                </w:p>
              </w:tc>
              <w:tc>
                <w:tcPr>
                  <w:tcW w:w="1360" w:type="dxa"/>
                  <w:vAlign w:val="center"/>
                </w:tcPr>
                <w:p w14:paraId="689460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颗粒物</w:t>
                  </w:r>
                </w:p>
              </w:tc>
              <w:tc>
                <w:tcPr>
                  <w:tcW w:w="2641" w:type="dxa"/>
                  <w:vAlign w:val="bottom"/>
                </w:tcPr>
                <w:p w14:paraId="67A05989">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0.168</w:t>
                  </w:r>
                </w:p>
              </w:tc>
              <w:tc>
                <w:tcPr>
                  <w:tcW w:w="1298" w:type="pct"/>
                  <w:vAlign w:val="center"/>
                </w:tcPr>
                <w:p w14:paraId="759949F5">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0.259</w:t>
                  </w:r>
                </w:p>
              </w:tc>
            </w:tr>
            <w:tr w14:paraId="02D05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0E20A360">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1360" w:type="dxa"/>
                  <w:vAlign w:val="center"/>
                </w:tcPr>
                <w:p w14:paraId="493B5F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SO₂</w:t>
                  </w:r>
                </w:p>
              </w:tc>
              <w:tc>
                <w:tcPr>
                  <w:tcW w:w="2641" w:type="dxa"/>
                  <w:vAlign w:val="bottom"/>
                </w:tcPr>
                <w:p w14:paraId="445DDD45">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0.108</w:t>
                  </w:r>
                </w:p>
              </w:tc>
              <w:tc>
                <w:tcPr>
                  <w:tcW w:w="1298" w:type="pct"/>
                  <w:vAlign w:val="center"/>
                </w:tcPr>
                <w:p w14:paraId="1CB9BC14">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0.12</w:t>
                  </w:r>
                </w:p>
              </w:tc>
            </w:tr>
            <w:tr w14:paraId="1527E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49E3EB8B">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1360" w:type="dxa"/>
                  <w:vAlign w:val="center"/>
                </w:tcPr>
                <w:p w14:paraId="4C2A46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NOx</w:t>
                  </w:r>
                </w:p>
              </w:tc>
              <w:tc>
                <w:tcPr>
                  <w:tcW w:w="2641" w:type="dxa"/>
                  <w:vAlign w:val="bottom"/>
                </w:tcPr>
                <w:p w14:paraId="0BE9C5E0">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0.144</w:t>
                  </w:r>
                </w:p>
              </w:tc>
              <w:tc>
                <w:tcPr>
                  <w:tcW w:w="1298" w:type="pct"/>
                  <w:vAlign w:val="center"/>
                </w:tcPr>
                <w:p w14:paraId="5672300A">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0.505</w:t>
                  </w:r>
                </w:p>
              </w:tc>
            </w:tr>
            <w:tr w14:paraId="67286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741E66D1">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1360" w:type="dxa"/>
                  <w:vAlign w:val="center"/>
                </w:tcPr>
                <w:p w14:paraId="31858A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乙酸乙酯</w:t>
                  </w:r>
                </w:p>
              </w:tc>
              <w:tc>
                <w:tcPr>
                  <w:tcW w:w="2641" w:type="dxa"/>
                  <w:vAlign w:val="center"/>
                </w:tcPr>
                <w:p w14:paraId="7D21DC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0.00012</w:t>
                  </w:r>
                </w:p>
              </w:tc>
              <w:tc>
                <w:tcPr>
                  <w:tcW w:w="1298" w:type="pct"/>
                  <w:vAlign w:val="center"/>
                </w:tcPr>
                <w:p w14:paraId="6FD8285A">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5.851</w:t>
                  </w:r>
                </w:p>
              </w:tc>
            </w:tr>
            <w:tr w14:paraId="5E437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53F220DF">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1360" w:type="dxa"/>
                  <w:vAlign w:val="center"/>
                </w:tcPr>
                <w:p w14:paraId="6EAF3A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甲苯</w:t>
                  </w:r>
                </w:p>
              </w:tc>
              <w:tc>
                <w:tcPr>
                  <w:tcW w:w="2641" w:type="dxa"/>
                  <w:vAlign w:val="center"/>
                </w:tcPr>
                <w:p w14:paraId="065C60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0.00012</w:t>
                  </w:r>
                </w:p>
              </w:tc>
              <w:tc>
                <w:tcPr>
                  <w:tcW w:w="1298" w:type="pct"/>
                  <w:vAlign w:val="center"/>
                </w:tcPr>
                <w:p w14:paraId="1F1407FB">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0.318</w:t>
                  </w:r>
                </w:p>
              </w:tc>
            </w:tr>
            <w:tr w14:paraId="2B53C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13D9117C">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1360" w:type="dxa"/>
                  <w:vAlign w:val="center"/>
                </w:tcPr>
                <w:p w14:paraId="6DD089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丁酮</w:t>
                  </w:r>
                </w:p>
              </w:tc>
              <w:tc>
                <w:tcPr>
                  <w:tcW w:w="2641" w:type="dxa"/>
                  <w:vAlign w:val="center"/>
                </w:tcPr>
                <w:p w14:paraId="6142E1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0.01152</w:t>
                  </w:r>
                </w:p>
              </w:tc>
              <w:tc>
                <w:tcPr>
                  <w:tcW w:w="1298" w:type="pct"/>
                  <w:vAlign w:val="center"/>
                </w:tcPr>
                <w:p w14:paraId="5B209716">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0.318</w:t>
                  </w:r>
                </w:p>
              </w:tc>
            </w:tr>
            <w:tr w14:paraId="5765A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3AF60782">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1360" w:type="dxa"/>
                  <w:vAlign w:val="center"/>
                </w:tcPr>
                <w:p w14:paraId="1AB63D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VOCs</w:t>
                  </w:r>
                </w:p>
              </w:tc>
              <w:tc>
                <w:tcPr>
                  <w:tcW w:w="2641" w:type="dxa"/>
                  <w:vAlign w:val="center"/>
                </w:tcPr>
                <w:p w14:paraId="5C5FA0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0.69576</w:t>
                  </w:r>
                </w:p>
              </w:tc>
              <w:tc>
                <w:tcPr>
                  <w:tcW w:w="1298" w:type="pct"/>
                  <w:vAlign w:val="center"/>
                </w:tcPr>
                <w:p w14:paraId="5BA395B0">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color w:val="auto"/>
                      <w:kern w:val="2"/>
                      <w:sz w:val="18"/>
                      <w:szCs w:val="18"/>
                      <w:lang w:val="en-US" w:eastAsia="zh-CN"/>
                    </w:rPr>
                    <w:t>14.175</w:t>
                  </w:r>
                </w:p>
              </w:tc>
            </w:tr>
            <w:tr w14:paraId="1D1FF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restart"/>
                  <w:noWrap/>
                  <w:tcMar>
                    <w:top w:w="15" w:type="dxa"/>
                    <w:left w:w="15" w:type="dxa"/>
                    <w:bottom w:w="0" w:type="dxa"/>
                    <w:right w:w="15" w:type="dxa"/>
                  </w:tcMar>
                  <w:vAlign w:val="center"/>
                </w:tcPr>
                <w:p w14:paraId="226B91D9">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废水（接管量）</w:t>
                  </w:r>
                </w:p>
              </w:tc>
              <w:tc>
                <w:tcPr>
                  <w:tcW w:w="812" w:type="pct"/>
                  <w:vAlign w:val="center"/>
                </w:tcPr>
                <w:p w14:paraId="13C706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废水量</w:t>
                  </w:r>
                </w:p>
              </w:tc>
              <w:tc>
                <w:tcPr>
                  <w:tcW w:w="1577" w:type="pct"/>
                  <w:vAlign w:val="center"/>
                </w:tcPr>
                <w:p w14:paraId="55514014">
                  <w:pPr>
                    <w:pStyle w:val="175"/>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14848</w:t>
                  </w:r>
                </w:p>
              </w:tc>
              <w:tc>
                <w:tcPr>
                  <w:tcW w:w="1298" w:type="pct"/>
                  <w:vAlign w:val="center"/>
                </w:tcPr>
                <w:p w14:paraId="291428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15386</w:t>
                  </w:r>
                </w:p>
              </w:tc>
            </w:tr>
            <w:tr w14:paraId="12855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708C0AB1">
                  <w:pPr>
                    <w:pStyle w:val="176"/>
                    <w:keepNext w:val="0"/>
                    <w:keepLines w:val="0"/>
                    <w:pageBreakBefore w:val="0"/>
                    <w:widowControl w:val="0"/>
                    <w:pBdr>
                      <w:bottom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812" w:type="pct"/>
                  <w:vAlign w:val="center"/>
                </w:tcPr>
                <w:p w14:paraId="4783217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p>
              </w:tc>
              <w:tc>
                <w:tcPr>
                  <w:tcW w:w="1577" w:type="pct"/>
                  <w:vAlign w:val="center"/>
                </w:tcPr>
                <w:p w14:paraId="0CA77A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1.114</w:t>
                  </w:r>
                </w:p>
              </w:tc>
              <w:tc>
                <w:tcPr>
                  <w:tcW w:w="1298" w:type="pct"/>
                  <w:vAlign w:val="center"/>
                </w:tcPr>
                <w:p w14:paraId="101D955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3"/>
                      <w:sz w:val="18"/>
                      <w:szCs w:val="18"/>
                      <w:lang w:val="en-US" w:eastAsia="zh-CN"/>
                    </w:rPr>
                    <w:t>3.52</w:t>
                  </w:r>
                </w:p>
              </w:tc>
            </w:tr>
            <w:tr w14:paraId="45699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7C732E2D">
                  <w:pPr>
                    <w:pStyle w:val="176"/>
                    <w:keepNext w:val="0"/>
                    <w:keepLines w:val="0"/>
                    <w:pageBreakBefore w:val="0"/>
                    <w:widowControl w:val="0"/>
                    <w:pBdr>
                      <w:bottom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812" w:type="pct"/>
                  <w:vAlign w:val="center"/>
                </w:tcPr>
                <w:p w14:paraId="69BF653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氨氮</w:t>
                  </w:r>
                </w:p>
              </w:tc>
              <w:tc>
                <w:tcPr>
                  <w:tcW w:w="1577" w:type="pct"/>
                  <w:vAlign w:val="center"/>
                </w:tcPr>
                <w:p w14:paraId="6E99D1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0.023</w:t>
                  </w:r>
                </w:p>
              </w:tc>
              <w:tc>
                <w:tcPr>
                  <w:tcW w:w="1298" w:type="pct"/>
                  <w:vAlign w:val="center"/>
                </w:tcPr>
                <w:p w14:paraId="1E091C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2"/>
                      <w:sz w:val="18"/>
                      <w:szCs w:val="18"/>
                      <w:lang w:val="en-US" w:eastAsia="zh-CN"/>
                    </w:rPr>
                    <w:t>0.137</w:t>
                  </w:r>
                </w:p>
              </w:tc>
            </w:tr>
            <w:tr w14:paraId="024B2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51F3563D">
                  <w:pPr>
                    <w:pStyle w:val="176"/>
                    <w:keepNext w:val="0"/>
                    <w:keepLines w:val="0"/>
                    <w:pageBreakBefore w:val="0"/>
                    <w:widowControl w:val="0"/>
                    <w:pBdr>
                      <w:bottom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812" w:type="pct"/>
                  <w:vAlign w:val="center"/>
                </w:tcPr>
                <w:p w14:paraId="7F4040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总氮</w:t>
                  </w:r>
                </w:p>
              </w:tc>
              <w:tc>
                <w:tcPr>
                  <w:tcW w:w="1577" w:type="pct"/>
                  <w:vAlign w:val="center"/>
                </w:tcPr>
                <w:p w14:paraId="5EF9F5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0.066 </w:t>
                  </w:r>
                </w:p>
              </w:tc>
              <w:tc>
                <w:tcPr>
                  <w:tcW w:w="1298" w:type="pct"/>
                  <w:vAlign w:val="center"/>
                </w:tcPr>
                <w:p w14:paraId="3656E4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0.282 </w:t>
                  </w:r>
                </w:p>
              </w:tc>
            </w:tr>
            <w:tr w14:paraId="6F48C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1" w:type="pct"/>
                <w:trHeight w:val="23" w:hRule="atLeast"/>
                <w:jc w:val="center"/>
              </w:trPr>
              <w:tc>
                <w:tcPr>
                  <w:tcW w:w="1309" w:type="pct"/>
                  <w:vMerge w:val="continue"/>
                  <w:noWrap/>
                  <w:tcMar>
                    <w:top w:w="15" w:type="dxa"/>
                    <w:left w:w="15" w:type="dxa"/>
                    <w:bottom w:w="0" w:type="dxa"/>
                    <w:right w:w="15" w:type="dxa"/>
                  </w:tcMar>
                  <w:vAlign w:val="center"/>
                </w:tcPr>
                <w:p w14:paraId="638DC280">
                  <w:pPr>
                    <w:pStyle w:val="176"/>
                    <w:keepNext w:val="0"/>
                    <w:keepLines w:val="0"/>
                    <w:pageBreakBefore w:val="0"/>
                    <w:widowControl w:val="0"/>
                    <w:pBdr>
                      <w:bottom w:val="none" w:color="auto" w:sz="0" w:space="0"/>
                    </w:pBdr>
                    <w:kinsoku/>
                    <w:wordWrap/>
                    <w:overflowPunct/>
                    <w:topLinePunct w:val="0"/>
                    <w:autoSpaceDE/>
                    <w:autoSpaceDN/>
                    <w:bidi w:val="0"/>
                    <w:adjustRightInd w:val="0"/>
                    <w:snapToGrid w:val="0"/>
                    <w:spacing w:before="0" w:beforeAutospacing="0" w:after="0" w:afterAutospacing="0" w:line="240" w:lineRule="auto"/>
                    <w:ind w:firstLine="0" w:firstLineChars="0"/>
                    <w:rPr>
                      <w:rFonts w:hint="default" w:ascii="Times New Roman" w:hAnsi="Times New Roman" w:eastAsia="宋体" w:cs="Times New Roman"/>
                      <w:color w:val="auto"/>
                      <w:kern w:val="2"/>
                      <w:sz w:val="18"/>
                      <w:szCs w:val="18"/>
                    </w:rPr>
                  </w:pPr>
                </w:p>
              </w:tc>
              <w:tc>
                <w:tcPr>
                  <w:tcW w:w="812" w:type="pct"/>
                  <w:vAlign w:val="center"/>
                </w:tcPr>
                <w:p w14:paraId="506B85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总磷</w:t>
                  </w:r>
                </w:p>
              </w:tc>
              <w:tc>
                <w:tcPr>
                  <w:tcW w:w="1577" w:type="pct"/>
                  <w:vAlign w:val="center"/>
                </w:tcPr>
                <w:p w14:paraId="47DB90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0.0009 </w:t>
                  </w:r>
                </w:p>
              </w:tc>
              <w:tc>
                <w:tcPr>
                  <w:tcW w:w="1298" w:type="pct"/>
                  <w:vAlign w:val="center"/>
                </w:tcPr>
                <w:p w14:paraId="4D4802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r>
          </w:tbl>
          <w:p w14:paraId="3B37DE17">
            <w:pPr>
              <w:ind w:firstLine="422"/>
              <w:rPr>
                <w:b/>
                <w:bCs/>
                <w:color w:val="auto"/>
              </w:rPr>
            </w:pPr>
            <w:r>
              <w:rPr>
                <w:rFonts w:hint="eastAsia"/>
                <w:b/>
                <w:bCs/>
                <w:color w:val="auto"/>
              </w:rPr>
              <w:t>4、现有项目存在的问题及解决方案</w:t>
            </w:r>
          </w:p>
          <w:p w14:paraId="0E18384E">
            <w:pPr>
              <w:ind w:firstLine="420"/>
              <w:rPr>
                <w:rFonts w:hint="default"/>
                <w:color w:val="auto"/>
                <w:lang w:val="en-US" w:eastAsia="zh-CN"/>
              </w:rPr>
            </w:pPr>
            <w:r>
              <w:rPr>
                <w:rFonts w:hint="eastAsia"/>
                <w:color w:val="auto"/>
                <w:lang w:val="en-US" w:eastAsia="zh-CN"/>
              </w:rPr>
              <w:t>经排查，建设单位危废仓库所在的P3排气筒未纳入排污许可证管理，应尽快完善排污许可手续。PQ1排气筒未检测颗粒物，应按要求每年至少检测一次。</w:t>
            </w:r>
          </w:p>
        </w:tc>
      </w:tr>
    </w:tbl>
    <w:p w14:paraId="4432A69C">
      <w:pPr>
        <w:ind w:firstLine="420"/>
        <w:rPr>
          <w:color w:val="auto"/>
        </w:rPr>
        <w:sectPr>
          <w:footerReference r:id="rId12" w:type="default"/>
          <w:pgSz w:w="11906" w:h="16838"/>
          <w:pgMar w:top="1418" w:right="1418" w:bottom="1418" w:left="1418" w:header="851" w:footer="851" w:gutter="284"/>
          <w:pgBorders>
            <w:top w:val="none" w:sz="0" w:space="0"/>
            <w:left w:val="none" w:sz="0" w:space="0"/>
            <w:bottom w:val="none" w:sz="0" w:space="0"/>
            <w:right w:val="none" w:sz="0" w:space="0"/>
          </w:pgBorders>
          <w:cols w:space="720" w:num="1"/>
          <w:docGrid w:linePitch="312" w:charSpace="0"/>
        </w:sectPr>
      </w:pPr>
    </w:p>
    <w:p w14:paraId="6CF72834">
      <w:pPr>
        <w:pStyle w:val="3"/>
        <w:ind w:firstLine="602"/>
        <w:rPr>
          <w:color w:val="auto"/>
        </w:rPr>
      </w:pPr>
      <w:r>
        <w:rPr>
          <w:color w:val="auto"/>
        </w:rPr>
        <w:t>三、区域环境质量现状、环境保护目标及评价标准</w:t>
      </w:r>
    </w:p>
    <w:tbl>
      <w:tblPr>
        <w:tblStyle w:val="30"/>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735"/>
      </w:tblGrid>
      <w:tr w14:paraId="440BB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Align w:val="center"/>
          </w:tcPr>
          <w:p w14:paraId="60CE40E2">
            <w:pPr>
              <w:pStyle w:val="75"/>
              <w:rPr>
                <w:color w:val="auto"/>
              </w:rPr>
            </w:pPr>
            <w:r>
              <w:rPr>
                <w:color w:val="auto"/>
              </w:rPr>
              <w:t>区域</w:t>
            </w:r>
          </w:p>
          <w:p w14:paraId="639C10D1">
            <w:pPr>
              <w:pStyle w:val="75"/>
              <w:rPr>
                <w:color w:val="auto"/>
              </w:rPr>
            </w:pPr>
            <w:r>
              <w:rPr>
                <w:color w:val="auto"/>
              </w:rPr>
              <w:t>环境</w:t>
            </w:r>
          </w:p>
          <w:p w14:paraId="753DFF49">
            <w:pPr>
              <w:pStyle w:val="75"/>
              <w:rPr>
                <w:color w:val="auto"/>
              </w:rPr>
            </w:pPr>
            <w:r>
              <w:rPr>
                <w:color w:val="auto"/>
              </w:rPr>
              <w:t>质量</w:t>
            </w:r>
          </w:p>
          <w:p w14:paraId="667779CB">
            <w:pPr>
              <w:pStyle w:val="75"/>
              <w:rPr>
                <w:color w:val="auto"/>
              </w:rPr>
            </w:pPr>
            <w:r>
              <w:rPr>
                <w:color w:val="auto"/>
              </w:rPr>
              <w:t>现状</w:t>
            </w:r>
          </w:p>
        </w:tc>
        <w:tc>
          <w:tcPr>
            <w:tcW w:w="8506" w:type="dxa"/>
            <w:vAlign w:val="center"/>
          </w:tcPr>
          <w:p w14:paraId="10885EB4">
            <w:pPr>
              <w:ind w:firstLine="422"/>
              <w:rPr>
                <w:b/>
                <w:color w:val="auto"/>
              </w:rPr>
            </w:pPr>
            <w:r>
              <w:rPr>
                <w:b/>
                <w:color w:val="auto"/>
              </w:rPr>
              <w:t>1、大气环境</w:t>
            </w:r>
          </w:p>
          <w:p w14:paraId="694BE285">
            <w:pPr>
              <w:spacing w:line="500" w:lineRule="exact"/>
              <w:ind w:firstLine="420"/>
              <w:rPr>
                <w:rFonts w:eastAsia="宋体_x0011_...."/>
                <w:color w:val="auto"/>
              </w:rPr>
            </w:pPr>
            <w:r>
              <w:rPr>
                <w:rFonts w:hint="eastAsia"/>
                <w:color w:val="auto"/>
                <w:szCs w:val="21"/>
              </w:rPr>
              <w:t>对照《建设项目环境影响报告表编制技术指南（污染影响类）（试行）》，大气环境，常规污染物引用与建设项目距离近的有效数据，包括近3年的规划环境影响评价的监测数据，国家、地方环境空气质量监测网数据或生态环境主管部门公开发布的质量数据等，</w:t>
            </w:r>
            <w:r>
              <w:rPr>
                <w:color w:val="auto"/>
                <w:szCs w:val="21"/>
              </w:rPr>
              <w:t>本项目所在区域位于南通市</w:t>
            </w:r>
            <w:r>
              <w:rPr>
                <w:rFonts w:hint="eastAsia"/>
                <w:color w:val="auto"/>
                <w:szCs w:val="21"/>
              </w:rPr>
              <w:t>高新区，</w:t>
            </w:r>
            <w:r>
              <w:rPr>
                <w:rFonts w:hint="eastAsia" w:eastAsia="宋体_x0011_...."/>
                <w:color w:val="auto"/>
                <w:shd w:val="clear" w:color="auto" w:fill="FFFFFF"/>
              </w:rPr>
              <w:t>根据</w:t>
            </w:r>
            <w:r>
              <w:rPr>
                <w:rFonts w:hint="eastAsia"/>
                <w:color w:val="auto"/>
                <w:szCs w:val="21"/>
                <w:lang w:val="zh-CN"/>
              </w:rPr>
              <w:t>《南通市生态环境状况公报》（202</w:t>
            </w:r>
            <w:r>
              <w:rPr>
                <w:rFonts w:hint="eastAsia"/>
                <w:color w:val="auto"/>
                <w:szCs w:val="21"/>
                <w:lang w:val="en-US" w:eastAsia="zh-CN"/>
              </w:rPr>
              <w:t>4</w:t>
            </w:r>
            <w:r>
              <w:rPr>
                <w:rFonts w:hint="eastAsia"/>
                <w:color w:val="auto"/>
                <w:szCs w:val="21"/>
                <w:lang w:val="zh-CN"/>
              </w:rPr>
              <w:t>年）</w:t>
            </w:r>
            <w:r>
              <w:rPr>
                <w:rFonts w:hint="eastAsia" w:eastAsia="宋体_x0011_...."/>
                <w:color w:val="auto"/>
              </w:rPr>
              <w:t>，项目所在区域南通市</w:t>
            </w:r>
            <w:r>
              <w:rPr>
                <w:rFonts w:hint="eastAsia" w:eastAsia="宋体_x0011_...."/>
                <w:color w:val="auto"/>
                <w:lang w:val="en-US" w:eastAsia="zh-CN"/>
              </w:rPr>
              <w:t>海门区</w:t>
            </w:r>
            <w:r>
              <w:rPr>
                <w:rFonts w:hint="eastAsia" w:eastAsia="宋体_x0011_...."/>
                <w:color w:val="auto"/>
              </w:rPr>
              <w:t>各评价因子数据见表3-1。</w:t>
            </w:r>
          </w:p>
          <w:p w14:paraId="567132CC">
            <w:pPr>
              <w:keepNext w:val="0"/>
              <w:keepLines w:val="0"/>
              <w:pageBreakBefore w:val="0"/>
              <w:widowControl/>
              <w:kinsoku/>
              <w:wordWrap/>
              <w:overflowPunct/>
              <w:topLinePunct w:val="0"/>
              <w:autoSpaceDE/>
              <w:autoSpaceDN/>
              <w:bidi w:val="0"/>
              <w:adjustRightInd w:val="0"/>
              <w:snapToGrid w:val="0"/>
              <w:spacing w:line="240" w:lineRule="auto"/>
              <w:ind w:firstLine="422"/>
              <w:jc w:val="center"/>
              <w:textAlignment w:val="auto"/>
              <w:rPr>
                <w:rFonts w:hint="eastAsia" w:eastAsia="宋体"/>
                <w:b/>
                <w:color w:val="auto"/>
                <w:lang w:val="en-US" w:eastAsia="zh-CN"/>
              </w:rPr>
            </w:pPr>
            <w:r>
              <w:rPr>
                <w:b/>
                <w:color w:val="auto"/>
              </w:rPr>
              <w:t>表3-1空气环境质量现</w:t>
            </w:r>
            <w:r>
              <w:rPr>
                <w:b/>
                <w:bCs w:val="0"/>
                <w:color w:val="auto"/>
              </w:rPr>
              <w:t>状</w:t>
            </w:r>
            <w:r>
              <w:rPr>
                <w:rFonts w:hint="eastAsia"/>
                <w:b/>
                <w:bCs w:val="0"/>
                <w:color w:val="auto"/>
                <w:lang w:val="en-US" w:eastAsia="zh-CN"/>
              </w:rPr>
              <w:t xml:space="preserve"> </w:t>
            </w:r>
            <w:r>
              <w:rPr>
                <w:rFonts w:hint="eastAsia"/>
                <w:b/>
                <w:bCs w:val="0"/>
                <w:color w:val="auto"/>
                <w:lang w:eastAsia="zh-CN"/>
              </w:rPr>
              <w:t>μg/m</w:t>
            </w:r>
            <w:r>
              <w:rPr>
                <w:rFonts w:hint="eastAsia"/>
                <w:b/>
                <w:bCs w:val="0"/>
                <w:color w:val="auto"/>
                <w:vertAlign w:val="superscript"/>
                <w:lang w:eastAsia="zh-CN"/>
              </w:rPr>
              <w:t>3</w:t>
            </w:r>
          </w:p>
          <w:tbl>
            <w:tblPr>
              <w:tblStyle w:val="156"/>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49"/>
              <w:gridCol w:w="3016"/>
              <w:gridCol w:w="1184"/>
              <w:gridCol w:w="1135"/>
              <w:gridCol w:w="1072"/>
              <w:gridCol w:w="1160"/>
            </w:tblGrid>
            <w:tr w14:paraId="41FDC5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7" w:type="pct"/>
                  <w:tcBorders>
                    <w:tl2br w:val="nil"/>
                    <w:tr2bl w:val="nil"/>
                  </w:tcBorders>
                  <w:shd w:val="clear" w:color="auto" w:fill="D7D7D7" w:themeFill="background1" w:themeFillShade="D8"/>
                  <w:vAlign w:val="center"/>
                </w:tcPr>
                <w:p w14:paraId="7DCA69F3">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b/>
                      <w:bCs/>
                      <w:color w:val="auto"/>
                      <w:spacing w:val="-4"/>
                      <w:sz w:val="18"/>
                      <w:szCs w:val="18"/>
                    </w:rPr>
                    <w:t>污染物</w:t>
                  </w:r>
                </w:p>
              </w:tc>
              <w:tc>
                <w:tcPr>
                  <w:tcW w:w="1770" w:type="pct"/>
                  <w:tcBorders>
                    <w:tl2br w:val="nil"/>
                    <w:tr2bl w:val="nil"/>
                  </w:tcBorders>
                  <w:shd w:val="clear" w:color="auto" w:fill="D7D7D7" w:themeFill="background1" w:themeFillShade="D8"/>
                  <w:vAlign w:val="center"/>
                </w:tcPr>
                <w:p w14:paraId="3EB0D736">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b/>
                      <w:bCs/>
                      <w:color w:val="auto"/>
                      <w:spacing w:val="-3"/>
                      <w:sz w:val="18"/>
                      <w:szCs w:val="18"/>
                    </w:rPr>
                    <w:t>年评价指标</w:t>
                  </w:r>
                </w:p>
              </w:tc>
              <w:tc>
                <w:tcPr>
                  <w:tcW w:w="695" w:type="pct"/>
                  <w:tcBorders>
                    <w:tl2br w:val="nil"/>
                    <w:tr2bl w:val="nil"/>
                  </w:tcBorders>
                  <w:shd w:val="clear" w:color="auto" w:fill="D7D7D7" w:themeFill="background1" w:themeFillShade="D8"/>
                  <w:vAlign w:val="center"/>
                </w:tcPr>
                <w:p w14:paraId="0B0D8200">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b/>
                      <w:bCs/>
                      <w:color w:val="auto"/>
                      <w:spacing w:val="-4"/>
                      <w:sz w:val="18"/>
                      <w:szCs w:val="18"/>
                    </w:rPr>
                    <w:t>现状浓度</w:t>
                  </w:r>
                </w:p>
              </w:tc>
              <w:tc>
                <w:tcPr>
                  <w:tcW w:w="666" w:type="pct"/>
                  <w:tcBorders>
                    <w:tl2br w:val="nil"/>
                    <w:tr2bl w:val="nil"/>
                  </w:tcBorders>
                  <w:shd w:val="clear" w:color="auto" w:fill="D7D7D7" w:themeFill="background1" w:themeFillShade="D8"/>
                  <w:vAlign w:val="center"/>
                </w:tcPr>
                <w:p w14:paraId="5E0B5D99">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b/>
                      <w:bCs/>
                      <w:color w:val="auto"/>
                      <w:spacing w:val="-4"/>
                      <w:sz w:val="18"/>
                      <w:szCs w:val="18"/>
                    </w:rPr>
                    <w:t>标准值</w:t>
                  </w:r>
                </w:p>
              </w:tc>
              <w:tc>
                <w:tcPr>
                  <w:tcW w:w="629" w:type="pct"/>
                  <w:tcBorders>
                    <w:tl2br w:val="nil"/>
                    <w:tr2bl w:val="nil"/>
                  </w:tcBorders>
                  <w:shd w:val="clear" w:color="auto" w:fill="D7D7D7" w:themeFill="background1" w:themeFillShade="D8"/>
                  <w:vAlign w:val="center"/>
                </w:tcPr>
                <w:p w14:paraId="696B42CC">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b/>
                      <w:bCs/>
                      <w:color w:val="auto"/>
                      <w:spacing w:val="-8"/>
                      <w:sz w:val="18"/>
                      <w:szCs w:val="18"/>
                    </w:rPr>
                    <w:t>占标率/%</w:t>
                  </w:r>
                </w:p>
              </w:tc>
              <w:tc>
                <w:tcPr>
                  <w:tcW w:w="680" w:type="pct"/>
                  <w:tcBorders>
                    <w:tl2br w:val="nil"/>
                    <w:tr2bl w:val="nil"/>
                  </w:tcBorders>
                  <w:shd w:val="clear" w:color="auto" w:fill="D7D7D7" w:themeFill="background1" w:themeFillShade="D8"/>
                  <w:vAlign w:val="center"/>
                </w:tcPr>
                <w:p w14:paraId="7F71A8BE">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b/>
                      <w:bCs/>
                      <w:color w:val="auto"/>
                      <w:spacing w:val="-3"/>
                      <w:sz w:val="18"/>
                      <w:szCs w:val="18"/>
                    </w:rPr>
                    <w:t>达标情况</w:t>
                  </w:r>
                </w:p>
              </w:tc>
            </w:tr>
            <w:tr w14:paraId="12E1FD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7" w:type="pct"/>
                  <w:tcBorders>
                    <w:tl2br w:val="nil"/>
                    <w:tr2bl w:val="nil"/>
                  </w:tcBorders>
                  <w:vAlign w:val="center"/>
                </w:tcPr>
                <w:p w14:paraId="332BD7F7">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3"/>
                      <w:sz w:val="18"/>
                      <w:szCs w:val="18"/>
                      <w:lang w:eastAsia="en-US"/>
                    </w:rPr>
                    <w:t>SO</w:t>
                  </w:r>
                  <w:r>
                    <w:rPr>
                      <w:rFonts w:cs="Times New Roman"/>
                      <w:color w:val="auto"/>
                      <w:spacing w:val="-3"/>
                      <w:position w:val="-1"/>
                      <w:sz w:val="18"/>
                      <w:szCs w:val="18"/>
                      <w:vertAlign w:val="subscript"/>
                      <w:lang w:eastAsia="en-US"/>
                    </w:rPr>
                    <w:t>2</w:t>
                  </w:r>
                </w:p>
              </w:tc>
              <w:tc>
                <w:tcPr>
                  <w:tcW w:w="1770" w:type="pct"/>
                  <w:tcBorders>
                    <w:tl2br w:val="nil"/>
                    <w:tr2bl w:val="nil"/>
                  </w:tcBorders>
                  <w:vAlign w:val="center"/>
                </w:tcPr>
                <w:p w14:paraId="33F8A904">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pacing w:val="-2"/>
                      <w:sz w:val="18"/>
                      <w:szCs w:val="18"/>
                    </w:rPr>
                    <w:t>年平均质量浓度</w:t>
                  </w:r>
                </w:p>
              </w:tc>
              <w:tc>
                <w:tcPr>
                  <w:tcW w:w="695" w:type="pct"/>
                  <w:tcBorders>
                    <w:tl2br w:val="nil"/>
                    <w:tr2bl w:val="nil"/>
                  </w:tcBorders>
                  <w:vAlign w:val="center"/>
                </w:tcPr>
                <w:p w14:paraId="069A7DDF">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z w:val="18"/>
                      <w:szCs w:val="18"/>
                      <w:lang w:eastAsia="en-US"/>
                    </w:rPr>
                    <w:t>8</w:t>
                  </w:r>
                </w:p>
              </w:tc>
              <w:tc>
                <w:tcPr>
                  <w:tcW w:w="666" w:type="pct"/>
                  <w:tcBorders>
                    <w:tl2br w:val="nil"/>
                    <w:tr2bl w:val="nil"/>
                  </w:tcBorders>
                  <w:vAlign w:val="center"/>
                </w:tcPr>
                <w:p w14:paraId="5FB54F21">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4"/>
                      <w:sz w:val="18"/>
                      <w:szCs w:val="18"/>
                      <w:lang w:eastAsia="en-US"/>
                    </w:rPr>
                    <w:t>60</w:t>
                  </w:r>
                </w:p>
              </w:tc>
              <w:tc>
                <w:tcPr>
                  <w:tcW w:w="1072" w:type="dxa"/>
                  <w:tcBorders>
                    <w:tl2br w:val="nil"/>
                    <w:tr2bl w:val="nil"/>
                  </w:tcBorders>
                  <w:vAlign w:val="center"/>
                </w:tcPr>
                <w:p w14:paraId="2959E02F">
                  <w:pPr>
                    <w:autoSpaceDE/>
                    <w:autoSpaceDN/>
                    <w:adjustRightInd/>
                    <w:snapToGrid/>
                    <w:spacing w:line="240" w:lineRule="auto"/>
                    <w:ind w:firstLine="0" w:firstLineChars="0"/>
                    <w:jc w:val="center"/>
                    <w:rPr>
                      <w:rFonts w:cs="Times New Roman"/>
                      <w:color w:val="auto"/>
                      <w:spacing w:val="-3"/>
                      <w:sz w:val="18"/>
                      <w:szCs w:val="18"/>
                      <w:lang w:eastAsia="en-US"/>
                    </w:rPr>
                  </w:pPr>
                  <w:r>
                    <w:rPr>
                      <w:rFonts w:hint="eastAsia" w:cs="Times New Roman"/>
                      <w:color w:val="auto"/>
                      <w:spacing w:val="-3"/>
                      <w:sz w:val="18"/>
                      <w:szCs w:val="18"/>
                      <w:lang w:val="en-US" w:eastAsia="zh-CN"/>
                    </w:rPr>
                    <w:t xml:space="preserve">13 </w:t>
                  </w:r>
                </w:p>
              </w:tc>
              <w:tc>
                <w:tcPr>
                  <w:tcW w:w="680" w:type="pct"/>
                  <w:tcBorders>
                    <w:tl2br w:val="nil"/>
                    <w:tr2bl w:val="nil"/>
                  </w:tcBorders>
                  <w:vAlign w:val="center"/>
                </w:tcPr>
                <w:p w14:paraId="4FA8D2E5">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pacing w:val="-4"/>
                      <w:sz w:val="18"/>
                      <w:szCs w:val="18"/>
                    </w:rPr>
                    <w:t>达标</w:t>
                  </w:r>
                </w:p>
              </w:tc>
            </w:tr>
            <w:tr w14:paraId="3B875E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7" w:type="pct"/>
                  <w:tcBorders>
                    <w:tl2br w:val="nil"/>
                    <w:tr2bl w:val="nil"/>
                  </w:tcBorders>
                  <w:vAlign w:val="center"/>
                </w:tcPr>
                <w:p w14:paraId="4B57C5CA">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z w:val="18"/>
                      <w:szCs w:val="18"/>
                      <w:lang w:eastAsia="en-US"/>
                    </w:rPr>
                    <w:t>NO</w:t>
                  </w:r>
                  <w:r>
                    <w:rPr>
                      <w:rFonts w:cs="Times New Roman"/>
                      <w:color w:val="auto"/>
                      <w:spacing w:val="3"/>
                      <w:position w:val="-1"/>
                      <w:sz w:val="18"/>
                      <w:szCs w:val="18"/>
                      <w:vertAlign w:val="subscript"/>
                      <w:lang w:eastAsia="en-US"/>
                    </w:rPr>
                    <w:t>2</w:t>
                  </w:r>
                </w:p>
              </w:tc>
              <w:tc>
                <w:tcPr>
                  <w:tcW w:w="1770" w:type="pct"/>
                  <w:tcBorders>
                    <w:tl2br w:val="nil"/>
                    <w:tr2bl w:val="nil"/>
                  </w:tcBorders>
                  <w:vAlign w:val="center"/>
                </w:tcPr>
                <w:p w14:paraId="750AFE01">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pacing w:val="-2"/>
                      <w:sz w:val="18"/>
                      <w:szCs w:val="18"/>
                    </w:rPr>
                    <w:t>年平均质量浓度</w:t>
                  </w:r>
                </w:p>
              </w:tc>
              <w:tc>
                <w:tcPr>
                  <w:tcW w:w="695" w:type="pct"/>
                  <w:tcBorders>
                    <w:tl2br w:val="nil"/>
                    <w:tr2bl w:val="nil"/>
                  </w:tcBorders>
                  <w:vAlign w:val="center"/>
                </w:tcPr>
                <w:p w14:paraId="5E5646E5">
                  <w:pPr>
                    <w:autoSpaceDE/>
                    <w:autoSpaceDN/>
                    <w:adjustRightInd/>
                    <w:snapToGrid/>
                    <w:spacing w:line="240" w:lineRule="auto"/>
                    <w:ind w:firstLine="0" w:firstLineChars="0"/>
                    <w:jc w:val="center"/>
                    <w:rPr>
                      <w:rFonts w:hint="default" w:eastAsia="宋体" w:cs="Times New Roman"/>
                      <w:color w:val="auto"/>
                      <w:sz w:val="18"/>
                      <w:szCs w:val="18"/>
                      <w:lang w:val="en-US" w:eastAsia="zh-CN"/>
                    </w:rPr>
                  </w:pPr>
                  <w:r>
                    <w:rPr>
                      <w:rFonts w:hint="eastAsia" w:cs="Times New Roman"/>
                      <w:color w:val="auto"/>
                      <w:spacing w:val="-2"/>
                      <w:sz w:val="18"/>
                      <w:szCs w:val="18"/>
                      <w:lang w:val="en-US" w:eastAsia="zh-CN"/>
                    </w:rPr>
                    <w:t>19</w:t>
                  </w:r>
                </w:p>
              </w:tc>
              <w:tc>
                <w:tcPr>
                  <w:tcW w:w="666" w:type="pct"/>
                  <w:tcBorders>
                    <w:tl2br w:val="nil"/>
                    <w:tr2bl w:val="nil"/>
                  </w:tcBorders>
                  <w:vAlign w:val="center"/>
                </w:tcPr>
                <w:p w14:paraId="0E3B92D7">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1"/>
                      <w:sz w:val="18"/>
                      <w:szCs w:val="18"/>
                      <w:lang w:eastAsia="en-US"/>
                    </w:rPr>
                    <w:t>40</w:t>
                  </w:r>
                </w:p>
              </w:tc>
              <w:tc>
                <w:tcPr>
                  <w:tcW w:w="1072" w:type="dxa"/>
                  <w:tcBorders>
                    <w:tl2br w:val="nil"/>
                    <w:tr2bl w:val="nil"/>
                  </w:tcBorders>
                  <w:vAlign w:val="center"/>
                </w:tcPr>
                <w:p w14:paraId="60640639">
                  <w:pPr>
                    <w:autoSpaceDE/>
                    <w:autoSpaceDN/>
                    <w:adjustRightInd/>
                    <w:snapToGrid/>
                    <w:spacing w:line="240" w:lineRule="auto"/>
                    <w:ind w:firstLine="0" w:firstLineChars="0"/>
                    <w:jc w:val="center"/>
                    <w:rPr>
                      <w:rFonts w:cs="Times New Roman"/>
                      <w:color w:val="auto"/>
                      <w:spacing w:val="-3"/>
                      <w:sz w:val="18"/>
                      <w:szCs w:val="18"/>
                      <w:lang w:eastAsia="en-US"/>
                    </w:rPr>
                  </w:pPr>
                  <w:r>
                    <w:rPr>
                      <w:rFonts w:hint="eastAsia" w:cs="Times New Roman"/>
                      <w:color w:val="auto"/>
                      <w:spacing w:val="-3"/>
                      <w:sz w:val="18"/>
                      <w:szCs w:val="18"/>
                      <w:lang w:val="en-US" w:eastAsia="zh-CN"/>
                    </w:rPr>
                    <w:t xml:space="preserve">48 </w:t>
                  </w:r>
                </w:p>
              </w:tc>
              <w:tc>
                <w:tcPr>
                  <w:tcW w:w="680" w:type="pct"/>
                  <w:tcBorders>
                    <w:tl2br w:val="nil"/>
                    <w:tr2bl w:val="nil"/>
                  </w:tcBorders>
                  <w:vAlign w:val="center"/>
                </w:tcPr>
                <w:p w14:paraId="380CE980">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pacing w:val="-4"/>
                      <w:sz w:val="18"/>
                      <w:szCs w:val="18"/>
                    </w:rPr>
                    <w:t>达标</w:t>
                  </w:r>
                </w:p>
              </w:tc>
            </w:tr>
            <w:tr w14:paraId="09C6FE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7" w:type="pct"/>
                  <w:tcBorders>
                    <w:tl2br w:val="nil"/>
                    <w:tr2bl w:val="nil"/>
                  </w:tcBorders>
                  <w:vAlign w:val="center"/>
                </w:tcPr>
                <w:p w14:paraId="668E091C">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z w:val="18"/>
                      <w:szCs w:val="18"/>
                      <w:lang w:eastAsia="en-US"/>
                    </w:rPr>
                    <w:t>PM</w:t>
                  </w:r>
                  <w:r>
                    <w:rPr>
                      <w:rFonts w:cs="Times New Roman"/>
                      <w:color w:val="auto"/>
                      <w:sz w:val="18"/>
                      <w:szCs w:val="18"/>
                      <w:vertAlign w:val="subscript"/>
                      <w:lang w:eastAsia="en-US"/>
                    </w:rPr>
                    <w:t>10</w:t>
                  </w:r>
                </w:p>
              </w:tc>
              <w:tc>
                <w:tcPr>
                  <w:tcW w:w="1770" w:type="pct"/>
                  <w:tcBorders>
                    <w:tl2br w:val="nil"/>
                    <w:tr2bl w:val="nil"/>
                  </w:tcBorders>
                  <w:vAlign w:val="center"/>
                </w:tcPr>
                <w:p w14:paraId="421C8AD7">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pacing w:val="-2"/>
                      <w:sz w:val="18"/>
                      <w:szCs w:val="18"/>
                    </w:rPr>
                    <w:t>年平均质量浓度</w:t>
                  </w:r>
                </w:p>
              </w:tc>
              <w:tc>
                <w:tcPr>
                  <w:tcW w:w="695" w:type="pct"/>
                  <w:tcBorders>
                    <w:tl2br w:val="nil"/>
                    <w:tr2bl w:val="nil"/>
                  </w:tcBorders>
                  <w:vAlign w:val="center"/>
                </w:tcPr>
                <w:p w14:paraId="085D997F">
                  <w:pPr>
                    <w:autoSpaceDE/>
                    <w:autoSpaceDN/>
                    <w:adjustRightInd/>
                    <w:snapToGrid/>
                    <w:spacing w:line="240" w:lineRule="auto"/>
                    <w:ind w:firstLine="0" w:firstLineChars="0"/>
                    <w:jc w:val="center"/>
                    <w:rPr>
                      <w:rFonts w:hint="default" w:eastAsia="宋体" w:cs="Times New Roman"/>
                      <w:color w:val="auto"/>
                      <w:sz w:val="18"/>
                      <w:szCs w:val="18"/>
                      <w:lang w:val="en-US" w:eastAsia="zh-CN"/>
                    </w:rPr>
                  </w:pPr>
                  <w:r>
                    <w:rPr>
                      <w:rFonts w:hint="eastAsia" w:cs="Times New Roman"/>
                      <w:color w:val="auto"/>
                      <w:spacing w:val="-1"/>
                      <w:sz w:val="18"/>
                      <w:szCs w:val="18"/>
                      <w:lang w:val="en-US" w:eastAsia="zh-CN"/>
                    </w:rPr>
                    <w:t>42</w:t>
                  </w:r>
                </w:p>
              </w:tc>
              <w:tc>
                <w:tcPr>
                  <w:tcW w:w="666" w:type="pct"/>
                  <w:tcBorders>
                    <w:tl2br w:val="nil"/>
                    <w:tr2bl w:val="nil"/>
                  </w:tcBorders>
                  <w:vAlign w:val="center"/>
                </w:tcPr>
                <w:p w14:paraId="24BD34FD">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3"/>
                      <w:sz w:val="18"/>
                      <w:szCs w:val="18"/>
                      <w:lang w:eastAsia="en-US"/>
                    </w:rPr>
                    <w:t>70</w:t>
                  </w:r>
                </w:p>
              </w:tc>
              <w:tc>
                <w:tcPr>
                  <w:tcW w:w="1072" w:type="dxa"/>
                  <w:tcBorders>
                    <w:tl2br w:val="nil"/>
                    <w:tr2bl w:val="nil"/>
                  </w:tcBorders>
                  <w:vAlign w:val="center"/>
                </w:tcPr>
                <w:p w14:paraId="3888B66C">
                  <w:pPr>
                    <w:autoSpaceDE/>
                    <w:autoSpaceDN/>
                    <w:adjustRightInd/>
                    <w:snapToGrid/>
                    <w:spacing w:line="240" w:lineRule="auto"/>
                    <w:ind w:firstLine="0" w:firstLineChars="0"/>
                    <w:jc w:val="center"/>
                    <w:rPr>
                      <w:rFonts w:cs="Times New Roman"/>
                      <w:color w:val="auto"/>
                      <w:spacing w:val="-3"/>
                      <w:sz w:val="18"/>
                      <w:szCs w:val="18"/>
                      <w:lang w:eastAsia="en-US"/>
                    </w:rPr>
                  </w:pPr>
                  <w:r>
                    <w:rPr>
                      <w:rFonts w:hint="eastAsia" w:cs="Times New Roman"/>
                      <w:color w:val="auto"/>
                      <w:spacing w:val="-3"/>
                      <w:sz w:val="18"/>
                      <w:szCs w:val="18"/>
                      <w:lang w:val="en-US" w:eastAsia="zh-CN"/>
                    </w:rPr>
                    <w:t xml:space="preserve">60 </w:t>
                  </w:r>
                </w:p>
              </w:tc>
              <w:tc>
                <w:tcPr>
                  <w:tcW w:w="680" w:type="pct"/>
                  <w:tcBorders>
                    <w:tl2br w:val="nil"/>
                    <w:tr2bl w:val="nil"/>
                  </w:tcBorders>
                  <w:vAlign w:val="center"/>
                </w:tcPr>
                <w:p w14:paraId="0240F5E2">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pacing w:val="-4"/>
                      <w:sz w:val="18"/>
                      <w:szCs w:val="18"/>
                    </w:rPr>
                    <w:t>达标</w:t>
                  </w:r>
                </w:p>
              </w:tc>
            </w:tr>
            <w:tr w14:paraId="596C7C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7" w:type="pct"/>
                  <w:tcBorders>
                    <w:tl2br w:val="nil"/>
                    <w:tr2bl w:val="nil"/>
                  </w:tcBorders>
                  <w:vAlign w:val="center"/>
                </w:tcPr>
                <w:p w14:paraId="2A5C7170">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z w:val="18"/>
                      <w:szCs w:val="18"/>
                      <w:lang w:eastAsia="en-US"/>
                    </w:rPr>
                    <w:t>PM</w:t>
                  </w:r>
                  <w:r>
                    <w:rPr>
                      <w:rFonts w:cs="Times New Roman"/>
                      <w:color w:val="auto"/>
                      <w:position w:val="-1"/>
                      <w:sz w:val="18"/>
                      <w:szCs w:val="18"/>
                      <w:vertAlign w:val="subscript"/>
                      <w:lang w:eastAsia="en-US"/>
                    </w:rPr>
                    <w:t>2.5</w:t>
                  </w:r>
                </w:p>
              </w:tc>
              <w:tc>
                <w:tcPr>
                  <w:tcW w:w="1770" w:type="pct"/>
                  <w:tcBorders>
                    <w:tl2br w:val="nil"/>
                    <w:tr2bl w:val="nil"/>
                  </w:tcBorders>
                  <w:vAlign w:val="center"/>
                </w:tcPr>
                <w:p w14:paraId="6973CAE3">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pacing w:val="-2"/>
                      <w:sz w:val="18"/>
                      <w:szCs w:val="18"/>
                    </w:rPr>
                    <w:t>年平均质量浓度</w:t>
                  </w:r>
                </w:p>
              </w:tc>
              <w:tc>
                <w:tcPr>
                  <w:tcW w:w="695" w:type="pct"/>
                  <w:tcBorders>
                    <w:tl2br w:val="nil"/>
                    <w:tr2bl w:val="nil"/>
                  </w:tcBorders>
                  <w:vAlign w:val="center"/>
                </w:tcPr>
                <w:p w14:paraId="45F12A62">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2"/>
                      <w:sz w:val="18"/>
                      <w:szCs w:val="18"/>
                      <w:lang w:eastAsia="en-US"/>
                    </w:rPr>
                    <w:t>27</w:t>
                  </w:r>
                </w:p>
              </w:tc>
              <w:tc>
                <w:tcPr>
                  <w:tcW w:w="666" w:type="pct"/>
                  <w:tcBorders>
                    <w:tl2br w:val="nil"/>
                    <w:tr2bl w:val="nil"/>
                  </w:tcBorders>
                  <w:vAlign w:val="center"/>
                </w:tcPr>
                <w:p w14:paraId="6AB6FDAC">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4"/>
                      <w:sz w:val="18"/>
                      <w:szCs w:val="18"/>
                      <w:lang w:eastAsia="en-US"/>
                    </w:rPr>
                    <w:t>35</w:t>
                  </w:r>
                </w:p>
              </w:tc>
              <w:tc>
                <w:tcPr>
                  <w:tcW w:w="1072" w:type="dxa"/>
                  <w:tcBorders>
                    <w:tl2br w:val="nil"/>
                    <w:tr2bl w:val="nil"/>
                  </w:tcBorders>
                  <w:vAlign w:val="center"/>
                </w:tcPr>
                <w:p w14:paraId="533B3A16">
                  <w:pPr>
                    <w:autoSpaceDE/>
                    <w:autoSpaceDN/>
                    <w:adjustRightInd/>
                    <w:snapToGrid/>
                    <w:spacing w:line="240" w:lineRule="auto"/>
                    <w:ind w:firstLine="0" w:firstLineChars="0"/>
                    <w:jc w:val="center"/>
                    <w:rPr>
                      <w:rFonts w:cs="Times New Roman"/>
                      <w:color w:val="auto"/>
                      <w:spacing w:val="-3"/>
                      <w:sz w:val="18"/>
                      <w:szCs w:val="18"/>
                      <w:lang w:eastAsia="en-US"/>
                    </w:rPr>
                  </w:pPr>
                  <w:r>
                    <w:rPr>
                      <w:rFonts w:hint="eastAsia" w:cs="Times New Roman"/>
                      <w:color w:val="auto"/>
                      <w:spacing w:val="-3"/>
                      <w:sz w:val="18"/>
                      <w:szCs w:val="18"/>
                      <w:lang w:val="en-US" w:eastAsia="zh-CN"/>
                    </w:rPr>
                    <w:t xml:space="preserve">77 </w:t>
                  </w:r>
                </w:p>
              </w:tc>
              <w:tc>
                <w:tcPr>
                  <w:tcW w:w="680" w:type="pct"/>
                  <w:tcBorders>
                    <w:tl2br w:val="nil"/>
                    <w:tr2bl w:val="nil"/>
                  </w:tcBorders>
                  <w:vAlign w:val="center"/>
                </w:tcPr>
                <w:p w14:paraId="35330BDB">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pacing w:val="-4"/>
                      <w:sz w:val="18"/>
                      <w:szCs w:val="18"/>
                    </w:rPr>
                    <w:t>达标</w:t>
                  </w:r>
                </w:p>
              </w:tc>
            </w:tr>
            <w:tr w14:paraId="3E5834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7" w:type="pct"/>
                  <w:tcBorders>
                    <w:tl2br w:val="nil"/>
                    <w:tr2bl w:val="nil"/>
                  </w:tcBorders>
                  <w:vAlign w:val="center"/>
                </w:tcPr>
                <w:p w14:paraId="45775D9E">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4"/>
                      <w:sz w:val="18"/>
                      <w:szCs w:val="18"/>
                      <w:lang w:eastAsia="en-US"/>
                    </w:rPr>
                    <w:t>CO</w:t>
                  </w:r>
                </w:p>
              </w:tc>
              <w:tc>
                <w:tcPr>
                  <w:tcW w:w="1770" w:type="pct"/>
                  <w:tcBorders>
                    <w:tl2br w:val="nil"/>
                    <w:tr2bl w:val="nil"/>
                  </w:tcBorders>
                  <w:vAlign w:val="center"/>
                </w:tcPr>
                <w:p w14:paraId="6B41FD6D">
                  <w:pPr>
                    <w:pStyle w:val="167"/>
                    <w:autoSpaceDE/>
                    <w:autoSpaceDN/>
                    <w:adjustRightInd/>
                    <w:snapToGrid/>
                    <w:spacing w:line="240" w:lineRule="auto"/>
                    <w:ind w:firstLine="0" w:firstLineChars="0"/>
                    <w:jc w:val="center"/>
                    <w:rPr>
                      <w:rFonts w:ascii="Times New Roman" w:hAnsi="Times New Roman" w:cs="Times New Roman"/>
                      <w:color w:val="auto"/>
                      <w:sz w:val="18"/>
                      <w:szCs w:val="18"/>
                      <w:lang w:eastAsia="zh-CN"/>
                    </w:rPr>
                  </w:pPr>
                  <w:r>
                    <w:rPr>
                      <w:rFonts w:ascii="Times New Roman" w:hAnsi="Times New Roman" w:cs="Times New Roman"/>
                      <w:color w:val="auto"/>
                      <w:spacing w:val="-4"/>
                      <w:sz w:val="18"/>
                      <w:szCs w:val="18"/>
                      <w:lang w:eastAsia="zh-CN"/>
                    </w:rPr>
                    <w:t>日均值第95分位质量浓度</w:t>
                  </w:r>
                </w:p>
              </w:tc>
              <w:tc>
                <w:tcPr>
                  <w:tcW w:w="695" w:type="pct"/>
                  <w:tcBorders>
                    <w:tl2br w:val="nil"/>
                    <w:tr2bl w:val="nil"/>
                  </w:tcBorders>
                  <w:vAlign w:val="center"/>
                </w:tcPr>
                <w:p w14:paraId="1267135B">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5"/>
                      <w:sz w:val="18"/>
                      <w:szCs w:val="18"/>
                      <w:lang w:eastAsia="en-US"/>
                    </w:rPr>
                    <w:t>1000</w:t>
                  </w:r>
                </w:p>
              </w:tc>
              <w:tc>
                <w:tcPr>
                  <w:tcW w:w="666" w:type="pct"/>
                  <w:tcBorders>
                    <w:tl2br w:val="nil"/>
                    <w:tr2bl w:val="nil"/>
                  </w:tcBorders>
                  <w:vAlign w:val="center"/>
                </w:tcPr>
                <w:p w14:paraId="6369E504">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1"/>
                      <w:sz w:val="18"/>
                      <w:szCs w:val="18"/>
                      <w:lang w:eastAsia="en-US"/>
                    </w:rPr>
                    <w:t>4000</w:t>
                  </w:r>
                </w:p>
              </w:tc>
              <w:tc>
                <w:tcPr>
                  <w:tcW w:w="1072" w:type="dxa"/>
                  <w:tcBorders>
                    <w:tl2br w:val="nil"/>
                    <w:tr2bl w:val="nil"/>
                  </w:tcBorders>
                  <w:vAlign w:val="center"/>
                </w:tcPr>
                <w:p w14:paraId="4DF916D4">
                  <w:pPr>
                    <w:autoSpaceDE/>
                    <w:autoSpaceDN/>
                    <w:adjustRightInd/>
                    <w:snapToGrid/>
                    <w:spacing w:line="240" w:lineRule="auto"/>
                    <w:ind w:firstLine="0" w:firstLineChars="0"/>
                    <w:jc w:val="center"/>
                    <w:rPr>
                      <w:rFonts w:cs="Times New Roman"/>
                      <w:color w:val="auto"/>
                      <w:spacing w:val="-3"/>
                      <w:sz w:val="18"/>
                      <w:szCs w:val="18"/>
                      <w:lang w:eastAsia="en-US"/>
                    </w:rPr>
                  </w:pPr>
                  <w:r>
                    <w:rPr>
                      <w:rFonts w:hint="eastAsia" w:cs="Times New Roman"/>
                      <w:color w:val="auto"/>
                      <w:spacing w:val="-3"/>
                      <w:sz w:val="18"/>
                      <w:szCs w:val="18"/>
                      <w:lang w:val="en-US" w:eastAsia="zh-CN"/>
                    </w:rPr>
                    <w:t xml:space="preserve">25 </w:t>
                  </w:r>
                </w:p>
              </w:tc>
              <w:tc>
                <w:tcPr>
                  <w:tcW w:w="680" w:type="pct"/>
                  <w:tcBorders>
                    <w:tl2br w:val="nil"/>
                    <w:tr2bl w:val="nil"/>
                  </w:tcBorders>
                  <w:vAlign w:val="center"/>
                </w:tcPr>
                <w:p w14:paraId="5931757F">
                  <w:pPr>
                    <w:pStyle w:val="167"/>
                    <w:autoSpaceDE/>
                    <w:autoSpaceDN/>
                    <w:adjustRightInd/>
                    <w:snapToGrid/>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pacing w:val="-4"/>
                      <w:sz w:val="18"/>
                      <w:szCs w:val="18"/>
                    </w:rPr>
                    <w:t>达标</w:t>
                  </w:r>
                </w:p>
              </w:tc>
            </w:tr>
            <w:tr w14:paraId="562025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57" w:type="pct"/>
                  <w:tcBorders>
                    <w:tl2br w:val="nil"/>
                    <w:tr2bl w:val="nil"/>
                  </w:tcBorders>
                  <w:vAlign w:val="center"/>
                </w:tcPr>
                <w:p w14:paraId="54EED97B">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3"/>
                      <w:sz w:val="18"/>
                      <w:szCs w:val="18"/>
                      <w:lang w:eastAsia="en-US"/>
                    </w:rPr>
                    <w:t>O</w:t>
                  </w:r>
                  <w:r>
                    <w:rPr>
                      <w:rFonts w:cs="Times New Roman"/>
                      <w:color w:val="auto"/>
                      <w:spacing w:val="-3"/>
                      <w:position w:val="-1"/>
                      <w:sz w:val="18"/>
                      <w:szCs w:val="18"/>
                      <w:vertAlign w:val="subscript"/>
                      <w:lang w:eastAsia="en-US"/>
                    </w:rPr>
                    <w:t>3</w:t>
                  </w:r>
                </w:p>
              </w:tc>
              <w:tc>
                <w:tcPr>
                  <w:tcW w:w="1770" w:type="pct"/>
                  <w:tcBorders>
                    <w:tl2br w:val="nil"/>
                    <w:tr2bl w:val="nil"/>
                  </w:tcBorders>
                  <w:vAlign w:val="center"/>
                </w:tcPr>
                <w:p w14:paraId="736B3A88">
                  <w:pPr>
                    <w:pStyle w:val="167"/>
                    <w:autoSpaceDE/>
                    <w:autoSpaceDN/>
                    <w:adjustRightInd/>
                    <w:snapToGrid/>
                    <w:spacing w:line="240" w:lineRule="auto"/>
                    <w:ind w:firstLine="0" w:firstLineChars="0"/>
                    <w:jc w:val="center"/>
                    <w:rPr>
                      <w:rFonts w:ascii="Times New Roman" w:hAnsi="Times New Roman" w:cs="Times New Roman"/>
                      <w:color w:val="auto"/>
                      <w:sz w:val="18"/>
                      <w:szCs w:val="18"/>
                      <w:lang w:eastAsia="zh-CN"/>
                    </w:rPr>
                  </w:pPr>
                  <w:r>
                    <w:rPr>
                      <w:rFonts w:ascii="Times New Roman" w:hAnsi="Times New Roman" w:cs="Times New Roman"/>
                      <w:color w:val="auto"/>
                      <w:spacing w:val="-2"/>
                      <w:sz w:val="18"/>
                      <w:szCs w:val="18"/>
                      <w:lang w:eastAsia="zh-CN"/>
                    </w:rPr>
                    <w:t>8h平均第90分位质量浓度</w:t>
                  </w:r>
                </w:p>
              </w:tc>
              <w:tc>
                <w:tcPr>
                  <w:tcW w:w="695" w:type="pct"/>
                  <w:tcBorders>
                    <w:tl2br w:val="nil"/>
                    <w:tr2bl w:val="nil"/>
                  </w:tcBorders>
                  <w:vAlign w:val="center"/>
                </w:tcPr>
                <w:p w14:paraId="6598C696">
                  <w:pPr>
                    <w:autoSpaceDE/>
                    <w:autoSpaceDN/>
                    <w:adjustRightInd/>
                    <w:snapToGrid/>
                    <w:spacing w:line="240" w:lineRule="auto"/>
                    <w:ind w:firstLine="0" w:firstLineChars="0"/>
                    <w:jc w:val="center"/>
                    <w:rPr>
                      <w:rFonts w:hint="default" w:eastAsia="宋体" w:cs="Times New Roman"/>
                      <w:color w:val="auto"/>
                      <w:sz w:val="18"/>
                      <w:szCs w:val="18"/>
                      <w:lang w:val="en-US" w:eastAsia="zh-CN"/>
                    </w:rPr>
                  </w:pPr>
                  <w:r>
                    <w:rPr>
                      <w:rFonts w:cs="Times New Roman"/>
                      <w:color w:val="auto"/>
                      <w:spacing w:val="-7"/>
                      <w:sz w:val="18"/>
                      <w:szCs w:val="18"/>
                      <w:lang w:eastAsia="en-US"/>
                    </w:rPr>
                    <w:t>1</w:t>
                  </w:r>
                  <w:r>
                    <w:rPr>
                      <w:rFonts w:hint="eastAsia" w:cs="Times New Roman"/>
                      <w:color w:val="auto"/>
                      <w:spacing w:val="-7"/>
                      <w:sz w:val="18"/>
                      <w:szCs w:val="18"/>
                      <w:lang w:val="en-US" w:eastAsia="zh-CN"/>
                    </w:rPr>
                    <w:t>56</w:t>
                  </w:r>
                </w:p>
              </w:tc>
              <w:tc>
                <w:tcPr>
                  <w:tcW w:w="666" w:type="pct"/>
                  <w:tcBorders>
                    <w:tl2br w:val="nil"/>
                    <w:tr2bl w:val="nil"/>
                  </w:tcBorders>
                  <w:vAlign w:val="center"/>
                </w:tcPr>
                <w:p w14:paraId="4E545950">
                  <w:pPr>
                    <w:autoSpaceDE/>
                    <w:autoSpaceDN/>
                    <w:adjustRightInd/>
                    <w:snapToGrid/>
                    <w:spacing w:line="240" w:lineRule="auto"/>
                    <w:ind w:firstLine="0" w:firstLineChars="0"/>
                    <w:jc w:val="center"/>
                    <w:rPr>
                      <w:rFonts w:cs="Times New Roman"/>
                      <w:color w:val="auto"/>
                      <w:sz w:val="18"/>
                      <w:szCs w:val="18"/>
                      <w:lang w:eastAsia="en-US"/>
                    </w:rPr>
                  </w:pPr>
                  <w:r>
                    <w:rPr>
                      <w:rFonts w:cs="Times New Roman"/>
                      <w:color w:val="auto"/>
                      <w:spacing w:val="-7"/>
                      <w:sz w:val="18"/>
                      <w:szCs w:val="18"/>
                      <w:lang w:eastAsia="en-US"/>
                    </w:rPr>
                    <w:t>160</w:t>
                  </w:r>
                </w:p>
              </w:tc>
              <w:tc>
                <w:tcPr>
                  <w:tcW w:w="1072" w:type="dxa"/>
                  <w:tcBorders>
                    <w:tl2br w:val="nil"/>
                    <w:tr2bl w:val="nil"/>
                  </w:tcBorders>
                  <w:vAlign w:val="center"/>
                </w:tcPr>
                <w:p w14:paraId="54185854">
                  <w:pPr>
                    <w:autoSpaceDE/>
                    <w:autoSpaceDN/>
                    <w:adjustRightInd/>
                    <w:snapToGrid/>
                    <w:spacing w:line="240" w:lineRule="auto"/>
                    <w:ind w:firstLine="0" w:firstLineChars="0"/>
                    <w:jc w:val="center"/>
                    <w:rPr>
                      <w:rFonts w:cs="Times New Roman"/>
                      <w:color w:val="auto"/>
                      <w:spacing w:val="-3"/>
                      <w:sz w:val="18"/>
                      <w:szCs w:val="18"/>
                      <w:lang w:eastAsia="en-US"/>
                    </w:rPr>
                  </w:pPr>
                  <w:r>
                    <w:rPr>
                      <w:rFonts w:hint="eastAsia" w:cs="Times New Roman"/>
                      <w:color w:val="auto"/>
                      <w:spacing w:val="-3"/>
                      <w:sz w:val="18"/>
                      <w:szCs w:val="18"/>
                      <w:lang w:val="en-US" w:eastAsia="zh-CN"/>
                    </w:rPr>
                    <w:t xml:space="preserve">98 </w:t>
                  </w:r>
                </w:p>
              </w:tc>
              <w:tc>
                <w:tcPr>
                  <w:tcW w:w="680" w:type="pct"/>
                  <w:tcBorders>
                    <w:tl2br w:val="nil"/>
                    <w:tr2bl w:val="nil"/>
                  </w:tcBorders>
                  <w:vAlign w:val="center"/>
                </w:tcPr>
                <w:p w14:paraId="3C7D9DF5">
                  <w:pPr>
                    <w:pStyle w:val="167"/>
                    <w:autoSpaceDE/>
                    <w:autoSpaceDN/>
                    <w:adjustRightInd/>
                    <w:snapToGrid/>
                    <w:spacing w:line="240" w:lineRule="auto"/>
                    <w:ind w:firstLine="0" w:firstLineChars="0"/>
                    <w:jc w:val="center"/>
                    <w:rPr>
                      <w:rFonts w:ascii="Times New Roman" w:hAnsi="Times New Roman" w:cs="Times New Roman"/>
                      <w:color w:val="auto"/>
                      <w:sz w:val="18"/>
                      <w:szCs w:val="18"/>
                      <w:lang w:eastAsia="zh-CN"/>
                    </w:rPr>
                  </w:pPr>
                  <w:r>
                    <w:rPr>
                      <w:rFonts w:ascii="Times New Roman" w:hAnsi="Times New Roman" w:cs="Times New Roman"/>
                      <w:color w:val="auto"/>
                      <w:spacing w:val="-4"/>
                      <w:sz w:val="18"/>
                      <w:szCs w:val="18"/>
                      <w:lang w:eastAsia="zh-CN"/>
                    </w:rPr>
                    <w:t>达标</w:t>
                  </w:r>
                </w:p>
              </w:tc>
            </w:tr>
          </w:tbl>
          <w:p w14:paraId="7B33DCA8">
            <w:pPr>
              <w:spacing w:line="500" w:lineRule="exact"/>
              <w:ind w:firstLine="420"/>
              <w:jc w:val="left"/>
              <w:rPr>
                <w:color w:val="auto"/>
                <w:kern w:val="0"/>
                <w:szCs w:val="21"/>
              </w:rPr>
            </w:pPr>
            <w:r>
              <w:rPr>
                <w:color w:val="auto"/>
                <w:kern w:val="0"/>
                <w:szCs w:val="21"/>
              </w:rPr>
              <w:t>根据</w:t>
            </w:r>
            <w:r>
              <w:rPr>
                <w:rFonts w:hint="eastAsia"/>
                <w:color w:val="auto"/>
                <w:szCs w:val="21"/>
                <w:lang w:val="zh-CN"/>
              </w:rPr>
              <w:t>《南通市生态环境状况公报》（202</w:t>
            </w:r>
            <w:r>
              <w:rPr>
                <w:rFonts w:hint="eastAsia"/>
                <w:color w:val="auto"/>
                <w:szCs w:val="21"/>
                <w:lang w:val="en-US" w:eastAsia="zh-CN"/>
              </w:rPr>
              <w:t>4</w:t>
            </w:r>
            <w:r>
              <w:rPr>
                <w:rFonts w:hint="eastAsia"/>
                <w:color w:val="auto"/>
                <w:szCs w:val="21"/>
                <w:lang w:val="zh-CN"/>
              </w:rPr>
              <w:t>年）</w:t>
            </w:r>
            <w:r>
              <w:rPr>
                <w:color w:val="auto"/>
                <w:kern w:val="0"/>
                <w:szCs w:val="21"/>
              </w:rPr>
              <w:t>，202</w:t>
            </w:r>
            <w:r>
              <w:rPr>
                <w:rFonts w:hint="eastAsia"/>
                <w:color w:val="auto"/>
                <w:kern w:val="0"/>
                <w:szCs w:val="21"/>
                <w:lang w:val="en-US" w:eastAsia="zh-CN"/>
              </w:rPr>
              <w:t>4</w:t>
            </w:r>
            <w:r>
              <w:rPr>
                <w:color w:val="auto"/>
                <w:kern w:val="0"/>
                <w:szCs w:val="21"/>
              </w:rPr>
              <w:t>年</w:t>
            </w:r>
            <w:r>
              <w:rPr>
                <w:rFonts w:hint="eastAsia" w:eastAsia="宋体_x0011_...."/>
                <w:color w:val="auto"/>
                <w:lang w:val="en-US" w:eastAsia="zh-CN"/>
              </w:rPr>
              <w:t>海门区</w:t>
            </w:r>
            <w:r>
              <w:rPr>
                <w:color w:val="auto"/>
                <w:kern w:val="0"/>
                <w:szCs w:val="21"/>
              </w:rPr>
              <w:t>空气主要污染指标SO</w:t>
            </w:r>
            <w:r>
              <w:rPr>
                <w:color w:val="auto"/>
                <w:kern w:val="0"/>
                <w:szCs w:val="21"/>
                <w:vertAlign w:val="subscript"/>
              </w:rPr>
              <w:t>2</w:t>
            </w:r>
            <w:r>
              <w:rPr>
                <w:color w:val="auto"/>
                <w:kern w:val="0"/>
                <w:szCs w:val="21"/>
              </w:rPr>
              <w:t>、NO</w:t>
            </w:r>
            <w:r>
              <w:rPr>
                <w:color w:val="auto"/>
                <w:kern w:val="0"/>
                <w:szCs w:val="21"/>
                <w:vertAlign w:val="subscript"/>
              </w:rPr>
              <w:t>2</w:t>
            </w:r>
            <w:r>
              <w:rPr>
                <w:color w:val="auto"/>
                <w:kern w:val="0"/>
                <w:szCs w:val="21"/>
              </w:rPr>
              <w:t>、PM</w:t>
            </w:r>
            <w:r>
              <w:rPr>
                <w:color w:val="auto"/>
                <w:kern w:val="0"/>
                <w:szCs w:val="21"/>
                <w:vertAlign w:val="subscript"/>
              </w:rPr>
              <w:t>10</w:t>
            </w:r>
            <w:r>
              <w:rPr>
                <w:color w:val="auto"/>
                <w:kern w:val="0"/>
                <w:szCs w:val="21"/>
              </w:rPr>
              <w:t>、PM</w:t>
            </w:r>
            <w:r>
              <w:rPr>
                <w:color w:val="auto"/>
                <w:kern w:val="0"/>
                <w:szCs w:val="21"/>
                <w:vertAlign w:val="subscript"/>
              </w:rPr>
              <w:t>2.5</w:t>
            </w:r>
            <w:r>
              <w:rPr>
                <w:color w:val="auto"/>
                <w:kern w:val="0"/>
                <w:szCs w:val="21"/>
              </w:rPr>
              <w:t>、CO</w:t>
            </w:r>
            <w:r>
              <w:rPr>
                <w:rFonts w:hint="eastAsia"/>
                <w:color w:val="auto"/>
                <w:kern w:val="0"/>
                <w:szCs w:val="21"/>
                <w:lang w:val="en-US" w:eastAsia="zh-CN"/>
              </w:rPr>
              <w:t>及</w:t>
            </w:r>
            <w:r>
              <w:rPr>
                <w:color w:val="auto"/>
                <w:kern w:val="0"/>
                <w:szCs w:val="21"/>
              </w:rPr>
              <w:t>O</w:t>
            </w:r>
            <w:r>
              <w:rPr>
                <w:color w:val="auto"/>
                <w:kern w:val="0"/>
                <w:szCs w:val="21"/>
                <w:vertAlign w:val="subscript"/>
              </w:rPr>
              <w:t>3</w:t>
            </w:r>
            <w:r>
              <w:rPr>
                <w:rFonts w:hint="eastAsia"/>
                <w:color w:val="auto"/>
                <w:kern w:val="0"/>
                <w:szCs w:val="21"/>
                <w:lang w:val="en-US" w:eastAsia="zh-CN"/>
              </w:rPr>
              <w:t>均</w:t>
            </w:r>
            <w:r>
              <w:rPr>
                <w:color w:val="auto"/>
                <w:kern w:val="0"/>
                <w:szCs w:val="21"/>
              </w:rPr>
              <w:t>满足《环境空气质量标准》（GB3095-2012）二级标准，因此判定本区域为达标区。</w:t>
            </w:r>
            <w:r>
              <w:rPr>
                <w:rFonts w:hint="eastAsia"/>
                <w:color w:val="auto"/>
                <w:lang w:val="en-US" w:eastAsia="zh-CN"/>
              </w:rPr>
              <w:t>对比</w:t>
            </w:r>
            <w:r>
              <w:rPr>
                <w:color w:val="auto"/>
                <w:lang w:eastAsia="zh-CN"/>
              </w:rPr>
              <w:t>《环境空气质量标准》</w:t>
            </w:r>
            <w:r>
              <w:rPr>
                <w:rFonts w:hint="eastAsia"/>
                <w:color w:val="auto"/>
                <w:lang w:eastAsia="zh-CN"/>
              </w:rPr>
              <w:t>（</w:t>
            </w:r>
            <w:r>
              <w:rPr>
                <w:color w:val="auto"/>
                <w:lang w:eastAsia="zh-CN"/>
              </w:rPr>
              <w:t>GB3095-20</w:t>
            </w:r>
            <w:r>
              <w:rPr>
                <w:rFonts w:hint="eastAsia"/>
                <w:color w:val="auto"/>
                <w:lang w:val="en-US" w:eastAsia="zh-CN"/>
              </w:rPr>
              <w:t>26</w:t>
            </w:r>
            <w:r>
              <w:rPr>
                <w:rFonts w:hint="eastAsia"/>
                <w:color w:val="auto"/>
                <w:lang w:eastAsia="zh-CN"/>
              </w:rPr>
              <w:t>）</w:t>
            </w:r>
            <w:r>
              <w:rPr>
                <w:color w:val="auto"/>
                <w:lang w:eastAsia="zh-CN"/>
              </w:rPr>
              <w:t>表1中</w:t>
            </w:r>
            <w:r>
              <w:rPr>
                <w:rFonts w:hint="eastAsia"/>
                <w:color w:val="auto"/>
                <w:lang w:val="en-US" w:eastAsia="zh-CN"/>
              </w:rPr>
              <w:t>过度阶段</w:t>
            </w:r>
            <w:r>
              <w:rPr>
                <w:color w:val="auto"/>
                <w:lang w:eastAsia="zh-CN"/>
              </w:rPr>
              <w:t>二级标准</w:t>
            </w:r>
            <w:r>
              <w:rPr>
                <w:rFonts w:hint="eastAsia"/>
                <w:color w:val="auto"/>
                <w:lang w:val="en-US" w:eastAsia="zh-CN"/>
              </w:rPr>
              <w:t>值，也满足要求</w:t>
            </w:r>
            <w:r>
              <w:rPr>
                <w:color w:val="auto"/>
              </w:rPr>
              <w:t>。</w:t>
            </w:r>
          </w:p>
          <w:p w14:paraId="520327DC">
            <w:pPr>
              <w:spacing w:line="500" w:lineRule="exact"/>
              <w:ind w:firstLine="422"/>
              <w:jc w:val="left"/>
              <w:rPr>
                <w:b/>
                <w:color w:val="auto"/>
                <w:szCs w:val="21"/>
              </w:rPr>
            </w:pPr>
            <w:r>
              <w:rPr>
                <w:b/>
                <w:color w:val="auto"/>
                <w:szCs w:val="21"/>
              </w:rPr>
              <w:t>2、水环境质量状况</w:t>
            </w:r>
          </w:p>
          <w:p w14:paraId="768FB6AA">
            <w:pPr>
              <w:ind w:firstLine="420"/>
              <w:rPr>
                <w:color w:val="auto"/>
              </w:rPr>
            </w:pPr>
            <w:r>
              <w:rPr>
                <w:color w:val="auto"/>
              </w:rPr>
              <w:t>根据</w:t>
            </w:r>
            <w:r>
              <w:rPr>
                <w:rFonts w:hint="eastAsia"/>
                <w:color w:val="auto"/>
                <w:szCs w:val="21"/>
                <w:lang w:val="zh-CN"/>
              </w:rPr>
              <w:t>《南通市生态环境状况公报》（202</w:t>
            </w:r>
            <w:r>
              <w:rPr>
                <w:rFonts w:hint="eastAsia"/>
                <w:color w:val="auto"/>
                <w:szCs w:val="21"/>
                <w:lang w:val="en-US" w:eastAsia="zh-CN"/>
              </w:rPr>
              <w:t>4</w:t>
            </w:r>
            <w:r>
              <w:rPr>
                <w:rFonts w:hint="eastAsia"/>
                <w:color w:val="auto"/>
                <w:szCs w:val="21"/>
                <w:lang w:val="zh-CN"/>
              </w:rPr>
              <w:t>年）</w:t>
            </w:r>
            <w:r>
              <w:rPr>
                <w:color w:val="auto"/>
              </w:rPr>
              <w:t>，</w:t>
            </w:r>
            <w:r>
              <w:rPr>
                <w:rFonts w:hint="eastAsia"/>
                <w:color w:val="auto"/>
              </w:rPr>
              <w:t>南通市共有16个国家考核断面，均达到省定考核要求，其中15个断面水质达到或优于《地表水环境质量标准》</w:t>
            </w:r>
            <w:r>
              <w:rPr>
                <w:rFonts w:hint="eastAsia"/>
                <w:color w:val="auto"/>
                <w:lang w:eastAsia="zh-CN"/>
              </w:rPr>
              <w:t>（</w:t>
            </w:r>
            <w:r>
              <w:rPr>
                <w:rFonts w:hint="eastAsia"/>
                <w:color w:val="auto"/>
              </w:rPr>
              <w:t>GB3838-2002</w:t>
            </w:r>
            <w:r>
              <w:rPr>
                <w:rFonts w:hint="eastAsia"/>
                <w:color w:val="auto"/>
                <w:lang w:eastAsia="zh-CN"/>
              </w:rPr>
              <w:t>）</w:t>
            </w:r>
            <w:r>
              <w:rPr>
                <w:rFonts w:hint="eastAsia"/>
                <w:color w:val="auto"/>
              </w:rPr>
              <w:t>Ⅲ类标准。55个省考以上断面中九圩港桥、聚南大桥、营船港闸、通吕二号桥等16个断面水质符合Ⅱ类标准，孙窑大桥、碾砣港闸、勇敢大桥、东方大道桥、城港路桥等38个断面水质符合Ⅲ类标准；无V类和劣V类断面</w:t>
            </w:r>
            <w:r>
              <w:rPr>
                <w:color w:val="auto"/>
                <w:kern w:val="0"/>
                <w:szCs w:val="21"/>
              </w:rPr>
              <w:t>。</w:t>
            </w:r>
          </w:p>
          <w:p w14:paraId="025F8156">
            <w:pPr>
              <w:ind w:firstLine="422"/>
              <w:rPr>
                <w:b/>
                <w:color w:val="auto"/>
              </w:rPr>
            </w:pPr>
            <w:r>
              <w:rPr>
                <w:rFonts w:hint="eastAsia"/>
                <w:b/>
                <w:color w:val="auto"/>
              </w:rPr>
              <w:t>3、</w:t>
            </w:r>
            <w:r>
              <w:rPr>
                <w:b/>
                <w:color w:val="auto"/>
              </w:rPr>
              <w:t>声环境</w:t>
            </w:r>
          </w:p>
          <w:p w14:paraId="24F1712C">
            <w:pPr>
              <w:ind w:firstLine="420"/>
              <w:rPr>
                <w:color w:val="auto"/>
              </w:rPr>
            </w:pPr>
            <w:r>
              <w:rPr>
                <w:rFonts w:hint="eastAsia"/>
                <w:color w:val="auto"/>
              </w:rPr>
              <w:t>本项目位于</w:t>
            </w:r>
            <w:r>
              <w:rPr>
                <w:rFonts w:hint="eastAsia"/>
                <w:b w:val="0"/>
                <w:bCs w:val="0"/>
                <w:color w:val="auto"/>
                <w:kern w:val="0"/>
                <w:szCs w:val="21"/>
                <w:highlight w:val="none"/>
                <w:lang w:val="en-US" w:eastAsia="zh-CN"/>
              </w:rPr>
              <w:t>海门经济技术开发区扬子江路2288号</w:t>
            </w:r>
            <w:r>
              <w:rPr>
                <w:rFonts w:hint="eastAsia"/>
                <w:color w:val="auto"/>
              </w:rPr>
              <w:t>，根据《市政府关于印发南通市中心城区声环境功能区划分规定（2024年修订版）的通知》，本项目所在地为声环境功能3类区，执行《声环境质量标准》（GB3096-2008）中3类标准。根据《建设项目环境影响报告表编制技术指南（污染影响类）》，本项目50m范围内无声环境保护目标，不进行声环境质量现状监测。</w:t>
            </w:r>
          </w:p>
          <w:p w14:paraId="5D8F6FEA">
            <w:pPr>
              <w:ind w:firstLine="420"/>
              <w:rPr>
                <w:color w:val="auto"/>
              </w:rPr>
            </w:pPr>
            <w:r>
              <w:rPr>
                <w:color w:val="auto"/>
              </w:rPr>
              <w:t>根据</w:t>
            </w:r>
            <w:r>
              <w:rPr>
                <w:rFonts w:hint="eastAsia"/>
                <w:color w:val="auto"/>
                <w:szCs w:val="21"/>
                <w:lang w:val="zh-CN"/>
              </w:rPr>
              <w:t>《南通市生态环境状况公报》（202</w:t>
            </w:r>
            <w:r>
              <w:rPr>
                <w:rFonts w:hint="eastAsia"/>
                <w:color w:val="auto"/>
                <w:szCs w:val="21"/>
                <w:lang w:val="en-US" w:eastAsia="zh-CN"/>
              </w:rPr>
              <w:t>4</w:t>
            </w:r>
            <w:r>
              <w:rPr>
                <w:rFonts w:hint="eastAsia"/>
                <w:color w:val="auto"/>
                <w:szCs w:val="21"/>
                <w:lang w:val="zh-CN"/>
              </w:rPr>
              <w:t>年）</w:t>
            </w:r>
            <w:r>
              <w:rPr>
                <w:color w:val="auto"/>
              </w:rPr>
              <w:t>，</w:t>
            </w:r>
            <w:r>
              <w:rPr>
                <w:rFonts w:hint="eastAsia"/>
                <w:color w:val="auto"/>
                <w:lang w:val="en-US" w:eastAsia="zh-CN"/>
              </w:rPr>
              <w:t>2</w:t>
            </w:r>
            <w:r>
              <w:rPr>
                <w:rFonts w:hint="eastAsia" w:eastAsia="宋体"/>
                <w:color w:val="auto"/>
                <w:kern w:val="0"/>
                <w:szCs w:val="21"/>
                <w:highlight w:val="none"/>
              </w:rPr>
              <w:t>024年南通全市声环境质量总体较好并且保持稳定</w:t>
            </w:r>
            <w:r>
              <w:rPr>
                <w:rFonts w:hint="eastAsia" w:eastAsia="宋体"/>
                <w:color w:val="auto"/>
                <w:kern w:val="0"/>
                <w:szCs w:val="21"/>
                <w:highlight w:val="none"/>
                <w:lang w:eastAsia="zh-CN"/>
              </w:rPr>
              <w:t>，</w:t>
            </w:r>
            <w:r>
              <w:rPr>
                <w:rFonts w:hint="eastAsia" w:eastAsia="宋体"/>
                <w:color w:val="auto"/>
                <w:kern w:val="0"/>
                <w:szCs w:val="21"/>
                <w:highlight w:val="none"/>
              </w:rPr>
              <w:t>海门区1类区、2类区</w:t>
            </w:r>
            <w:r>
              <w:rPr>
                <w:rFonts w:hint="eastAsia" w:eastAsia="宋体"/>
                <w:color w:val="auto"/>
                <w:kern w:val="0"/>
                <w:szCs w:val="21"/>
                <w:highlight w:val="none"/>
                <w:lang w:eastAsia="zh-CN"/>
              </w:rPr>
              <w:t>（</w:t>
            </w:r>
            <w:r>
              <w:rPr>
                <w:rFonts w:hint="eastAsia" w:eastAsia="宋体"/>
                <w:color w:val="auto"/>
                <w:kern w:val="0"/>
                <w:szCs w:val="21"/>
                <w:highlight w:val="none"/>
              </w:rPr>
              <w:t>居住、商业、工业混杂区</w:t>
            </w:r>
            <w:r>
              <w:rPr>
                <w:rFonts w:hint="eastAsia" w:eastAsia="宋体"/>
                <w:color w:val="auto"/>
                <w:kern w:val="0"/>
                <w:szCs w:val="21"/>
                <w:highlight w:val="none"/>
                <w:lang w:eastAsia="zh-CN"/>
              </w:rPr>
              <w:t>）</w:t>
            </w:r>
            <w:r>
              <w:rPr>
                <w:rFonts w:hint="eastAsia" w:eastAsia="宋体"/>
                <w:color w:val="auto"/>
                <w:kern w:val="0"/>
                <w:szCs w:val="21"/>
                <w:highlight w:val="none"/>
              </w:rPr>
              <w:t>、3类区</w:t>
            </w:r>
            <w:r>
              <w:rPr>
                <w:rFonts w:hint="eastAsia" w:eastAsia="宋体"/>
                <w:color w:val="auto"/>
                <w:kern w:val="0"/>
                <w:szCs w:val="21"/>
                <w:highlight w:val="none"/>
                <w:lang w:eastAsia="zh-CN"/>
              </w:rPr>
              <w:t>（</w:t>
            </w:r>
            <w:r>
              <w:rPr>
                <w:rFonts w:hint="eastAsia" w:eastAsia="宋体"/>
                <w:color w:val="auto"/>
                <w:kern w:val="0"/>
                <w:szCs w:val="21"/>
                <w:highlight w:val="none"/>
              </w:rPr>
              <w:t>工业区</w:t>
            </w:r>
            <w:r>
              <w:rPr>
                <w:rFonts w:hint="eastAsia" w:eastAsia="宋体"/>
                <w:color w:val="auto"/>
                <w:kern w:val="0"/>
                <w:szCs w:val="21"/>
                <w:highlight w:val="none"/>
                <w:lang w:eastAsia="zh-CN"/>
              </w:rPr>
              <w:t>）</w:t>
            </w:r>
            <w:r>
              <w:rPr>
                <w:rFonts w:hint="eastAsia" w:eastAsia="宋体"/>
                <w:color w:val="auto"/>
                <w:kern w:val="0"/>
                <w:szCs w:val="21"/>
                <w:highlight w:val="none"/>
              </w:rPr>
              <w:t>及4a类区昼夜间等效声级值均符合相应功能区标准</w:t>
            </w:r>
            <w:r>
              <w:rPr>
                <w:rFonts w:hint="eastAsia"/>
                <w:color w:val="auto"/>
              </w:rPr>
              <w:t>，表明项目所在地声环境质量现状良好。</w:t>
            </w:r>
          </w:p>
          <w:p w14:paraId="62C54710">
            <w:pPr>
              <w:ind w:firstLine="422"/>
              <w:rPr>
                <w:b/>
                <w:color w:val="auto"/>
              </w:rPr>
            </w:pPr>
            <w:r>
              <w:rPr>
                <w:b/>
                <w:color w:val="auto"/>
              </w:rPr>
              <w:t>4、生态环境</w:t>
            </w:r>
          </w:p>
          <w:p w14:paraId="45440F99">
            <w:pPr>
              <w:ind w:firstLine="420"/>
              <w:rPr>
                <w:color w:val="auto"/>
              </w:rPr>
            </w:pPr>
            <w:r>
              <w:rPr>
                <w:rFonts w:hint="eastAsia"/>
                <w:color w:val="auto"/>
              </w:rPr>
              <w:t>本项目位于</w:t>
            </w:r>
            <w:r>
              <w:rPr>
                <w:rFonts w:hint="eastAsia"/>
                <w:b w:val="0"/>
                <w:bCs w:val="0"/>
                <w:color w:val="auto"/>
                <w:kern w:val="0"/>
                <w:szCs w:val="21"/>
                <w:highlight w:val="none"/>
                <w:lang w:val="en-US" w:eastAsia="zh-CN"/>
              </w:rPr>
              <w:t>海门经济技术开发区扬子江路2288号</w:t>
            </w:r>
            <w:r>
              <w:rPr>
                <w:rFonts w:hint="eastAsia"/>
                <w:color w:val="auto"/>
              </w:rPr>
              <w:t>，所在地生态环境状况一般，不属于生态环境敏感地区；附近无珍稀野生动植物分布，无重大保护的文物古迹存在；用地范围内无生态环境保护目标。</w:t>
            </w:r>
          </w:p>
          <w:p w14:paraId="5F1731CD">
            <w:pPr>
              <w:ind w:firstLine="422"/>
              <w:rPr>
                <w:b/>
                <w:color w:val="auto"/>
              </w:rPr>
            </w:pPr>
            <w:r>
              <w:rPr>
                <w:b/>
                <w:color w:val="auto"/>
              </w:rPr>
              <w:t>5、土壤、地下水环境质量</w:t>
            </w:r>
          </w:p>
          <w:p w14:paraId="17DE81C8">
            <w:pPr>
              <w:ind w:firstLine="420"/>
              <w:rPr>
                <w:color w:val="auto"/>
              </w:rPr>
            </w:pPr>
            <w:r>
              <w:rPr>
                <w:rFonts w:hint="eastAsia"/>
                <w:color w:val="auto"/>
              </w:rPr>
              <w:t>本项目厂界外500米范围内无地下水集中式饮用水水源和热水、矿泉水、温泉等特殊地下水资源主要环境保护目标。</w:t>
            </w:r>
            <w:r>
              <w:rPr>
                <w:color w:val="auto"/>
              </w:rPr>
              <w:t>本项目</w:t>
            </w:r>
            <w:r>
              <w:rPr>
                <w:rFonts w:hint="eastAsia"/>
                <w:color w:val="auto"/>
              </w:rPr>
              <w:t>对</w:t>
            </w:r>
            <w:r>
              <w:rPr>
                <w:color w:val="auto"/>
              </w:rPr>
              <w:t>厂区进行了分区防渗，不属于存在土壤、地下水环境污染途径的项目，原则上不开展环境质量现状调查。</w:t>
            </w:r>
          </w:p>
          <w:p w14:paraId="4E25963E">
            <w:pPr>
              <w:ind w:firstLine="422"/>
              <w:rPr>
                <w:b/>
                <w:color w:val="auto"/>
              </w:rPr>
            </w:pPr>
            <w:r>
              <w:rPr>
                <w:b/>
                <w:color w:val="auto"/>
              </w:rPr>
              <w:t>6、电磁辐射</w:t>
            </w:r>
          </w:p>
          <w:p w14:paraId="1301B865">
            <w:pPr>
              <w:ind w:firstLine="420"/>
              <w:rPr>
                <w:color w:val="auto"/>
              </w:rPr>
            </w:pPr>
            <w:r>
              <w:rPr>
                <w:rFonts w:hint="eastAsia"/>
                <w:color w:val="auto"/>
              </w:rPr>
              <w:t>本</w:t>
            </w:r>
            <w:r>
              <w:rPr>
                <w:color w:val="auto"/>
              </w:rPr>
              <w:t>项目不属于广播电台、差转台、电视塔台、卫星地球上行站、雷达等电磁辐射类项目，不开展电磁辐射现状开展监测与评价。</w:t>
            </w:r>
          </w:p>
        </w:tc>
      </w:tr>
      <w:tr w14:paraId="5007E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Align w:val="center"/>
          </w:tcPr>
          <w:p w14:paraId="103C4CC0">
            <w:pPr>
              <w:pStyle w:val="75"/>
              <w:rPr>
                <w:color w:val="auto"/>
              </w:rPr>
            </w:pPr>
            <w:r>
              <w:rPr>
                <w:color w:val="auto"/>
              </w:rPr>
              <w:t>环境</w:t>
            </w:r>
          </w:p>
          <w:p w14:paraId="74592B07">
            <w:pPr>
              <w:pStyle w:val="75"/>
              <w:rPr>
                <w:color w:val="auto"/>
              </w:rPr>
            </w:pPr>
            <w:r>
              <w:rPr>
                <w:color w:val="auto"/>
              </w:rPr>
              <w:t>保护</w:t>
            </w:r>
          </w:p>
          <w:p w14:paraId="1BD49E1C">
            <w:pPr>
              <w:pStyle w:val="75"/>
              <w:rPr>
                <w:color w:val="auto"/>
              </w:rPr>
            </w:pPr>
            <w:r>
              <w:rPr>
                <w:color w:val="auto"/>
              </w:rPr>
              <w:t>目标</w:t>
            </w:r>
          </w:p>
        </w:tc>
        <w:tc>
          <w:tcPr>
            <w:tcW w:w="8506" w:type="dxa"/>
            <w:vAlign w:val="center"/>
          </w:tcPr>
          <w:p w14:paraId="46C267AC">
            <w:pPr>
              <w:ind w:firstLine="422"/>
              <w:rPr>
                <w:b/>
                <w:color w:val="auto"/>
              </w:rPr>
            </w:pPr>
            <w:r>
              <w:rPr>
                <w:rFonts w:hint="eastAsia"/>
                <w:b/>
                <w:color w:val="auto"/>
              </w:rPr>
              <w:t>1、</w:t>
            </w:r>
            <w:r>
              <w:rPr>
                <w:b/>
                <w:color w:val="auto"/>
              </w:rPr>
              <w:t>大气环境</w:t>
            </w:r>
          </w:p>
          <w:p w14:paraId="2B10009C">
            <w:pPr>
              <w:ind w:firstLine="420"/>
              <w:rPr>
                <w:color w:val="auto"/>
              </w:rPr>
            </w:pPr>
            <w:r>
              <w:rPr>
                <w:color w:val="auto"/>
              </w:rPr>
              <w:t>根据现场勘查，项目周边500m范围内无居民等大气环境保护目标。详见附图</w:t>
            </w:r>
            <w:r>
              <w:rPr>
                <w:rFonts w:hint="eastAsia"/>
                <w:color w:val="auto"/>
              </w:rPr>
              <w:t>二</w:t>
            </w:r>
            <w:r>
              <w:rPr>
                <w:color w:val="auto"/>
              </w:rPr>
              <w:t>。</w:t>
            </w:r>
          </w:p>
          <w:p w14:paraId="1FF43352">
            <w:pPr>
              <w:ind w:firstLine="422"/>
              <w:rPr>
                <w:b/>
                <w:color w:val="auto"/>
              </w:rPr>
            </w:pPr>
            <w:r>
              <w:rPr>
                <w:b/>
                <w:color w:val="auto"/>
              </w:rPr>
              <w:t>2、声环境</w:t>
            </w:r>
          </w:p>
          <w:p w14:paraId="766191AD">
            <w:pPr>
              <w:ind w:firstLine="420"/>
              <w:rPr>
                <w:color w:val="auto"/>
              </w:rPr>
            </w:pPr>
            <w:r>
              <w:rPr>
                <w:rFonts w:hint="eastAsia"/>
                <w:color w:val="auto"/>
              </w:rPr>
              <w:t>本</w:t>
            </w:r>
            <w:r>
              <w:rPr>
                <w:color w:val="auto"/>
              </w:rPr>
              <w:t>项目位于</w:t>
            </w:r>
            <w:r>
              <w:rPr>
                <w:rFonts w:hint="eastAsia"/>
                <w:b w:val="0"/>
                <w:bCs w:val="0"/>
                <w:color w:val="auto"/>
                <w:kern w:val="0"/>
                <w:szCs w:val="21"/>
                <w:highlight w:val="none"/>
                <w:lang w:val="en-US" w:eastAsia="zh-CN"/>
              </w:rPr>
              <w:t>海门经济技术开发区</w:t>
            </w:r>
            <w:r>
              <w:rPr>
                <w:color w:val="auto"/>
              </w:rPr>
              <w:t>，根据现场勘查，项目厂界周边50米范围内无声环境敏感目标。</w:t>
            </w:r>
          </w:p>
          <w:p w14:paraId="181E7F3A">
            <w:pPr>
              <w:ind w:firstLine="422"/>
              <w:rPr>
                <w:b/>
                <w:color w:val="auto"/>
              </w:rPr>
            </w:pPr>
            <w:r>
              <w:rPr>
                <w:b/>
                <w:color w:val="auto"/>
              </w:rPr>
              <w:t>3、地下水环境</w:t>
            </w:r>
          </w:p>
          <w:p w14:paraId="6503A4C4">
            <w:pPr>
              <w:ind w:firstLine="420"/>
              <w:rPr>
                <w:color w:val="auto"/>
              </w:rPr>
            </w:pPr>
            <w:r>
              <w:rPr>
                <w:rFonts w:hint="eastAsia"/>
                <w:color w:val="auto"/>
              </w:rPr>
              <w:t>本</w:t>
            </w:r>
            <w:r>
              <w:rPr>
                <w:color w:val="auto"/>
              </w:rPr>
              <w:t>项目位于</w:t>
            </w:r>
            <w:r>
              <w:rPr>
                <w:rFonts w:hint="eastAsia"/>
                <w:b w:val="0"/>
                <w:bCs w:val="0"/>
                <w:color w:val="auto"/>
                <w:kern w:val="0"/>
                <w:szCs w:val="21"/>
                <w:highlight w:val="none"/>
                <w:lang w:val="en-US" w:eastAsia="zh-CN"/>
              </w:rPr>
              <w:t>海门经济技术开发区</w:t>
            </w:r>
            <w:r>
              <w:rPr>
                <w:color w:val="auto"/>
              </w:rPr>
              <w:t>，厂界外500米范围内无地下水集中式饮用水水源和热水、矿泉水、温泉等特殊地下水资源。</w:t>
            </w:r>
          </w:p>
          <w:p w14:paraId="4DAF3D5D">
            <w:pPr>
              <w:ind w:firstLine="422"/>
              <w:rPr>
                <w:b/>
                <w:color w:val="auto"/>
              </w:rPr>
            </w:pPr>
            <w:r>
              <w:rPr>
                <w:rFonts w:hint="eastAsia"/>
                <w:b/>
                <w:color w:val="auto"/>
              </w:rPr>
              <w:t>4、</w:t>
            </w:r>
            <w:r>
              <w:rPr>
                <w:b/>
                <w:color w:val="auto"/>
              </w:rPr>
              <w:t>生态环境</w:t>
            </w:r>
          </w:p>
          <w:p w14:paraId="56D1F745">
            <w:pPr>
              <w:ind w:firstLine="420"/>
              <w:rPr>
                <w:color w:val="auto"/>
              </w:rPr>
            </w:pPr>
            <w:r>
              <w:rPr>
                <w:rFonts w:hint="eastAsia"/>
                <w:color w:val="auto"/>
              </w:rPr>
              <w:t>本项目位于</w:t>
            </w:r>
            <w:r>
              <w:rPr>
                <w:rFonts w:hint="eastAsia"/>
                <w:b w:val="0"/>
                <w:bCs w:val="0"/>
                <w:color w:val="auto"/>
                <w:kern w:val="0"/>
                <w:szCs w:val="21"/>
                <w:highlight w:val="none"/>
                <w:lang w:val="en-US" w:eastAsia="zh-CN"/>
              </w:rPr>
              <w:t>海门经济技术开发区</w:t>
            </w:r>
            <w:r>
              <w:rPr>
                <w:rFonts w:hint="eastAsia"/>
                <w:color w:val="auto"/>
              </w:rPr>
              <w:t>，</w:t>
            </w:r>
            <w:r>
              <w:rPr>
                <w:color w:val="auto"/>
              </w:rPr>
              <w:t>用地为工业用地，用地范围内无生态环境保护目标。</w:t>
            </w:r>
          </w:p>
        </w:tc>
      </w:tr>
      <w:tr w14:paraId="77A48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tcMar>
              <w:left w:w="28" w:type="dxa"/>
              <w:right w:w="28" w:type="dxa"/>
            </w:tcMar>
            <w:vAlign w:val="center"/>
          </w:tcPr>
          <w:p w14:paraId="5B39D1B8">
            <w:pPr>
              <w:pStyle w:val="75"/>
              <w:rPr>
                <w:color w:val="auto"/>
              </w:rPr>
            </w:pPr>
            <w:r>
              <w:rPr>
                <w:color w:val="auto"/>
              </w:rPr>
              <w:t>污染</w:t>
            </w:r>
          </w:p>
          <w:p w14:paraId="542F654C">
            <w:pPr>
              <w:pStyle w:val="75"/>
              <w:rPr>
                <w:color w:val="auto"/>
              </w:rPr>
            </w:pPr>
            <w:r>
              <w:rPr>
                <w:color w:val="auto"/>
              </w:rPr>
              <w:t>物排</w:t>
            </w:r>
          </w:p>
          <w:p w14:paraId="394DEC34">
            <w:pPr>
              <w:pStyle w:val="75"/>
              <w:rPr>
                <w:color w:val="auto"/>
              </w:rPr>
            </w:pPr>
            <w:r>
              <w:rPr>
                <w:color w:val="auto"/>
              </w:rPr>
              <w:t>放控</w:t>
            </w:r>
          </w:p>
          <w:p w14:paraId="7D6B4753">
            <w:pPr>
              <w:pStyle w:val="75"/>
              <w:rPr>
                <w:color w:val="auto"/>
              </w:rPr>
            </w:pPr>
            <w:r>
              <w:rPr>
                <w:color w:val="auto"/>
              </w:rPr>
              <w:t>制标</w:t>
            </w:r>
          </w:p>
          <w:p w14:paraId="179C4373">
            <w:pPr>
              <w:pStyle w:val="75"/>
              <w:rPr>
                <w:color w:val="auto"/>
              </w:rPr>
            </w:pPr>
            <w:r>
              <w:rPr>
                <w:color w:val="auto"/>
              </w:rPr>
              <w:t>准</w:t>
            </w:r>
          </w:p>
        </w:tc>
        <w:tc>
          <w:tcPr>
            <w:tcW w:w="8506" w:type="dxa"/>
            <w:vAlign w:val="center"/>
          </w:tcPr>
          <w:p w14:paraId="652975F5">
            <w:pPr>
              <w:ind w:firstLine="422"/>
              <w:rPr>
                <w:rFonts w:hint="default"/>
                <w:b/>
                <w:color w:val="auto"/>
                <w:lang w:val="en-US" w:eastAsia="zh-CN"/>
              </w:rPr>
            </w:pPr>
            <w:r>
              <w:rPr>
                <w:rFonts w:hint="eastAsia"/>
                <w:b/>
                <w:color w:val="auto"/>
                <w:lang w:val="en-US" w:eastAsia="zh-CN"/>
              </w:rPr>
              <w:t>1、废气排放标准</w:t>
            </w:r>
          </w:p>
          <w:p w14:paraId="52410157">
            <w:pPr>
              <w:ind w:firstLine="420"/>
              <w:rPr>
                <w:rFonts w:hint="eastAsia"/>
                <w:color w:val="auto"/>
              </w:rPr>
            </w:pPr>
            <w:r>
              <w:rPr>
                <w:rFonts w:hint="eastAsia"/>
                <w:color w:val="auto"/>
                <w:lang w:val="en-US" w:eastAsia="zh-CN"/>
              </w:rPr>
              <w:t>本项目不新增废气，现有</w:t>
            </w:r>
            <w:r>
              <w:rPr>
                <w:rFonts w:hint="eastAsia"/>
                <w:color w:val="auto"/>
              </w:rPr>
              <w:t>项目PET 薄膜生产线排放的非甲烷总烃执行《合成树脂工业污染物排放标准》（GB31572-2015）表 5 及表 9 标准、NOx 执行《江苏省大气污染物综合排放标准》（DB32/4041-2021）相关标准；涂布车间生产线排放的非甲烷总烃、甲苯、天然气燃烧产生的 SO2 、NOx 、烟尘执行《江苏省大气污染物综合排放标准》（DB32/4041-2021）中表 1 和表 3 大气污染物特别排放限值；乙酸乙酯、乙酸丁酯排放参考执行《化学工业挥发性有机物排放标准》（DB32/3151-2016）中的标准要求； 丁酮排放参考执行上海市《 大气污染物综合排放标准》 （DB31/933-2015）附录 A 的标准要求，臭气浓度执行《恶臭污染物排放标准》 GB14554-93 相关限值要求。</w:t>
            </w:r>
          </w:p>
          <w:p w14:paraId="7409FD17">
            <w:pPr>
              <w:keepNext w:val="0"/>
              <w:keepLines w:val="0"/>
              <w:pageBreakBefore w:val="0"/>
              <w:widowControl w:val="0"/>
              <w:kinsoku/>
              <w:wordWrap/>
              <w:overflowPunct/>
              <w:topLinePunct w:val="0"/>
              <w:autoSpaceDE/>
              <w:autoSpaceDN/>
              <w:bidi w:val="0"/>
              <w:adjustRightInd w:val="0"/>
              <w:snapToGrid w:val="0"/>
              <w:spacing w:line="160" w:lineRule="exact"/>
              <w:ind w:firstLine="420"/>
              <w:textAlignment w:val="auto"/>
              <w:rPr>
                <w:rFonts w:hint="default"/>
                <w:color w:val="auto"/>
                <w:lang w:val="en-US" w:eastAsia="zh-CN"/>
              </w:rPr>
            </w:pPr>
          </w:p>
          <w:p w14:paraId="1D4F2EBD">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表3-</w:t>
            </w:r>
            <w:r>
              <w:rPr>
                <w:rFonts w:hint="eastAsia" w:cs="Times New Roman"/>
                <w:b/>
                <w:color w:val="auto"/>
                <w:sz w:val="21"/>
                <w:szCs w:val="21"/>
                <w:highlight w:val="none"/>
                <w:lang w:val="en-US" w:eastAsia="zh-CN"/>
              </w:rPr>
              <w:t>2 废气</w:t>
            </w:r>
            <w:r>
              <w:rPr>
                <w:rFonts w:hint="eastAsia" w:ascii="Times New Roman" w:hAnsi="Times New Roman" w:eastAsia="宋体" w:cs="Times New Roman"/>
                <w:b/>
                <w:color w:val="auto"/>
                <w:sz w:val="21"/>
                <w:szCs w:val="21"/>
                <w:highlight w:val="none"/>
                <w:lang w:val="en-US" w:eastAsia="zh-CN"/>
              </w:rPr>
              <w:t>排放标准限值</w:t>
            </w:r>
          </w:p>
          <w:tbl>
            <w:tblPr>
              <w:tblStyle w:val="15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43"/>
              <w:gridCol w:w="1204"/>
              <w:gridCol w:w="1032"/>
              <w:gridCol w:w="758"/>
              <w:gridCol w:w="826"/>
              <w:gridCol w:w="1201"/>
              <w:gridCol w:w="1950"/>
            </w:tblGrid>
            <w:tr w14:paraId="4AFAEF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vMerge w:val="restart"/>
                  <w:tcBorders>
                    <w:tl2br w:val="nil"/>
                    <w:tr2bl w:val="nil"/>
                  </w:tcBorders>
                  <w:shd w:val="clear" w:color="auto" w:fill="D7D7D7" w:themeFill="background1" w:themeFillShade="D8"/>
                  <w:vAlign w:val="center"/>
                </w:tcPr>
                <w:p w14:paraId="18373E5E">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5"/>
                      <w:sz w:val="18"/>
                      <w:szCs w:val="18"/>
                    </w:rPr>
                    <w:t>污染物</w:t>
                  </w:r>
                </w:p>
              </w:tc>
              <w:tc>
                <w:tcPr>
                  <w:tcW w:w="707" w:type="pct"/>
                  <w:vMerge w:val="restart"/>
                  <w:tcBorders>
                    <w:tl2br w:val="nil"/>
                    <w:tr2bl w:val="nil"/>
                  </w:tcBorders>
                  <w:shd w:val="clear" w:color="auto" w:fill="D7D7D7" w:themeFill="background1" w:themeFillShade="D8"/>
                  <w:vAlign w:val="center"/>
                </w:tcPr>
                <w:p w14:paraId="792F7DA7">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5"/>
                      <w:sz w:val="18"/>
                      <w:szCs w:val="18"/>
                    </w:rPr>
                    <w:t>最高允许</w:t>
                  </w:r>
                  <w:r>
                    <w:rPr>
                      <w:rFonts w:hint="default" w:ascii="Times New Roman" w:hAnsi="Times New Roman" w:eastAsia="宋体" w:cs="Times New Roman"/>
                      <w:b/>
                      <w:bCs/>
                      <w:color w:val="auto"/>
                      <w:spacing w:val="10"/>
                      <w:sz w:val="18"/>
                      <w:szCs w:val="18"/>
                    </w:rPr>
                    <w:t>排放浓度</w:t>
                  </w:r>
                  <w:r>
                    <w:rPr>
                      <w:rFonts w:hint="default" w:ascii="Times New Roman" w:hAnsi="Times New Roman" w:eastAsia="宋体" w:cs="Times New Roman"/>
                      <w:b/>
                      <w:bCs/>
                      <w:color w:val="auto"/>
                      <w:spacing w:val="-1"/>
                      <w:sz w:val="18"/>
                      <w:szCs w:val="18"/>
                    </w:rPr>
                    <w:t>（mg/m</w:t>
                  </w:r>
                  <w:r>
                    <w:rPr>
                      <w:rFonts w:hint="eastAsia" w:ascii="Times New Roman" w:hAnsi="Times New Roman" w:cs="Times New Roman"/>
                      <w:b/>
                      <w:bCs/>
                      <w:color w:val="auto"/>
                      <w:spacing w:val="-1"/>
                      <w:position w:val="9"/>
                      <w:sz w:val="18"/>
                      <w:szCs w:val="18"/>
                      <w:lang w:val="en-US" w:eastAsia="zh-CN"/>
                    </w:rPr>
                    <w:t>3</w:t>
                  </w:r>
                  <w:r>
                    <w:rPr>
                      <w:rFonts w:hint="default" w:ascii="Times New Roman" w:hAnsi="Times New Roman" w:eastAsia="宋体" w:cs="Times New Roman"/>
                      <w:b/>
                      <w:bCs/>
                      <w:color w:val="auto"/>
                      <w:spacing w:val="-1"/>
                      <w:sz w:val="18"/>
                      <w:szCs w:val="18"/>
                    </w:rPr>
                    <w:t>）</w:t>
                  </w:r>
                </w:p>
              </w:tc>
              <w:tc>
                <w:tcPr>
                  <w:tcW w:w="1049" w:type="pct"/>
                  <w:gridSpan w:val="2"/>
                  <w:tcBorders>
                    <w:tl2br w:val="nil"/>
                    <w:tr2bl w:val="nil"/>
                  </w:tcBorders>
                  <w:shd w:val="clear" w:color="auto" w:fill="D7D7D7" w:themeFill="background1" w:themeFillShade="D8"/>
                  <w:vAlign w:val="center"/>
                </w:tcPr>
                <w:p w14:paraId="6B630B06">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6"/>
                      <w:sz w:val="18"/>
                      <w:szCs w:val="18"/>
                    </w:rPr>
                    <w:t>最高允许排放速</w:t>
                  </w:r>
                  <w:r>
                    <w:rPr>
                      <w:rFonts w:hint="default" w:ascii="Times New Roman" w:hAnsi="Times New Roman" w:eastAsia="宋体" w:cs="Times New Roman"/>
                      <w:b/>
                      <w:bCs/>
                      <w:color w:val="auto"/>
                      <w:spacing w:val="3"/>
                      <w:sz w:val="18"/>
                      <w:szCs w:val="18"/>
                    </w:rPr>
                    <w:t>率（</w:t>
                  </w:r>
                  <w:r>
                    <w:rPr>
                      <w:rFonts w:hint="default" w:ascii="Times New Roman" w:hAnsi="Times New Roman" w:eastAsia="宋体" w:cs="Times New Roman"/>
                      <w:b/>
                      <w:bCs/>
                      <w:color w:val="auto"/>
                      <w:sz w:val="18"/>
                      <w:szCs w:val="18"/>
                    </w:rPr>
                    <w:t>kg</w:t>
                  </w:r>
                  <w:r>
                    <w:rPr>
                      <w:rFonts w:hint="default" w:ascii="Times New Roman" w:hAnsi="Times New Roman" w:eastAsia="宋体" w:cs="Times New Roman"/>
                      <w:b/>
                      <w:bCs/>
                      <w:color w:val="auto"/>
                      <w:spacing w:val="3"/>
                      <w:sz w:val="18"/>
                      <w:szCs w:val="18"/>
                    </w:rPr>
                    <w:t>/h）</w:t>
                  </w:r>
                </w:p>
              </w:tc>
              <w:tc>
                <w:tcPr>
                  <w:tcW w:w="1190" w:type="pct"/>
                  <w:gridSpan w:val="2"/>
                  <w:tcBorders>
                    <w:tl2br w:val="nil"/>
                    <w:tr2bl w:val="nil"/>
                  </w:tcBorders>
                  <w:shd w:val="clear" w:color="auto" w:fill="D7D7D7" w:themeFill="background1" w:themeFillShade="D8"/>
                  <w:vAlign w:val="center"/>
                </w:tcPr>
                <w:p w14:paraId="1E41FA66">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7"/>
                      <w:sz w:val="18"/>
                      <w:szCs w:val="18"/>
                    </w:rPr>
                    <w:t>无组织排放监控</w:t>
                  </w:r>
                  <w:r>
                    <w:rPr>
                      <w:rFonts w:hint="default" w:ascii="Times New Roman" w:hAnsi="Times New Roman" w:eastAsia="宋体" w:cs="Times New Roman"/>
                      <w:b/>
                      <w:bCs/>
                      <w:color w:val="auto"/>
                      <w:spacing w:val="6"/>
                      <w:sz w:val="18"/>
                      <w:szCs w:val="18"/>
                    </w:rPr>
                    <w:t>浓度限值</w:t>
                  </w:r>
                </w:p>
              </w:tc>
              <w:tc>
                <w:tcPr>
                  <w:tcW w:w="1145" w:type="pct"/>
                  <w:vMerge w:val="restart"/>
                  <w:tcBorders>
                    <w:tl2br w:val="nil"/>
                    <w:tr2bl w:val="nil"/>
                  </w:tcBorders>
                  <w:shd w:val="clear" w:color="auto" w:fill="D7D7D7" w:themeFill="background1" w:themeFillShade="D8"/>
                  <w:vAlign w:val="center"/>
                </w:tcPr>
                <w:p w14:paraId="17B499C5">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6"/>
                      <w:sz w:val="18"/>
                      <w:szCs w:val="18"/>
                    </w:rPr>
                    <w:t>执行标准</w:t>
                  </w:r>
                </w:p>
              </w:tc>
            </w:tr>
            <w:tr w14:paraId="533F14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vMerge w:val="continue"/>
                  <w:tcBorders>
                    <w:tl2br w:val="nil"/>
                    <w:tr2bl w:val="nil"/>
                  </w:tcBorders>
                  <w:shd w:val="clear" w:color="auto" w:fill="D7D7D7" w:themeFill="background1" w:themeFillShade="D8"/>
                  <w:vAlign w:val="center"/>
                </w:tcPr>
                <w:p w14:paraId="7CE217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7" w:type="pct"/>
                  <w:vMerge w:val="continue"/>
                  <w:tcBorders>
                    <w:tl2br w:val="nil"/>
                    <w:tr2bl w:val="nil"/>
                  </w:tcBorders>
                  <w:shd w:val="clear" w:color="auto" w:fill="D7D7D7" w:themeFill="background1" w:themeFillShade="D8"/>
                  <w:vAlign w:val="center"/>
                </w:tcPr>
                <w:p w14:paraId="4820B4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606" w:type="pct"/>
                  <w:tcBorders>
                    <w:tl2br w:val="nil"/>
                    <w:tr2bl w:val="nil"/>
                  </w:tcBorders>
                  <w:shd w:val="clear" w:color="auto" w:fill="D7D7D7" w:themeFill="background1" w:themeFillShade="D8"/>
                  <w:vAlign w:val="center"/>
                </w:tcPr>
                <w:p w14:paraId="4DF631B9">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6"/>
                      <w:sz w:val="18"/>
                      <w:szCs w:val="18"/>
                    </w:rPr>
                    <w:t>排气筒高</w:t>
                  </w:r>
                  <w:r>
                    <w:rPr>
                      <w:rFonts w:hint="default" w:ascii="Times New Roman" w:hAnsi="Times New Roman" w:eastAsia="宋体" w:cs="Times New Roman"/>
                      <w:b/>
                      <w:bCs/>
                      <w:color w:val="auto"/>
                      <w:spacing w:val="2"/>
                      <w:sz w:val="18"/>
                      <w:szCs w:val="18"/>
                    </w:rPr>
                    <w:t>度（m）</w:t>
                  </w:r>
                </w:p>
              </w:tc>
              <w:tc>
                <w:tcPr>
                  <w:tcW w:w="443" w:type="pct"/>
                  <w:tcBorders>
                    <w:tl2br w:val="nil"/>
                    <w:tr2bl w:val="nil"/>
                  </w:tcBorders>
                  <w:shd w:val="clear" w:color="auto" w:fill="D7D7D7" w:themeFill="background1" w:themeFillShade="D8"/>
                  <w:vAlign w:val="center"/>
                </w:tcPr>
                <w:p w14:paraId="140AB79C">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2"/>
                      <w:sz w:val="18"/>
                      <w:szCs w:val="18"/>
                    </w:rPr>
                    <w:t>二级</w:t>
                  </w:r>
                </w:p>
              </w:tc>
              <w:tc>
                <w:tcPr>
                  <w:tcW w:w="485" w:type="pct"/>
                  <w:tcBorders>
                    <w:tl2br w:val="nil"/>
                    <w:tr2bl w:val="nil"/>
                  </w:tcBorders>
                  <w:shd w:val="clear" w:color="auto" w:fill="D7D7D7" w:themeFill="background1" w:themeFillShade="D8"/>
                  <w:vAlign w:val="center"/>
                </w:tcPr>
                <w:p w14:paraId="2AC0366B">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5"/>
                      <w:sz w:val="18"/>
                      <w:szCs w:val="18"/>
                    </w:rPr>
                    <w:t>监控点</w:t>
                  </w:r>
                </w:p>
              </w:tc>
              <w:tc>
                <w:tcPr>
                  <w:tcW w:w="705" w:type="pct"/>
                  <w:tcBorders>
                    <w:tl2br w:val="nil"/>
                    <w:tr2bl w:val="nil"/>
                  </w:tcBorders>
                  <w:shd w:val="clear" w:color="auto" w:fill="D7D7D7" w:themeFill="background1" w:themeFillShade="D8"/>
                  <w:vAlign w:val="center"/>
                </w:tcPr>
                <w:p w14:paraId="2C7FE522">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3"/>
                      <w:sz w:val="18"/>
                      <w:szCs w:val="18"/>
                    </w:rPr>
                    <w:t>浓度</w:t>
                  </w:r>
                  <w:r>
                    <w:rPr>
                      <w:rFonts w:hint="default" w:ascii="Times New Roman" w:hAnsi="Times New Roman" w:eastAsia="宋体" w:cs="Times New Roman"/>
                      <w:b/>
                      <w:bCs/>
                      <w:color w:val="auto"/>
                      <w:spacing w:val="1"/>
                      <w:sz w:val="18"/>
                      <w:szCs w:val="18"/>
                    </w:rPr>
                    <w:t>（</w:t>
                  </w:r>
                  <w:r>
                    <w:rPr>
                      <w:rFonts w:hint="default" w:ascii="Times New Roman" w:hAnsi="Times New Roman" w:eastAsia="宋体" w:cs="Times New Roman"/>
                      <w:b/>
                      <w:bCs/>
                      <w:color w:val="auto"/>
                      <w:sz w:val="18"/>
                      <w:szCs w:val="18"/>
                    </w:rPr>
                    <w:t>mg</w:t>
                  </w:r>
                  <w:r>
                    <w:rPr>
                      <w:rFonts w:hint="default" w:ascii="Times New Roman" w:hAnsi="Times New Roman" w:eastAsia="宋体" w:cs="Times New Roman"/>
                      <w:b/>
                      <w:bCs/>
                      <w:color w:val="auto"/>
                      <w:spacing w:val="1"/>
                      <w:sz w:val="18"/>
                      <w:szCs w:val="18"/>
                    </w:rPr>
                    <w:t>/m</w:t>
                  </w:r>
                  <w:r>
                    <w:rPr>
                      <w:rFonts w:hint="default" w:ascii="Times New Roman" w:hAnsi="Times New Roman" w:eastAsia="宋体" w:cs="Times New Roman"/>
                      <w:b/>
                      <w:bCs/>
                      <w:color w:val="auto"/>
                      <w:spacing w:val="1"/>
                      <w:position w:val="9"/>
                      <w:sz w:val="18"/>
                      <w:szCs w:val="18"/>
                    </w:rPr>
                    <w:t>3</w:t>
                  </w:r>
                  <w:r>
                    <w:rPr>
                      <w:rFonts w:hint="default" w:ascii="Times New Roman" w:hAnsi="Times New Roman" w:eastAsia="宋体" w:cs="Times New Roman"/>
                      <w:b/>
                      <w:bCs/>
                      <w:color w:val="auto"/>
                      <w:spacing w:val="-3"/>
                      <w:sz w:val="18"/>
                      <w:szCs w:val="18"/>
                    </w:rPr>
                    <w:t>)</w:t>
                  </w:r>
                </w:p>
              </w:tc>
              <w:tc>
                <w:tcPr>
                  <w:tcW w:w="1145" w:type="pct"/>
                  <w:vMerge w:val="continue"/>
                  <w:tcBorders>
                    <w:tl2br w:val="nil"/>
                    <w:tr2bl w:val="nil"/>
                  </w:tcBorders>
                  <w:shd w:val="clear" w:color="auto" w:fill="D7D7D7" w:themeFill="background1" w:themeFillShade="D8"/>
                  <w:vAlign w:val="center"/>
                </w:tcPr>
                <w:p w14:paraId="6D2A6F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r>
            <w:tr w14:paraId="41D96D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4897CD3D">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颗粒物</w:t>
                  </w:r>
                </w:p>
              </w:tc>
              <w:tc>
                <w:tcPr>
                  <w:tcW w:w="707" w:type="pct"/>
                  <w:tcBorders>
                    <w:tl2br w:val="nil"/>
                    <w:tr2bl w:val="nil"/>
                  </w:tcBorders>
                  <w:vAlign w:val="center"/>
                </w:tcPr>
                <w:p w14:paraId="1E551A8B">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position w:val="1"/>
                      <w:sz w:val="18"/>
                      <w:szCs w:val="18"/>
                    </w:rPr>
                    <w:t>20</w:t>
                  </w:r>
                </w:p>
              </w:tc>
              <w:tc>
                <w:tcPr>
                  <w:tcW w:w="606" w:type="pct"/>
                  <w:tcBorders>
                    <w:tl2br w:val="nil"/>
                    <w:tr2bl w:val="nil"/>
                  </w:tcBorders>
                  <w:vAlign w:val="center"/>
                </w:tcPr>
                <w:p w14:paraId="78F361F5">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position w:val="1"/>
                      <w:sz w:val="18"/>
                      <w:szCs w:val="18"/>
                    </w:rPr>
                    <w:t>25</w:t>
                  </w:r>
                </w:p>
              </w:tc>
              <w:tc>
                <w:tcPr>
                  <w:tcW w:w="443" w:type="pct"/>
                  <w:tcBorders>
                    <w:tl2br w:val="nil"/>
                    <w:tr2bl w:val="nil"/>
                  </w:tcBorders>
                  <w:vAlign w:val="center"/>
                </w:tcPr>
                <w:p w14:paraId="654E5578">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position w:val="-3"/>
                      <w:sz w:val="18"/>
                      <w:szCs w:val="18"/>
                    </w:rPr>
                    <w:t>-</w:t>
                  </w:r>
                </w:p>
              </w:tc>
              <w:tc>
                <w:tcPr>
                  <w:tcW w:w="485" w:type="pct"/>
                  <w:vMerge w:val="restart"/>
                  <w:tcBorders>
                    <w:tl2br w:val="nil"/>
                    <w:tr2bl w:val="nil"/>
                  </w:tcBorders>
                  <w:vAlign w:val="center"/>
                </w:tcPr>
                <w:p w14:paraId="20DDB18F">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周界外浓度最</w:t>
                  </w:r>
                  <w:r>
                    <w:rPr>
                      <w:rFonts w:hint="default" w:ascii="Times New Roman" w:hAnsi="Times New Roman" w:eastAsia="宋体" w:cs="Times New Roman"/>
                      <w:color w:val="auto"/>
                      <w:spacing w:val="2"/>
                      <w:sz w:val="18"/>
                      <w:szCs w:val="18"/>
                    </w:rPr>
                    <w:t>高点</w:t>
                  </w:r>
                </w:p>
              </w:tc>
              <w:tc>
                <w:tcPr>
                  <w:tcW w:w="705" w:type="pct"/>
                  <w:tcBorders>
                    <w:tl2br w:val="nil"/>
                    <w:tr2bl w:val="nil"/>
                  </w:tcBorders>
                  <w:vAlign w:val="center"/>
                </w:tcPr>
                <w:p w14:paraId="6E9BB04F">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position w:val="1"/>
                      <w:sz w:val="18"/>
                      <w:szCs w:val="18"/>
                    </w:rPr>
                    <w:t>1.0</w:t>
                  </w:r>
                </w:p>
              </w:tc>
              <w:tc>
                <w:tcPr>
                  <w:tcW w:w="1145" w:type="pct"/>
                  <w:vMerge w:val="restart"/>
                  <w:tcBorders>
                    <w:tl2br w:val="nil"/>
                    <w:tr2bl w:val="nil"/>
                  </w:tcBorders>
                  <w:vAlign w:val="center"/>
                </w:tcPr>
                <w:p w14:paraId="2C92B6FE">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《合成树脂工业污染</w:t>
                  </w:r>
                  <w:r>
                    <w:rPr>
                      <w:rFonts w:hint="default" w:ascii="Times New Roman" w:hAnsi="Times New Roman" w:eastAsia="宋体" w:cs="Times New Roman"/>
                      <w:color w:val="auto"/>
                      <w:spacing w:val="6"/>
                      <w:sz w:val="18"/>
                      <w:szCs w:val="18"/>
                    </w:rPr>
                    <w:t>物排放标准》</w:t>
                  </w:r>
                  <w:r>
                    <w:rPr>
                      <w:rFonts w:hint="default" w:ascii="Times New Roman" w:hAnsi="Times New Roman" w:eastAsia="宋体" w:cs="Times New Roman"/>
                      <w:color w:val="auto"/>
                      <w:spacing w:val="4"/>
                      <w:sz w:val="18"/>
                      <w:szCs w:val="18"/>
                    </w:rPr>
                    <w:t>（</w:t>
                  </w:r>
                  <w:r>
                    <w:rPr>
                      <w:rFonts w:hint="default" w:ascii="Times New Roman" w:hAnsi="Times New Roman" w:eastAsia="宋体" w:cs="Times New Roman"/>
                      <w:color w:val="auto"/>
                      <w:sz w:val="18"/>
                      <w:szCs w:val="18"/>
                    </w:rPr>
                    <w:t>GB</w:t>
                  </w:r>
                  <w:r>
                    <w:rPr>
                      <w:rFonts w:hint="default" w:ascii="Times New Roman" w:hAnsi="Times New Roman" w:eastAsia="宋体" w:cs="Times New Roman"/>
                      <w:color w:val="auto"/>
                      <w:spacing w:val="4"/>
                      <w:sz w:val="18"/>
                      <w:szCs w:val="18"/>
                    </w:rPr>
                    <w:t>31572-2015）</w:t>
                  </w:r>
                </w:p>
              </w:tc>
            </w:tr>
            <w:tr w14:paraId="0F7D8B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4DF439CF">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非甲烷总烃</w:t>
                  </w:r>
                  <w:r>
                    <w:rPr>
                      <w:rFonts w:hint="default" w:ascii="Times New Roman" w:hAnsi="Times New Roman" w:eastAsia="宋体" w:cs="Times New Roman"/>
                      <w:color w:val="auto"/>
                      <w:spacing w:val="3"/>
                      <w:sz w:val="18"/>
                      <w:szCs w:val="18"/>
                    </w:rPr>
                    <w:t>（仅</w:t>
                  </w:r>
                  <w:r>
                    <w:rPr>
                      <w:rFonts w:hint="default" w:ascii="Times New Roman" w:hAnsi="Times New Roman" w:eastAsia="宋体" w:cs="Times New Roman"/>
                      <w:color w:val="auto"/>
                      <w:sz w:val="18"/>
                      <w:szCs w:val="18"/>
                    </w:rPr>
                    <w:t>PET</w:t>
                  </w:r>
                  <w:r>
                    <w:rPr>
                      <w:rFonts w:hint="default" w:ascii="Times New Roman" w:hAnsi="Times New Roman" w:eastAsia="宋体" w:cs="Times New Roman"/>
                      <w:color w:val="auto"/>
                      <w:spacing w:val="3"/>
                      <w:sz w:val="18"/>
                      <w:szCs w:val="18"/>
                    </w:rPr>
                    <w:t>车</w:t>
                  </w:r>
                  <w:r>
                    <w:rPr>
                      <w:rFonts w:hint="default" w:ascii="Times New Roman" w:hAnsi="Times New Roman" w:eastAsia="宋体" w:cs="Times New Roman"/>
                      <w:color w:val="auto"/>
                      <w:position w:val="-1"/>
                      <w:sz w:val="18"/>
                      <w:szCs w:val="18"/>
                    </w:rPr>
                    <w:t>间）</w:t>
                  </w:r>
                </w:p>
              </w:tc>
              <w:tc>
                <w:tcPr>
                  <w:tcW w:w="707" w:type="pct"/>
                  <w:tcBorders>
                    <w:tl2br w:val="nil"/>
                    <w:tr2bl w:val="nil"/>
                  </w:tcBorders>
                  <w:vAlign w:val="center"/>
                </w:tcPr>
                <w:p w14:paraId="6F86EF95">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position w:val="1"/>
                      <w:sz w:val="18"/>
                      <w:szCs w:val="18"/>
                    </w:rPr>
                    <w:t>60</w:t>
                  </w:r>
                </w:p>
              </w:tc>
              <w:tc>
                <w:tcPr>
                  <w:tcW w:w="606" w:type="pct"/>
                  <w:tcBorders>
                    <w:tl2br w:val="nil"/>
                    <w:tr2bl w:val="nil"/>
                  </w:tcBorders>
                  <w:vAlign w:val="center"/>
                </w:tcPr>
                <w:p w14:paraId="552146B8">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position w:val="1"/>
                      <w:sz w:val="18"/>
                      <w:szCs w:val="18"/>
                    </w:rPr>
                    <w:t>25</w:t>
                  </w:r>
                </w:p>
              </w:tc>
              <w:tc>
                <w:tcPr>
                  <w:tcW w:w="443" w:type="pct"/>
                  <w:tcBorders>
                    <w:tl2br w:val="nil"/>
                    <w:tr2bl w:val="nil"/>
                  </w:tcBorders>
                  <w:vAlign w:val="center"/>
                </w:tcPr>
                <w:p w14:paraId="37A6D735">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position w:val="-3"/>
                      <w:sz w:val="18"/>
                      <w:szCs w:val="18"/>
                    </w:rPr>
                    <w:t>-</w:t>
                  </w:r>
                </w:p>
              </w:tc>
              <w:tc>
                <w:tcPr>
                  <w:tcW w:w="485" w:type="pct"/>
                  <w:vMerge w:val="continue"/>
                  <w:tcBorders>
                    <w:tl2br w:val="nil"/>
                    <w:tr2bl w:val="nil"/>
                  </w:tcBorders>
                  <w:vAlign w:val="center"/>
                </w:tcPr>
                <w:p w14:paraId="18DBED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vMerge w:val="restart"/>
                  <w:tcBorders>
                    <w:tl2br w:val="nil"/>
                    <w:tr2bl w:val="nil"/>
                  </w:tcBorders>
                  <w:vAlign w:val="center"/>
                </w:tcPr>
                <w:p w14:paraId="2DB83F21">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position w:val="1"/>
                      <w:sz w:val="18"/>
                      <w:szCs w:val="18"/>
                    </w:rPr>
                    <w:t>4.0</w:t>
                  </w:r>
                </w:p>
              </w:tc>
              <w:tc>
                <w:tcPr>
                  <w:tcW w:w="1145" w:type="pct"/>
                  <w:vMerge w:val="continue"/>
                  <w:tcBorders>
                    <w:tl2br w:val="nil"/>
                    <w:tr2bl w:val="nil"/>
                  </w:tcBorders>
                  <w:vAlign w:val="center"/>
                </w:tcPr>
                <w:p w14:paraId="01DF5A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r>
            <w:tr w14:paraId="693D8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664" w:type="pct"/>
                  <w:gridSpan w:val="4"/>
                  <w:tcBorders>
                    <w:tl2br w:val="nil"/>
                    <w:tr2bl w:val="nil"/>
                  </w:tcBorders>
                  <w:vAlign w:val="center"/>
                </w:tcPr>
                <w:p w14:paraId="7258FB1D">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单位产品非甲烷总烃排放量0.3</w:t>
                  </w:r>
                  <w:r>
                    <w:rPr>
                      <w:rFonts w:hint="default" w:ascii="Times New Roman" w:hAnsi="Times New Roman" w:eastAsia="宋体" w:cs="Times New Roman"/>
                      <w:color w:val="auto"/>
                      <w:sz w:val="18"/>
                      <w:szCs w:val="18"/>
                    </w:rPr>
                    <w:t>kg</w:t>
                  </w:r>
                  <w:r>
                    <w:rPr>
                      <w:rFonts w:hint="default" w:ascii="Times New Roman" w:hAnsi="Times New Roman" w:eastAsia="宋体" w:cs="Times New Roman"/>
                      <w:color w:val="auto"/>
                      <w:spacing w:val="7"/>
                      <w:sz w:val="18"/>
                      <w:szCs w:val="18"/>
                    </w:rPr>
                    <w:t>/t</w:t>
                  </w:r>
                </w:p>
              </w:tc>
              <w:tc>
                <w:tcPr>
                  <w:tcW w:w="485" w:type="pct"/>
                  <w:vMerge w:val="continue"/>
                  <w:tcBorders>
                    <w:tl2br w:val="nil"/>
                    <w:tr2bl w:val="nil"/>
                  </w:tcBorders>
                  <w:vAlign w:val="center"/>
                </w:tcPr>
                <w:p w14:paraId="140A09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vMerge w:val="continue"/>
                  <w:tcBorders>
                    <w:tl2br w:val="nil"/>
                    <w:tr2bl w:val="nil"/>
                  </w:tcBorders>
                  <w:vAlign w:val="center"/>
                </w:tcPr>
                <w:p w14:paraId="4DAF8B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1145" w:type="pct"/>
                  <w:vMerge w:val="continue"/>
                  <w:tcBorders>
                    <w:tl2br w:val="nil"/>
                    <w:tr2bl w:val="nil"/>
                  </w:tcBorders>
                  <w:vAlign w:val="center"/>
                </w:tcPr>
                <w:p w14:paraId="71D2E8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r>
            <w:tr w14:paraId="5711DE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6A5EFC99">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非甲烷总烃</w:t>
                  </w:r>
                </w:p>
              </w:tc>
              <w:tc>
                <w:tcPr>
                  <w:tcW w:w="707" w:type="pct"/>
                  <w:tcBorders>
                    <w:tl2br w:val="nil"/>
                    <w:tr2bl w:val="nil"/>
                  </w:tcBorders>
                  <w:vAlign w:val="center"/>
                </w:tcPr>
                <w:p w14:paraId="7E410602">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c>
                <w:tcPr>
                  <w:tcW w:w="606" w:type="pct"/>
                  <w:tcBorders>
                    <w:tl2br w:val="nil"/>
                    <w:tr2bl w:val="nil"/>
                  </w:tcBorders>
                  <w:vAlign w:val="center"/>
                </w:tcPr>
                <w:p w14:paraId="4BF41804">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25</w:t>
                  </w:r>
                </w:p>
              </w:tc>
              <w:tc>
                <w:tcPr>
                  <w:tcW w:w="443" w:type="pct"/>
                  <w:tcBorders>
                    <w:tl2br w:val="nil"/>
                    <w:tr2bl w:val="nil"/>
                  </w:tcBorders>
                  <w:vAlign w:val="center"/>
                </w:tcPr>
                <w:p w14:paraId="4D98C9C2">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85" w:type="pct"/>
                  <w:vMerge w:val="continue"/>
                  <w:tcBorders>
                    <w:tl2br w:val="nil"/>
                    <w:tr2bl w:val="nil"/>
                  </w:tcBorders>
                  <w:vAlign w:val="center"/>
                </w:tcPr>
                <w:p w14:paraId="1B195B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tcBorders>
                    <w:tl2br w:val="nil"/>
                    <w:tr2bl w:val="nil"/>
                  </w:tcBorders>
                  <w:vAlign w:val="center"/>
                </w:tcPr>
                <w:p w14:paraId="5BC054C6">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4.0</w:t>
                  </w:r>
                </w:p>
              </w:tc>
              <w:tc>
                <w:tcPr>
                  <w:tcW w:w="1145" w:type="pct"/>
                  <w:vMerge w:val="restart"/>
                  <w:tcBorders>
                    <w:tl2br w:val="nil"/>
                    <w:tr2bl w:val="nil"/>
                  </w:tcBorders>
                  <w:vAlign w:val="center"/>
                </w:tcPr>
                <w:p w14:paraId="3115053F">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《江苏省大气污染物</w:t>
                  </w:r>
                  <w:r>
                    <w:rPr>
                      <w:rFonts w:hint="default" w:ascii="Times New Roman" w:hAnsi="Times New Roman" w:eastAsia="宋体" w:cs="Times New Roman"/>
                      <w:color w:val="auto"/>
                      <w:spacing w:val="6"/>
                      <w:sz w:val="18"/>
                      <w:szCs w:val="18"/>
                    </w:rPr>
                    <w:t>综合排放标准》</w:t>
                  </w:r>
                  <w:r>
                    <w:rPr>
                      <w:rFonts w:hint="default" w:ascii="Times New Roman" w:hAnsi="Times New Roman" w:eastAsia="宋体" w:cs="Times New Roman"/>
                      <w:color w:val="auto"/>
                      <w:spacing w:val="4"/>
                      <w:sz w:val="18"/>
                      <w:szCs w:val="18"/>
                    </w:rPr>
                    <w:t>（</w:t>
                  </w:r>
                  <w:r>
                    <w:rPr>
                      <w:rFonts w:hint="default" w:ascii="Times New Roman" w:hAnsi="Times New Roman" w:eastAsia="宋体" w:cs="Times New Roman"/>
                      <w:color w:val="auto"/>
                      <w:sz w:val="18"/>
                      <w:szCs w:val="18"/>
                    </w:rPr>
                    <w:t>DB</w:t>
                  </w:r>
                  <w:r>
                    <w:rPr>
                      <w:rFonts w:hint="default" w:ascii="Times New Roman" w:hAnsi="Times New Roman" w:eastAsia="宋体" w:cs="Times New Roman"/>
                      <w:color w:val="auto"/>
                      <w:spacing w:val="4"/>
                      <w:sz w:val="18"/>
                      <w:szCs w:val="18"/>
                    </w:rPr>
                    <w:t>32/4041-2021）</w:t>
                  </w:r>
                </w:p>
              </w:tc>
            </w:tr>
            <w:tr w14:paraId="5FD56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45CBF17D">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甲苯</w:t>
                  </w:r>
                </w:p>
              </w:tc>
              <w:tc>
                <w:tcPr>
                  <w:tcW w:w="707" w:type="pct"/>
                  <w:tcBorders>
                    <w:tl2br w:val="nil"/>
                    <w:tr2bl w:val="nil"/>
                  </w:tcBorders>
                  <w:vAlign w:val="center"/>
                </w:tcPr>
                <w:p w14:paraId="3EB5BE3E">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10</w:t>
                  </w:r>
                </w:p>
              </w:tc>
              <w:tc>
                <w:tcPr>
                  <w:tcW w:w="606" w:type="pct"/>
                  <w:tcBorders>
                    <w:tl2br w:val="nil"/>
                    <w:tr2bl w:val="nil"/>
                  </w:tcBorders>
                  <w:vAlign w:val="center"/>
                </w:tcPr>
                <w:p w14:paraId="5CF58A07">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25</w:t>
                  </w:r>
                </w:p>
              </w:tc>
              <w:tc>
                <w:tcPr>
                  <w:tcW w:w="443" w:type="pct"/>
                  <w:tcBorders>
                    <w:tl2br w:val="nil"/>
                    <w:tr2bl w:val="nil"/>
                  </w:tcBorders>
                  <w:vAlign w:val="center"/>
                </w:tcPr>
                <w:p w14:paraId="08106BBB">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0.2</w:t>
                  </w:r>
                </w:p>
              </w:tc>
              <w:tc>
                <w:tcPr>
                  <w:tcW w:w="485" w:type="pct"/>
                  <w:vMerge w:val="continue"/>
                  <w:tcBorders>
                    <w:tl2br w:val="nil"/>
                    <w:tr2bl w:val="nil"/>
                  </w:tcBorders>
                  <w:vAlign w:val="center"/>
                </w:tcPr>
                <w:p w14:paraId="3EE7D7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tcBorders>
                    <w:tl2br w:val="nil"/>
                    <w:tr2bl w:val="nil"/>
                  </w:tcBorders>
                  <w:vAlign w:val="center"/>
                </w:tcPr>
                <w:p w14:paraId="4F696D7D">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0.2</w:t>
                  </w:r>
                </w:p>
              </w:tc>
              <w:tc>
                <w:tcPr>
                  <w:tcW w:w="1145" w:type="pct"/>
                  <w:vMerge w:val="continue"/>
                  <w:tcBorders>
                    <w:tl2br w:val="nil"/>
                    <w:tr2bl w:val="nil"/>
                  </w:tcBorders>
                  <w:vAlign w:val="center"/>
                </w:tcPr>
                <w:p w14:paraId="6F8C9D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r>
            <w:tr w14:paraId="75A8C8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3DA65F6F">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SO</w:t>
                  </w:r>
                  <w:r>
                    <w:rPr>
                      <w:rFonts w:hint="default" w:ascii="Times New Roman" w:hAnsi="Times New Roman" w:eastAsia="宋体" w:cs="Times New Roman"/>
                      <w:color w:val="auto"/>
                      <w:spacing w:val="2"/>
                      <w:position w:val="-2"/>
                      <w:sz w:val="18"/>
                      <w:szCs w:val="18"/>
                    </w:rPr>
                    <w:t>2</w:t>
                  </w:r>
                </w:p>
              </w:tc>
              <w:tc>
                <w:tcPr>
                  <w:tcW w:w="707" w:type="pct"/>
                  <w:tcBorders>
                    <w:tl2br w:val="nil"/>
                    <w:tr2bl w:val="nil"/>
                  </w:tcBorders>
                  <w:vAlign w:val="center"/>
                </w:tcPr>
                <w:p w14:paraId="292509D0">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200</w:t>
                  </w:r>
                </w:p>
              </w:tc>
              <w:tc>
                <w:tcPr>
                  <w:tcW w:w="606" w:type="pct"/>
                  <w:tcBorders>
                    <w:tl2br w:val="nil"/>
                    <w:tr2bl w:val="nil"/>
                  </w:tcBorders>
                  <w:vAlign w:val="center"/>
                </w:tcPr>
                <w:p w14:paraId="34AC68C4">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25</w:t>
                  </w:r>
                </w:p>
              </w:tc>
              <w:tc>
                <w:tcPr>
                  <w:tcW w:w="443" w:type="pct"/>
                  <w:tcBorders>
                    <w:tl2br w:val="nil"/>
                    <w:tr2bl w:val="nil"/>
                  </w:tcBorders>
                  <w:vAlign w:val="center"/>
                </w:tcPr>
                <w:p w14:paraId="10F3B313">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1.4</w:t>
                  </w:r>
                </w:p>
              </w:tc>
              <w:tc>
                <w:tcPr>
                  <w:tcW w:w="485" w:type="pct"/>
                  <w:vMerge w:val="continue"/>
                  <w:tcBorders>
                    <w:tl2br w:val="nil"/>
                    <w:tr2bl w:val="nil"/>
                  </w:tcBorders>
                  <w:vAlign w:val="center"/>
                </w:tcPr>
                <w:p w14:paraId="6E3D4E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tcBorders>
                    <w:tl2br w:val="nil"/>
                    <w:tr2bl w:val="nil"/>
                  </w:tcBorders>
                  <w:vAlign w:val="center"/>
                </w:tcPr>
                <w:p w14:paraId="075B3FF0">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0.4</w:t>
                  </w:r>
                </w:p>
              </w:tc>
              <w:tc>
                <w:tcPr>
                  <w:tcW w:w="1145" w:type="pct"/>
                  <w:vMerge w:val="continue"/>
                  <w:tcBorders>
                    <w:tl2br w:val="nil"/>
                    <w:tr2bl w:val="nil"/>
                  </w:tcBorders>
                  <w:vAlign w:val="center"/>
                </w:tcPr>
                <w:p w14:paraId="457D6E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r>
            <w:tr w14:paraId="178DE7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027B74E2">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NO</w:t>
                  </w:r>
                  <w:r>
                    <w:rPr>
                      <w:rFonts w:hint="default" w:ascii="Times New Roman" w:hAnsi="Times New Roman" w:eastAsia="宋体" w:cs="Times New Roman"/>
                      <w:color w:val="auto"/>
                      <w:spacing w:val="3"/>
                      <w:position w:val="-2"/>
                      <w:sz w:val="18"/>
                      <w:szCs w:val="18"/>
                    </w:rPr>
                    <w:t>x</w:t>
                  </w:r>
                </w:p>
              </w:tc>
              <w:tc>
                <w:tcPr>
                  <w:tcW w:w="707" w:type="pct"/>
                  <w:tcBorders>
                    <w:tl2br w:val="nil"/>
                    <w:tr2bl w:val="nil"/>
                  </w:tcBorders>
                  <w:vAlign w:val="center"/>
                </w:tcPr>
                <w:p w14:paraId="5699D768">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100</w:t>
                  </w:r>
                </w:p>
              </w:tc>
              <w:tc>
                <w:tcPr>
                  <w:tcW w:w="606" w:type="pct"/>
                  <w:tcBorders>
                    <w:tl2br w:val="nil"/>
                    <w:tr2bl w:val="nil"/>
                  </w:tcBorders>
                  <w:vAlign w:val="center"/>
                </w:tcPr>
                <w:p w14:paraId="43F78F1E">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25</w:t>
                  </w:r>
                </w:p>
              </w:tc>
              <w:tc>
                <w:tcPr>
                  <w:tcW w:w="443" w:type="pct"/>
                  <w:tcBorders>
                    <w:tl2br w:val="nil"/>
                    <w:tr2bl w:val="nil"/>
                  </w:tcBorders>
                  <w:vAlign w:val="center"/>
                </w:tcPr>
                <w:p w14:paraId="0679D670">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0.47</w:t>
                  </w:r>
                </w:p>
              </w:tc>
              <w:tc>
                <w:tcPr>
                  <w:tcW w:w="485" w:type="pct"/>
                  <w:vMerge w:val="continue"/>
                  <w:tcBorders>
                    <w:tl2br w:val="nil"/>
                    <w:tr2bl w:val="nil"/>
                  </w:tcBorders>
                  <w:vAlign w:val="center"/>
                </w:tcPr>
                <w:p w14:paraId="7B6862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tcBorders>
                    <w:tl2br w:val="nil"/>
                    <w:tr2bl w:val="nil"/>
                  </w:tcBorders>
                  <w:vAlign w:val="center"/>
                </w:tcPr>
                <w:p w14:paraId="04FD67E4">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0.12</w:t>
                  </w:r>
                </w:p>
              </w:tc>
              <w:tc>
                <w:tcPr>
                  <w:tcW w:w="1145" w:type="pct"/>
                  <w:vMerge w:val="continue"/>
                  <w:tcBorders>
                    <w:tl2br w:val="nil"/>
                    <w:tr2bl w:val="nil"/>
                  </w:tcBorders>
                  <w:vAlign w:val="center"/>
                </w:tcPr>
                <w:p w14:paraId="14ADB0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r>
            <w:tr w14:paraId="00D6C1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1362151B">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烟尘</w:t>
                  </w:r>
                </w:p>
              </w:tc>
              <w:tc>
                <w:tcPr>
                  <w:tcW w:w="707" w:type="pct"/>
                  <w:tcBorders>
                    <w:tl2br w:val="nil"/>
                    <w:tr2bl w:val="nil"/>
                  </w:tcBorders>
                  <w:vAlign w:val="center"/>
                </w:tcPr>
                <w:p w14:paraId="34CA32B1">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p>
              </w:tc>
              <w:tc>
                <w:tcPr>
                  <w:tcW w:w="606" w:type="pct"/>
                  <w:tcBorders>
                    <w:tl2br w:val="nil"/>
                    <w:tr2bl w:val="nil"/>
                  </w:tcBorders>
                  <w:vAlign w:val="center"/>
                </w:tcPr>
                <w:p w14:paraId="319BFC1D">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25</w:t>
                  </w:r>
                </w:p>
              </w:tc>
              <w:tc>
                <w:tcPr>
                  <w:tcW w:w="443" w:type="pct"/>
                  <w:tcBorders>
                    <w:tl2br w:val="nil"/>
                    <w:tr2bl w:val="nil"/>
                  </w:tcBorders>
                  <w:vAlign w:val="center"/>
                </w:tcPr>
                <w:p w14:paraId="10A18968">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85" w:type="pct"/>
                  <w:vMerge w:val="continue"/>
                  <w:tcBorders>
                    <w:tl2br w:val="nil"/>
                    <w:tr2bl w:val="nil"/>
                  </w:tcBorders>
                  <w:vAlign w:val="center"/>
                </w:tcPr>
                <w:p w14:paraId="15613F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tcBorders>
                    <w:tl2br w:val="nil"/>
                    <w:tr2bl w:val="nil"/>
                  </w:tcBorders>
                  <w:vAlign w:val="center"/>
                </w:tcPr>
                <w:p w14:paraId="467E1EC8">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0.5</w:t>
                  </w:r>
                </w:p>
              </w:tc>
              <w:tc>
                <w:tcPr>
                  <w:tcW w:w="1145" w:type="pct"/>
                  <w:vMerge w:val="continue"/>
                  <w:tcBorders>
                    <w:tl2br w:val="nil"/>
                    <w:tr2bl w:val="nil"/>
                  </w:tcBorders>
                  <w:vAlign w:val="center"/>
                </w:tcPr>
                <w:p w14:paraId="4FFBF5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r>
            <w:tr w14:paraId="6896B2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3BE16236">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臭气浓度</w:t>
                  </w:r>
                </w:p>
              </w:tc>
              <w:tc>
                <w:tcPr>
                  <w:tcW w:w="707" w:type="pct"/>
                  <w:tcBorders>
                    <w:tl2br w:val="nil"/>
                    <w:tr2bl w:val="nil"/>
                  </w:tcBorders>
                  <w:vAlign w:val="center"/>
                </w:tcPr>
                <w:p w14:paraId="5270EFA3">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2000（无</w:t>
                  </w:r>
                  <w:r>
                    <w:rPr>
                      <w:rFonts w:hint="default" w:ascii="Times New Roman" w:hAnsi="Times New Roman" w:eastAsia="宋体" w:cs="Times New Roman"/>
                      <w:color w:val="auto"/>
                      <w:spacing w:val="3"/>
                      <w:sz w:val="18"/>
                      <w:szCs w:val="18"/>
                    </w:rPr>
                    <w:t>量纲）</w:t>
                  </w:r>
                </w:p>
              </w:tc>
              <w:tc>
                <w:tcPr>
                  <w:tcW w:w="606" w:type="pct"/>
                  <w:tcBorders>
                    <w:tl2br w:val="nil"/>
                    <w:tr2bl w:val="nil"/>
                  </w:tcBorders>
                  <w:vAlign w:val="center"/>
                </w:tcPr>
                <w:p w14:paraId="442028A4">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position w:val="1"/>
                      <w:sz w:val="18"/>
                      <w:szCs w:val="18"/>
                    </w:rPr>
                    <w:t>25</w:t>
                  </w:r>
                </w:p>
              </w:tc>
              <w:tc>
                <w:tcPr>
                  <w:tcW w:w="443" w:type="pct"/>
                  <w:tcBorders>
                    <w:tl2br w:val="nil"/>
                    <w:tr2bl w:val="nil"/>
                  </w:tcBorders>
                  <w:vAlign w:val="center"/>
                </w:tcPr>
                <w:p w14:paraId="4495760C">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position w:val="-3"/>
                      <w:sz w:val="18"/>
                      <w:szCs w:val="18"/>
                    </w:rPr>
                    <w:t>-</w:t>
                  </w:r>
                </w:p>
              </w:tc>
              <w:tc>
                <w:tcPr>
                  <w:tcW w:w="485" w:type="pct"/>
                  <w:vMerge w:val="continue"/>
                  <w:tcBorders>
                    <w:tl2br w:val="nil"/>
                    <w:tr2bl w:val="nil"/>
                  </w:tcBorders>
                  <w:vAlign w:val="center"/>
                </w:tcPr>
                <w:p w14:paraId="2CA0C7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tcBorders>
                    <w:tl2br w:val="nil"/>
                    <w:tr2bl w:val="nil"/>
                  </w:tcBorders>
                  <w:vAlign w:val="center"/>
                </w:tcPr>
                <w:p w14:paraId="42E1D455">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20（无</w:t>
                  </w:r>
                  <w:r>
                    <w:rPr>
                      <w:rFonts w:hint="default" w:ascii="Times New Roman" w:hAnsi="Times New Roman" w:eastAsia="宋体" w:cs="Times New Roman"/>
                      <w:color w:val="auto"/>
                      <w:spacing w:val="3"/>
                      <w:sz w:val="18"/>
                      <w:szCs w:val="18"/>
                    </w:rPr>
                    <w:t>量纲）</w:t>
                  </w:r>
                </w:p>
              </w:tc>
              <w:tc>
                <w:tcPr>
                  <w:tcW w:w="1145" w:type="pct"/>
                  <w:tcBorders>
                    <w:tl2br w:val="nil"/>
                    <w:tr2bl w:val="nil"/>
                  </w:tcBorders>
                  <w:vAlign w:val="center"/>
                </w:tcPr>
                <w:p w14:paraId="76BD2B19">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《恶臭污染物排放标</w:t>
                  </w:r>
                  <w:r>
                    <w:rPr>
                      <w:rFonts w:hint="default" w:ascii="Times New Roman" w:hAnsi="Times New Roman" w:eastAsia="宋体" w:cs="Times New Roman"/>
                      <w:color w:val="auto"/>
                      <w:spacing w:val="6"/>
                      <w:sz w:val="18"/>
                      <w:szCs w:val="18"/>
                    </w:rPr>
                    <w:t>准》</w:t>
                  </w:r>
                  <w:r>
                    <w:rPr>
                      <w:rFonts w:hint="default" w:ascii="Times New Roman" w:hAnsi="Times New Roman" w:eastAsia="宋体" w:cs="Times New Roman"/>
                      <w:color w:val="auto"/>
                      <w:sz w:val="18"/>
                      <w:szCs w:val="18"/>
                    </w:rPr>
                    <w:t>GB</w:t>
                  </w:r>
                  <w:r>
                    <w:rPr>
                      <w:rFonts w:hint="default" w:ascii="Times New Roman" w:hAnsi="Times New Roman" w:eastAsia="宋体" w:cs="Times New Roman"/>
                      <w:color w:val="auto"/>
                      <w:spacing w:val="6"/>
                      <w:sz w:val="18"/>
                      <w:szCs w:val="18"/>
                    </w:rPr>
                    <w:t>14554-93</w:t>
                  </w:r>
                </w:p>
              </w:tc>
            </w:tr>
            <w:tr w14:paraId="6A9EC1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38F9241D">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乙酸酯类</w:t>
                  </w:r>
                </w:p>
              </w:tc>
              <w:tc>
                <w:tcPr>
                  <w:tcW w:w="707" w:type="pct"/>
                  <w:tcBorders>
                    <w:tl2br w:val="nil"/>
                    <w:tr2bl w:val="nil"/>
                  </w:tcBorders>
                  <w:vAlign w:val="center"/>
                </w:tcPr>
                <w:p w14:paraId="2364BA14">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position w:val="1"/>
                      <w:sz w:val="18"/>
                      <w:szCs w:val="18"/>
                    </w:rPr>
                    <w:t>50</w:t>
                  </w:r>
                </w:p>
              </w:tc>
              <w:tc>
                <w:tcPr>
                  <w:tcW w:w="606" w:type="pct"/>
                  <w:tcBorders>
                    <w:tl2br w:val="nil"/>
                    <w:tr2bl w:val="nil"/>
                  </w:tcBorders>
                  <w:vAlign w:val="center"/>
                </w:tcPr>
                <w:p w14:paraId="5E93767B">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position w:val="1"/>
                      <w:sz w:val="18"/>
                      <w:szCs w:val="18"/>
                    </w:rPr>
                    <w:t>25</w:t>
                  </w:r>
                </w:p>
              </w:tc>
              <w:tc>
                <w:tcPr>
                  <w:tcW w:w="443" w:type="pct"/>
                  <w:tcBorders>
                    <w:tl2br w:val="nil"/>
                    <w:tr2bl w:val="nil"/>
                  </w:tcBorders>
                  <w:vAlign w:val="center"/>
                </w:tcPr>
                <w:p w14:paraId="6BCC06C1">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position w:val="1"/>
                      <w:sz w:val="18"/>
                      <w:szCs w:val="18"/>
                    </w:rPr>
                    <w:t>3.9</w:t>
                  </w:r>
                </w:p>
              </w:tc>
              <w:tc>
                <w:tcPr>
                  <w:tcW w:w="485" w:type="pct"/>
                  <w:vMerge w:val="continue"/>
                  <w:tcBorders>
                    <w:tl2br w:val="nil"/>
                    <w:tr2bl w:val="nil"/>
                  </w:tcBorders>
                  <w:vAlign w:val="center"/>
                </w:tcPr>
                <w:p w14:paraId="3B58AF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tcBorders>
                    <w:tl2br w:val="nil"/>
                    <w:tr2bl w:val="nil"/>
                  </w:tcBorders>
                  <w:vAlign w:val="center"/>
                </w:tcPr>
                <w:p w14:paraId="58FAA17A">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position w:val="-3"/>
                      <w:sz w:val="18"/>
                      <w:szCs w:val="18"/>
                    </w:rPr>
                    <w:t>-</w:t>
                  </w:r>
                </w:p>
              </w:tc>
              <w:tc>
                <w:tcPr>
                  <w:tcW w:w="1145" w:type="pct"/>
                  <w:tcBorders>
                    <w:tl2br w:val="nil"/>
                    <w:tr2bl w:val="nil"/>
                  </w:tcBorders>
                  <w:vAlign w:val="center"/>
                </w:tcPr>
                <w:p w14:paraId="66DDA774">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《化学工业挥发性有</w:t>
                  </w:r>
                  <w:r>
                    <w:rPr>
                      <w:rFonts w:hint="default" w:ascii="Times New Roman" w:hAnsi="Times New Roman" w:eastAsia="宋体" w:cs="Times New Roman"/>
                      <w:color w:val="auto"/>
                      <w:spacing w:val="1"/>
                      <w:sz w:val="18"/>
                      <w:szCs w:val="18"/>
                    </w:rPr>
                    <w:t>机</w:t>
                  </w:r>
                  <w:r>
                    <w:rPr>
                      <w:rFonts w:hint="default" w:ascii="Times New Roman" w:hAnsi="Times New Roman" w:eastAsia="宋体" w:cs="Times New Roman"/>
                      <w:color w:val="auto"/>
                      <w:spacing w:val="6"/>
                      <w:sz w:val="18"/>
                      <w:szCs w:val="18"/>
                    </w:rPr>
                    <w:t>物排放标准》</w:t>
                  </w:r>
                  <w:r>
                    <w:rPr>
                      <w:rFonts w:hint="default" w:ascii="Times New Roman" w:hAnsi="Times New Roman" w:eastAsia="宋体" w:cs="Times New Roman"/>
                      <w:color w:val="auto"/>
                      <w:sz w:val="18"/>
                      <w:szCs w:val="18"/>
                    </w:rPr>
                    <w:t>DB</w:t>
                  </w:r>
                  <w:r>
                    <w:rPr>
                      <w:rFonts w:hint="default" w:ascii="Times New Roman" w:hAnsi="Times New Roman" w:eastAsia="宋体" w:cs="Times New Roman"/>
                      <w:color w:val="auto"/>
                      <w:spacing w:val="5"/>
                      <w:sz w:val="18"/>
                      <w:szCs w:val="18"/>
                    </w:rPr>
                    <w:t>32/3151-2016</w:t>
                  </w:r>
                </w:p>
              </w:tc>
            </w:tr>
            <w:tr w14:paraId="52F312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906" w:type="pct"/>
                  <w:tcBorders>
                    <w:tl2br w:val="nil"/>
                    <w:tr2bl w:val="nil"/>
                  </w:tcBorders>
                  <w:vAlign w:val="center"/>
                </w:tcPr>
                <w:p w14:paraId="29B2DC09">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丁酮</w:t>
                  </w:r>
                </w:p>
              </w:tc>
              <w:tc>
                <w:tcPr>
                  <w:tcW w:w="707" w:type="pct"/>
                  <w:tcBorders>
                    <w:tl2br w:val="nil"/>
                    <w:tr2bl w:val="nil"/>
                  </w:tcBorders>
                  <w:vAlign w:val="center"/>
                </w:tcPr>
                <w:p w14:paraId="2A21CB22">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position w:val="1"/>
                      <w:sz w:val="18"/>
                      <w:szCs w:val="18"/>
                    </w:rPr>
                    <w:t>80</w:t>
                  </w:r>
                </w:p>
              </w:tc>
              <w:tc>
                <w:tcPr>
                  <w:tcW w:w="606" w:type="pct"/>
                  <w:tcBorders>
                    <w:tl2br w:val="nil"/>
                    <w:tr2bl w:val="nil"/>
                  </w:tcBorders>
                  <w:vAlign w:val="center"/>
                </w:tcPr>
                <w:p w14:paraId="49E30DA8">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position w:val="1"/>
                      <w:sz w:val="18"/>
                      <w:szCs w:val="18"/>
                    </w:rPr>
                    <w:t>25</w:t>
                  </w:r>
                </w:p>
              </w:tc>
              <w:tc>
                <w:tcPr>
                  <w:tcW w:w="443" w:type="pct"/>
                  <w:tcBorders>
                    <w:tl2br w:val="nil"/>
                    <w:tr2bl w:val="nil"/>
                  </w:tcBorders>
                  <w:vAlign w:val="center"/>
                </w:tcPr>
                <w:p w14:paraId="52CEA365">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position w:val="-3"/>
                      <w:sz w:val="18"/>
                      <w:szCs w:val="18"/>
                    </w:rPr>
                    <w:t>-</w:t>
                  </w:r>
                </w:p>
              </w:tc>
              <w:tc>
                <w:tcPr>
                  <w:tcW w:w="485" w:type="pct"/>
                  <w:vMerge w:val="continue"/>
                  <w:tcBorders>
                    <w:tl2br w:val="nil"/>
                    <w:tr2bl w:val="nil"/>
                  </w:tcBorders>
                  <w:vAlign w:val="center"/>
                </w:tcPr>
                <w:p w14:paraId="63A4D1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p>
              </w:tc>
              <w:tc>
                <w:tcPr>
                  <w:tcW w:w="705" w:type="pct"/>
                  <w:tcBorders>
                    <w:tl2br w:val="nil"/>
                    <w:tr2bl w:val="nil"/>
                  </w:tcBorders>
                  <w:vAlign w:val="center"/>
                </w:tcPr>
                <w:p w14:paraId="5684CC2D">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position w:val="-3"/>
                      <w:sz w:val="18"/>
                      <w:szCs w:val="18"/>
                    </w:rPr>
                    <w:t>-</w:t>
                  </w:r>
                </w:p>
              </w:tc>
              <w:tc>
                <w:tcPr>
                  <w:tcW w:w="1145" w:type="pct"/>
                  <w:tcBorders>
                    <w:tl2br w:val="nil"/>
                    <w:tr2bl w:val="nil"/>
                  </w:tcBorders>
                  <w:vAlign w:val="center"/>
                </w:tcPr>
                <w:p w14:paraId="29F6AB5F">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上海市《大气污染物</w:t>
                  </w:r>
                  <w:r>
                    <w:rPr>
                      <w:rFonts w:hint="default" w:ascii="Times New Roman" w:hAnsi="Times New Roman" w:eastAsia="宋体" w:cs="Times New Roman"/>
                      <w:color w:val="auto"/>
                      <w:spacing w:val="6"/>
                      <w:sz w:val="18"/>
                      <w:szCs w:val="18"/>
                    </w:rPr>
                    <w:t>综合排放标准》</w:t>
                  </w:r>
                  <w:r>
                    <w:rPr>
                      <w:rFonts w:hint="default" w:ascii="Times New Roman" w:hAnsi="Times New Roman" w:eastAsia="宋体" w:cs="Times New Roman"/>
                      <w:color w:val="auto"/>
                      <w:spacing w:val="4"/>
                      <w:sz w:val="18"/>
                      <w:szCs w:val="18"/>
                    </w:rPr>
                    <w:t>（</w:t>
                  </w:r>
                  <w:r>
                    <w:rPr>
                      <w:rFonts w:hint="default" w:ascii="Times New Roman" w:hAnsi="Times New Roman" w:eastAsia="宋体" w:cs="Times New Roman"/>
                      <w:color w:val="auto"/>
                      <w:sz w:val="18"/>
                      <w:szCs w:val="18"/>
                    </w:rPr>
                    <w:t>DB</w:t>
                  </w:r>
                  <w:r>
                    <w:rPr>
                      <w:rFonts w:hint="default" w:ascii="Times New Roman" w:hAnsi="Times New Roman" w:eastAsia="宋体" w:cs="Times New Roman"/>
                      <w:color w:val="auto"/>
                      <w:spacing w:val="4"/>
                      <w:sz w:val="18"/>
                      <w:szCs w:val="18"/>
                    </w:rPr>
                    <w:t>31/933-2015）</w:t>
                  </w:r>
                </w:p>
              </w:tc>
            </w:tr>
          </w:tbl>
          <w:p w14:paraId="07DD5F8F">
            <w:pPr>
              <w:ind w:firstLine="420"/>
              <w:rPr>
                <w:rFonts w:hint="eastAsia"/>
                <w:color w:val="auto"/>
                <w:lang w:val="en-US" w:eastAsia="zh-CN"/>
              </w:rPr>
            </w:pPr>
            <w:r>
              <w:rPr>
                <w:rFonts w:hint="eastAsia"/>
                <w:color w:val="auto"/>
                <w:lang w:val="en-US" w:eastAsia="zh-CN"/>
              </w:rPr>
              <w:t>厂区内VOCs无组织排放监控点浓度执行《江苏省大气污染物综合排放标准》（DB32/4041-2021）中的排放限值，具体如下表。</w:t>
            </w:r>
          </w:p>
          <w:p w14:paraId="24239667">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w:t>
            </w:r>
            <w:r>
              <w:rPr>
                <w:rFonts w:hint="eastAsia" w:cs="Times New Roman"/>
                <w:b/>
                <w:color w:val="auto"/>
                <w:sz w:val="21"/>
                <w:szCs w:val="21"/>
                <w:highlight w:val="none"/>
                <w:lang w:val="en-US" w:eastAsia="zh-CN"/>
              </w:rPr>
              <w:t>3-3</w:t>
            </w:r>
            <w:r>
              <w:rPr>
                <w:rFonts w:hint="eastAsia" w:ascii="Times New Roman" w:hAnsi="Times New Roman" w:eastAsia="宋体" w:cs="Times New Roman"/>
                <w:b/>
                <w:color w:val="auto"/>
                <w:sz w:val="21"/>
                <w:szCs w:val="21"/>
                <w:highlight w:val="none"/>
                <w:lang w:val="en-US" w:eastAsia="zh-CN"/>
              </w:rPr>
              <w:t xml:space="preserve"> 厂区内VOCs无组织排放限值</w:t>
            </w:r>
            <w:r>
              <w:rPr>
                <w:rFonts w:hint="eastAsia" w:cs="Times New Roman"/>
                <w:b/>
                <w:color w:val="auto"/>
                <w:sz w:val="21"/>
                <w:szCs w:val="21"/>
                <w:highlight w:val="none"/>
                <w:lang w:val="en-US" w:eastAsia="zh-CN"/>
              </w:rPr>
              <w:t xml:space="preserve"> </w:t>
            </w:r>
            <w:r>
              <w:rPr>
                <w:rFonts w:hint="eastAsia" w:ascii="Times New Roman" w:hAnsi="Times New Roman" w:eastAsia="宋体" w:cs="Times New Roman"/>
                <w:b/>
                <w:color w:val="auto"/>
                <w:sz w:val="21"/>
                <w:szCs w:val="21"/>
                <w:highlight w:val="none"/>
                <w:lang w:val="en-US" w:eastAsia="zh-CN"/>
              </w:rPr>
              <w:t xml:space="preserve"> 单位：mg/m</w:t>
            </w:r>
            <w:r>
              <w:rPr>
                <w:rFonts w:hint="eastAsia" w:ascii="Times New Roman" w:hAnsi="Times New Roman" w:eastAsia="宋体" w:cs="Times New Roman"/>
                <w:b/>
                <w:color w:val="auto"/>
                <w:sz w:val="21"/>
                <w:szCs w:val="21"/>
                <w:highlight w:val="none"/>
                <w:vertAlign w:val="superscript"/>
                <w:lang w:val="en-US" w:eastAsia="zh-CN"/>
              </w:rPr>
              <w:t>3</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04"/>
              <w:gridCol w:w="1665"/>
              <w:gridCol w:w="2725"/>
              <w:gridCol w:w="2425"/>
            </w:tblGrid>
            <w:tr w14:paraId="1A17A9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0" w:type="pct"/>
                  <w:tcBorders>
                    <w:tl2br w:val="nil"/>
                    <w:tr2bl w:val="nil"/>
                  </w:tcBorders>
                  <w:shd w:val="clear" w:color="auto" w:fill="D7D7D7" w:themeFill="background1" w:themeFillShade="D8"/>
                  <w:noWrap w:val="0"/>
                  <w:vAlign w:val="center"/>
                </w:tcPr>
                <w:p w14:paraId="396702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污染物项目</w:t>
                  </w:r>
                </w:p>
              </w:tc>
              <w:tc>
                <w:tcPr>
                  <w:tcW w:w="977" w:type="pct"/>
                  <w:tcBorders>
                    <w:tl2br w:val="nil"/>
                    <w:tr2bl w:val="nil"/>
                  </w:tcBorders>
                  <w:shd w:val="clear" w:color="auto" w:fill="D7D7D7" w:themeFill="background1" w:themeFillShade="D8"/>
                  <w:noWrap w:val="0"/>
                  <w:vAlign w:val="center"/>
                </w:tcPr>
                <w:p w14:paraId="7A2105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特别排放限值</w:t>
                  </w:r>
                </w:p>
              </w:tc>
              <w:tc>
                <w:tcPr>
                  <w:tcW w:w="1599" w:type="pct"/>
                  <w:tcBorders>
                    <w:tl2br w:val="nil"/>
                    <w:tr2bl w:val="nil"/>
                  </w:tcBorders>
                  <w:shd w:val="clear" w:color="auto" w:fill="D7D7D7" w:themeFill="background1" w:themeFillShade="D8"/>
                  <w:noWrap w:val="0"/>
                  <w:vAlign w:val="center"/>
                </w:tcPr>
                <w:p w14:paraId="0961C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限制含义</w:t>
                  </w:r>
                </w:p>
              </w:tc>
              <w:tc>
                <w:tcPr>
                  <w:tcW w:w="1422" w:type="pct"/>
                  <w:tcBorders>
                    <w:tl2br w:val="nil"/>
                    <w:tr2bl w:val="nil"/>
                  </w:tcBorders>
                  <w:shd w:val="clear" w:color="auto" w:fill="D7D7D7" w:themeFill="background1" w:themeFillShade="D8"/>
                  <w:noWrap w:val="0"/>
                  <w:vAlign w:val="center"/>
                </w:tcPr>
                <w:p w14:paraId="0AFC44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无组织排放监控位置</w:t>
                  </w:r>
                </w:p>
              </w:tc>
            </w:tr>
            <w:tr w14:paraId="1EE4DE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0" w:type="pct"/>
                  <w:vMerge w:val="restart"/>
                  <w:tcBorders>
                    <w:tl2br w:val="nil"/>
                    <w:tr2bl w:val="nil"/>
                  </w:tcBorders>
                  <w:noWrap w:val="0"/>
                  <w:vAlign w:val="center"/>
                </w:tcPr>
                <w:p w14:paraId="7E3515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NMHC</w:t>
                  </w:r>
                </w:p>
                <w:p w14:paraId="0773D6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977" w:type="pct"/>
                  <w:tcBorders>
                    <w:tl2br w:val="nil"/>
                    <w:tr2bl w:val="nil"/>
                  </w:tcBorders>
                  <w:noWrap w:val="0"/>
                  <w:vAlign w:val="center"/>
                </w:tcPr>
                <w:p w14:paraId="3E1FE9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1599" w:type="pct"/>
                  <w:tcBorders>
                    <w:tl2br w:val="nil"/>
                    <w:tr2bl w:val="nil"/>
                  </w:tcBorders>
                  <w:noWrap w:val="0"/>
                  <w:vAlign w:val="center"/>
                </w:tcPr>
                <w:p w14:paraId="3F1B0B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监控点处1h平均浓度值</w:t>
                  </w:r>
                </w:p>
              </w:tc>
              <w:tc>
                <w:tcPr>
                  <w:tcW w:w="1422" w:type="pct"/>
                  <w:vMerge w:val="restart"/>
                  <w:tcBorders>
                    <w:tl2br w:val="nil"/>
                    <w:tr2bl w:val="nil"/>
                  </w:tcBorders>
                  <w:noWrap w:val="0"/>
                  <w:vAlign w:val="center"/>
                </w:tcPr>
                <w:p w14:paraId="68D4A8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在厂房外设置监控点</w:t>
                  </w:r>
                </w:p>
              </w:tc>
            </w:tr>
            <w:tr w14:paraId="2ED3E9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00" w:type="pct"/>
                  <w:vMerge w:val="continue"/>
                  <w:tcBorders>
                    <w:tl2br w:val="nil"/>
                    <w:tr2bl w:val="nil"/>
                  </w:tcBorders>
                  <w:noWrap w:val="0"/>
                  <w:vAlign w:val="center"/>
                </w:tcPr>
                <w:p w14:paraId="35E27C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977" w:type="pct"/>
                  <w:tcBorders>
                    <w:tl2br w:val="nil"/>
                    <w:tr2bl w:val="nil"/>
                  </w:tcBorders>
                  <w:noWrap w:val="0"/>
                  <w:vAlign w:val="center"/>
                </w:tcPr>
                <w:p w14:paraId="45C8A1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1599" w:type="pct"/>
                  <w:tcBorders>
                    <w:tl2br w:val="nil"/>
                    <w:tr2bl w:val="nil"/>
                  </w:tcBorders>
                  <w:noWrap w:val="0"/>
                  <w:vAlign w:val="center"/>
                </w:tcPr>
                <w:p w14:paraId="3B910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监控点处任意一次浓度值</w:t>
                  </w:r>
                </w:p>
              </w:tc>
              <w:tc>
                <w:tcPr>
                  <w:tcW w:w="1422" w:type="pct"/>
                  <w:vMerge w:val="continue"/>
                  <w:tcBorders>
                    <w:tl2br w:val="nil"/>
                    <w:tr2bl w:val="nil"/>
                  </w:tcBorders>
                  <w:noWrap w:val="0"/>
                  <w:vAlign w:val="center"/>
                </w:tcPr>
                <w:p w14:paraId="3FE1F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bl>
          <w:p w14:paraId="59A8F563">
            <w:pPr>
              <w:ind w:firstLine="422"/>
              <w:rPr>
                <w:rFonts w:hint="default"/>
                <w:b/>
                <w:color w:val="auto"/>
                <w:lang w:val="en-US" w:eastAsia="zh-CN"/>
              </w:rPr>
            </w:pPr>
            <w:r>
              <w:rPr>
                <w:rFonts w:hint="eastAsia"/>
                <w:b/>
                <w:color w:val="auto"/>
                <w:lang w:val="en-US" w:eastAsia="zh-CN"/>
              </w:rPr>
              <w:t>2、废水排放标准</w:t>
            </w:r>
          </w:p>
          <w:p w14:paraId="541551FA">
            <w:pPr>
              <w:ind w:firstLine="420"/>
              <w:rPr>
                <w:rFonts w:hint="eastAsia"/>
                <w:color w:val="auto"/>
                <w:lang w:val="en-US" w:eastAsia="zh-CN"/>
              </w:rPr>
            </w:pPr>
            <w:r>
              <w:rPr>
                <w:rFonts w:hint="eastAsia"/>
                <w:color w:val="auto"/>
                <w:lang w:val="en-US" w:eastAsia="zh-CN"/>
              </w:rPr>
              <w:t>本项目不新增污水及雨水排放。现有项目废水预处理达《污水综合排放标准》 （GB8978-1996 ）标准后接管海门经济技术开发区污水处理厂处理 ，尾水达到《城镇污水处理厂污染物排放标准》（DB32/4440-2022）中C级标准后排放。</w:t>
            </w:r>
          </w:p>
          <w:p w14:paraId="36B24A04">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lang w:val="en-US" w:eastAsia="zh-CN"/>
              </w:rPr>
            </w:pPr>
            <w:bookmarkStart w:id="11" w:name="_Ref17936"/>
            <w:r>
              <w:rPr>
                <w:rFonts w:hint="eastAsia" w:ascii="Times New Roman" w:hAnsi="Times New Roman" w:eastAsia="宋体" w:cs="Times New Roman"/>
                <w:b/>
                <w:color w:val="auto"/>
                <w:sz w:val="21"/>
                <w:szCs w:val="21"/>
                <w:highlight w:val="none"/>
                <w:lang w:val="en-US" w:eastAsia="zh-CN"/>
              </w:rPr>
              <w:t xml:space="preserve">表 </w:t>
            </w:r>
            <w:bookmarkEnd w:id="11"/>
            <w:r>
              <w:rPr>
                <w:rFonts w:hint="eastAsia" w:cs="Times New Roman"/>
                <w:b/>
                <w:color w:val="auto"/>
                <w:sz w:val="21"/>
                <w:szCs w:val="21"/>
                <w:highlight w:val="none"/>
                <w:lang w:val="en-US" w:eastAsia="zh-CN"/>
              </w:rPr>
              <w:t>3-4</w:t>
            </w:r>
            <w:r>
              <w:rPr>
                <w:rFonts w:hint="eastAsia" w:ascii="Times New Roman" w:hAnsi="Times New Roman" w:eastAsia="宋体" w:cs="Times New Roman"/>
                <w:b/>
                <w:color w:val="auto"/>
                <w:sz w:val="21"/>
                <w:szCs w:val="21"/>
                <w:highlight w:val="none"/>
                <w:lang w:val="en-US" w:eastAsia="zh-CN"/>
              </w:rPr>
              <w:t xml:space="preserve"> 污水处理厂接管及排放标准（单位：mg/L ，pH 无量纲）</w:t>
            </w:r>
          </w:p>
          <w:tbl>
            <w:tblPr>
              <w:tblStyle w:val="15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01"/>
              <w:gridCol w:w="1344"/>
              <w:gridCol w:w="2888"/>
              <w:gridCol w:w="2883"/>
            </w:tblGrid>
            <w:tr w14:paraId="3A85C4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shd w:val="clear" w:color="auto" w:fill="D7D7D7" w:themeFill="background1" w:themeFillShade="D8"/>
                  <w:vAlign w:val="center"/>
                </w:tcPr>
                <w:p w14:paraId="2D4A6DD9">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5"/>
                      <w:sz w:val="18"/>
                      <w:szCs w:val="18"/>
                    </w:rPr>
                    <w:t>项目</w:t>
                  </w:r>
                </w:p>
              </w:tc>
              <w:tc>
                <w:tcPr>
                  <w:tcW w:w="789" w:type="pct"/>
                  <w:tcBorders>
                    <w:tl2br w:val="nil"/>
                    <w:tr2bl w:val="nil"/>
                  </w:tcBorders>
                  <w:shd w:val="clear" w:color="auto" w:fill="D7D7D7" w:themeFill="background1" w:themeFillShade="D8"/>
                  <w:vAlign w:val="center"/>
                </w:tcPr>
                <w:p w14:paraId="5939C81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6"/>
                      <w:sz w:val="18"/>
                      <w:szCs w:val="18"/>
                    </w:rPr>
                    <w:t>单位</w:t>
                  </w:r>
                </w:p>
              </w:tc>
              <w:tc>
                <w:tcPr>
                  <w:tcW w:w="1695" w:type="pct"/>
                  <w:tcBorders>
                    <w:tl2br w:val="nil"/>
                    <w:tr2bl w:val="nil"/>
                  </w:tcBorders>
                  <w:shd w:val="clear" w:color="auto" w:fill="D7D7D7" w:themeFill="background1" w:themeFillShade="D8"/>
                  <w:vAlign w:val="center"/>
                </w:tcPr>
                <w:p w14:paraId="076FFB7F">
                  <w:pPr>
                    <w:pStyle w:val="6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
                      <w:bCs/>
                      <w:color w:val="auto"/>
                      <w:sz w:val="18"/>
                      <w:szCs w:val="18"/>
                      <w:lang w:val="en-US" w:eastAsia="zh-CN"/>
                    </w:rPr>
                    <w:t>接管标准</w:t>
                  </w:r>
                </w:p>
              </w:tc>
              <w:tc>
                <w:tcPr>
                  <w:tcW w:w="1692" w:type="pct"/>
                  <w:tcBorders>
                    <w:tl2br w:val="nil"/>
                    <w:tr2bl w:val="nil"/>
                  </w:tcBorders>
                  <w:shd w:val="clear" w:color="auto" w:fill="D7D7D7" w:themeFill="background1" w:themeFillShade="D8"/>
                  <w:vAlign w:val="center"/>
                </w:tcPr>
                <w:p w14:paraId="2A176EEA">
                  <w:pPr>
                    <w:pStyle w:val="6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pacing w:val="6"/>
                      <w:sz w:val="18"/>
                      <w:szCs w:val="18"/>
                    </w:rPr>
                  </w:pPr>
                  <w:r>
                    <w:rPr>
                      <w:rFonts w:hint="default" w:ascii="Times New Roman" w:hAnsi="Times New Roman" w:eastAsia="宋体" w:cs="Times New Roman"/>
                      <w:b/>
                      <w:bCs/>
                      <w:color w:val="auto"/>
                      <w:sz w:val="18"/>
                      <w:szCs w:val="18"/>
                      <w:lang w:val="en-US" w:eastAsia="zh-CN"/>
                    </w:rPr>
                    <w:t>最终排放标准</w:t>
                  </w:r>
                </w:p>
              </w:tc>
            </w:tr>
            <w:tr w14:paraId="3189B3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vAlign w:val="center"/>
                </w:tcPr>
                <w:p w14:paraId="3651D5C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pH</w:t>
                  </w:r>
                </w:p>
              </w:tc>
              <w:tc>
                <w:tcPr>
                  <w:tcW w:w="789" w:type="pct"/>
                  <w:tcBorders>
                    <w:tl2br w:val="nil"/>
                    <w:tr2bl w:val="nil"/>
                  </w:tcBorders>
                  <w:vAlign w:val="center"/>
                </w:tcPr>
                <w:p w14:paraId="5A9B472B">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无量纲</w:t>
                  </w:r>
                </w:p>
              </w:tc>
              <w:tc>
                <w:tcPr>
                  <w:tcW w:w="1695" w:type="pct"/>
                  <w:tcBorders>
                    <w:tl2br w:val="nil"/>
                    <w:tr2bl w:val="nil"/>
                  </w:tcBorders>
                  <w:vAlign w:val="center"/>
                </w:tcPr>
                <w:p w14:paraId="52FFFF1A">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position w:val="1"/>
                      <w:sz w:val="18"/>
                      <w:szCs w:val="18"/>
                    </w:rPr>
                    <w:t>6～9</w:t>
                  </w:r>
                </w:p>
              </w:tc>
              <w:tc>
                <w:tcPr>
                  <w:tcW w:w="1692" w:type="pct"/>
                  <w:tcBorders>
                    <w:tl2br w:val="nil"/>
                    <w:tr2bl w:val="nil"/>
                  </w:tcBorders>
                  <w:vAlign w:val="center"/>
                </w:tcPr>
                <w:p w14:paraId="61923EA8">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3"/>
                      <w:position w:val="1"/>
                      <w:sz w:val="18"/>
                      <w:szCs w:val="18"/>
                      <w:lang w:val="en-US" w:eastAsia="zh-CN"/>
                    </w:rPr>
                  </w:pPr>
                  <w:r>
                    <w:rPr>
                      <w:rFonts w:hint="default" w:ascii="Times New Roman" w:hAnsi="Times New Roman" w:eastAsia="宋体" w:cs="Times New Roman"/>
                      <w:color w:val="auto"/>
                      <w:spacing w:val="3"/>
                      <w:position w:val="1"/>
                      <w:sz w:val="18"/>
                      <w:szCs w:val="18"/>
                    </w:rPr>
                    <w:t>6～9</w:t>
                  </w:r>
                </w:p>
              </w:tc>
            </w:tr>
            <w:tr w14:paraId="79913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vAlign w:val="center"/>
                </w:tcPr>
                <w:p w14:paraId="4E09BAE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COD</w:t>
                  </w:r>
                </w:p>
              </w:tc>
              <w:tc>
                <w:tcPr>
                  <w:tcW w:w="789" w:type="pct"/>
                  <w:tcBorders>
                    <w:tl2br w:val="nil"/>
                    <w:tr2bl w:val="nil"/>
                  </w:tcBorders>
                  <w:vAlign w:val="center"/>
                </w:tcPr>
                <w:p w14:paraId="059FC4C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pacing w:val="9"/>
                      <w:sz w:val="18"/>
                      <w:szCs w:val="18"/>
                    </w:rPr>
                    <w:t>/L</w:t>
                  </w:r>
                </w:p>
              </w:tc>
              <w:tc>
                <w:tcPr>
                  <w:tcW w:w="1695" w:type="pct"/>
                  <w:tcBorders>
                    <w:tl2br w:val="nil"/>
                    <w:tr2bl w:val="nil"/>
                  </w:tcBorders>
                  <w:vAlign w:val="center"/>
                </w:tcPr>
                <w:p w14:paraId="535505A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500</w:t>
                  </w:r>
                </w:p>
              </w:tc>
              <w:tc>
                <w:tcPr>
                  <w:tcW w:w="1692" w:type="pct"/>
                  <w:tcBorders>
                    <w:tl2br w:val="nil"/>
                    <w:tr2bl w:val="nil"/>
                  </w:tcBorders>
                  <w:vAlign w:val="center"/>
                </w:tcPr>
                <w:p w14:paraId="6019DD4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50</w:t>
                  </w:r>
                </w:p>
              </w:tc>
            </w:tr>
            <w:tr w14:paraId="7048B1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vAlign w:val="center"/>
                </w:tcPr>
                <w:p w14:paraId="1D29CD0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SS</w:t>
                  </w:r>
                </w:p>
              </w:tc>
              <w:tc>
                <w:tcPr>
                  <w:tcW w:w="789" w:type="pct"/>
                  <w:tcBorders>
                    <w:tl2br w:val="nil"/>
                    <w:tr2bl w:val="nil"/>
                  </w:tcBorders>
                  <w:vAlign w:val="center"/>
                </w:tcPr>
                <w:p w14:paraId="049D717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pacing w:val="9"/>
                      <w:sz w:val="18"/>
                      <w:szCs w:val="18"/>
                    </w:rPr>
                    <w:t>/L</w:t>
                  </w:r>
                </w:p>
              </w:tc>
              <w:tc>
                <w:tcPr>
                  <w:tcW w:w="1695" w:type="pct"/>
                  <w:tcBorders>
                    <w:tl2br w:val="nil"/>
                    <w:tr2bl w:val="nil"/>
                  </w:tcBorders>
                  <w:vAlign w:val="center"/>
                </w:tcPr>
                <w:p w14:paraId="45D3283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400</w:t>
                  </w:r>
                </w:p>
              </w:tc>
              <w:tc>
                <w:tcPr>
                  <w:tcW w:w="1692" w:type="pct"/>
                  <w:tcBorders>
                    <w:tl2br w:val="nil"/>
                    <w:tr2bl w:val="nil"/>
                  </w:tcBorders>
                  <w:vAlign w:val="center"/>
                </w:tcPr>
                <w:p w14:paraId="7D2A646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eastAsia="宋体" w:cs="Times New Roman"/>
                      <w:color w:val="auto"/>
                      <w:spacing w:val="4"/>
                      <w:sz w:val="18"/>
                      <w:szCs w:val="18"/>
                      <w:lang w:val="en-US" w:eastAsia="zh-CN"/>
                    </w:rPr>
                    <w:t>10</w:t>
                  </w:r>
                </w:p>
              </w:tc>
            </w:tr>
            <w:tr w14:paraId="04A02D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vAlign w:val="center"/>
                </w:tcPr>
                <w:p w14:paraId="451BC5D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NH</w:t>
                  </w:r>
                  <w:r>
                    <w:rPr>
                      <w:rFonts w:hint="default" w:ascii="Times New Roman" w:hAnsi="Times New Roman" w:eastAsia="宋体" w:cs="Times New Roman"/>
                      <w:color w:val="auto"/>
                      <w:spacing w:val="10"/>
                      <w:sz w:val="18"/>
                      <w:szCs w:val="18"/>
                    </w:rPr>
                    <w:t>3-N</w:t>
                  </w:r>
                </w:p>
              </w:tc>
              <w:tc>
                <w:tcPr>
                  <w:tcW w:w="789" w:type="pct"/>
                  <w:tcBorders>
                    <w:tl2br w:val="nil"/>
                    <w:tr2bl w:val="nil"/>
                  </w:tcBorders>
                  <w:vAlign w:val="center"/>
                </w:tcPr>
                <w:p w14:paraId="1694886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pacing w:val="9"/>
                      <w:sz w:val="18"/>
                      <w:szCs w:val="18"/>
                    </w:rPr>
                    <w:t>/L</w:t>
                  </w:r>
                </w:p>
              </w:tc>
              <w:tc>
                <w:tcPr>
                  <w:tcW w:w="1695" w:type="pct"/>
                  <w:tcBorders>
                    <w:tl2br w:val="nil"/>
                    <w:tr2bl w:val="nil"/>
                  </w:tcBorders>
                  <w:vAlign w:val="center"/>
                </w:tcPr>
                <w:p w14:paraId="4F5B8FDA">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position w:val="-2"/>
                      <w:sz w:val="18"/>
                      <w:szCs w:val="18"/>
                    </w:rPr>
                    <w:t>45</w:t>
                  </w:r>
                </w:p>
              </w:tc>
              <w:tc>
                <w:tcPr>
                  <w:tcW w:w="1692" w:type="pct"/>
                  <w:tcBorders>
                    <w:tl2br w:val="nil"/>
                    <w:tr2bl w:val="nil"/>
                  </w:tcBorders>
                  <w:vAlign w:val="center"/>
                </w:tcPr>
                <w:p w14:paraId="2E191B71">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3"/>
                      <w:position w:val="-2"/>
                      <w:sz w:val="18"/>
                      <w:szCs w:val="18"/>
                    </w:rPr>
                  </w:pPr>
                  <w:r>
                    <w:rPr>
                      <w:rFonts w:hint="default" w:ascii="Times New Roman" w:hAnsi="Times New Roman" w:eastAsia="宋体" w:cs="Times New Roman"/>
                      <w:color w:val="auto"/>
                      <w:sz w:val="18"/>
                      <w:szCs w:val="18"/>
                      <w:lang w:val="en-US" w:eastAsia="zh-CN"/>
                    </w:rPr>
                    <w:t>4（6）*</w:t>
                  </w:r>
                </w:p>
              </w:tc>
            </w:tr>
            <w:tr w14:paraId="70D8B1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vAlign w:val="center"/>
                </w:tcPr>
                <w:p w14:paraId="2A8D6E9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TP</w:t>
                  </w:r>
                </w:p>
              </w:tc>
              <w:tc>
                <w:tcPr>
                  <w:tcW w:w="789" w:type="pct"/>
                  <w:tcBorders>
                    <w:tl2br w:val="nil"/>
                    <w:tr2bl w:val="nil"/>
                  </w:tcBorders>
                  <w:vAlign w:val="center"/>
                </w:tcPr>
                <w:p w14:paraId="3DBECE5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pacing w:val="9"/>
                      <w:sz w:val="18"/>
                      <w:szCs w:val="18"/>
                    </w:rPr>
                    <w:t>/L</w:t>
                  </w:r>
                </w:p>
              </w:tc>
              <w:tc>
                <w:tcPr>
                  <w:tcW w:w="1695" w:type="pct"/>
                  <w:tcBorders>
                    <w:tl2br w:val="nil"/>
                    <w:tr2bl w:val="nil"/>
                  </w:tcBorders>
                  <w:vAlign w:val="center"/>
                </w:tcPr>
                <w:p w14:paraId="4AC036CF">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position w:val="-1"/>
                      <w:sz w:val="18"/>
                      <w:szCs w:val="18"/>
                    </w:rPr>
                    <w:t>8</w:t>
                  </w:r>
                </w:p>
              </w:tc>
              <w:tc>
                <w:tcPr>
                  <w:tcW w:w="1692" w:type="pct"/>
                  <w:tcBorders>
                    <w:tl2br w:val="nil"/>
                    <w:tr2bl w:val="nil"/>
                  </w:tcBorders>
                  <w:vAlign w:val="center"/>
                </w:tcPr>
                <w:p w14:paraId="51E741B7">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1"/>
                      <w:position w:val="-1"/>
                      <w:sz w:val="18"/>
                      <w:szCs w:val="18"/>
                      <w:lang w:val="en-US" w:eastAsia="zh-CN"/>
                    </w:rPr>
                  </w:pPr>
                  <w:r>
                    <w:rPr>
                      <w:rFonts w:hint="default" w:ascii="Times New Roman" w:hAnsi="Times New Roman" w:eastAsia="宋体" w:cs="Times New Roman"/>
                      <w:color w:val="auto"/>
                      <w:spacing w:val="-1"/>
                      <w:position w:val="-1"/>
                      <w:sz w:val="18"/>
                      <w:szCs w:val="18"/>
                      <w:lang w:val="en-US" w:eastAsia="zh-CN"/>
                    </w:rPr>
                    <w:t>0.5</w:t>
                  </w:r>
                </w:p>
              </w:tc>
            </w:tr>
            <w:tr w14:paraId="2FF448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vAlign w:val="center"/>
                </w:tcPr>
                <w:p w14:paraId="20A1A3C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动植物油</w:t>
                  </w:r>
                </w:p>
              </w:tc>
              <w:tc>
                <w:tcPr>
                  <w:tcW w:w="789" w:type="pct"/>
                  <w:tcBorders>
                    <w:tl2br w:val="nil"/>
                    <w:tr2bl w:val="nil"/>
                  </w:tcBorders>
                  <w:vAlign w:val="center"/>
                </w:tcPr>
                <w:p w14:paraId="38F48BE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pacing w:val="9"/>
                      <w:sz w:val="18"/>
                      <w:szCs w:val="18"/>
                    </w:rPr>
                    <w:t>/L</w:t>
                  </w:r>
                </w:p>
              </w:tc>
              <w:tc>
                <w:tcPr>
                  <w:tcW w:w="1695" w:type="pct"/>
                  <w:tcBorders>
                    <w:tl2br w:val="nil"/>
                    <w:tr2bl w:val="nil"/>
                  </w:tcBorders>
                  <w:vAlign w:val="center"/>
                </w:tcPr>
                <w:p w14:paraId="7C7810C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100</w:t>
                  </w:r>
                </w:p>
              </w:tc>
              <w:tc>
                <w:tcPr>
                  <w:tcW w:w="1692" w:type="pct"/>
                  <w:tcBorders>
                    <w:tl2br w:val="nil"/>
                    <w:tr2bl w:val="nil"/>
                  </w:tcBorders>
                  <w:vAlign w:val="center"/>
                </w:tcPr>
                <w:p w14:paraId="696588F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3"/>
                      <w:sz w:val="18"/>
                      <w:szCs w:val="18"/>
                      <w:lang w:val="en-US" w:eastAsia="zh-CN"/>
                    </w:rPr>
                  </w:pPr>
                  <w:r>
                    <w:rPr>
                      <w:rFonts w:hint="eastAsia" w:ascii="Times New Roman" w:hAnsi="Times New Roman" w:eastAsia="宋体" w:cs="Times New Roman"/>
                      <w:color w:val="auto"/>
                      <w:spacing w:val="-3"/>
                      <w:sz w:val="18"/>
                      <w:szCs w:val="18"/>
                      <w:lang w:val="en-US" w:eastAsia="zh-CN"/>
                    </w:rPr>
                    <w:t>1</w:t>
                  </w:r>
                </w:p>
              </w:tc>
            </w:tr>
            <w:tr w14:paraId="296895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vAlign w:val="center"/>
                </w:tcPr>
                <w:p w14:paraId="0B3C198D">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甲苯</w:t>
                  </w:r>
                </w:p>
              </w:tc>
              <w:tc>
                <w:tcPr>
                  <w:tcW w:w="789" w:type="pct"/>
                  <w:tcBorders>
                    <w:tl2br w:val="nil"/>
                    <w:tr2bl w:val="nil"/>
                  </w:tcBorders>
                  <w:vAlign w:val="center"/>
                </w:tcPr>
                <w:p w14:paraId="691CD7E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pacing w:val="9"/>
                      <w:sz w:val="18"/>
                      <w:szCs w:val="18"/>
                    </w:rPr>
                    <w:t>/L</w:t>
                  </w:r>
                </w:p>
              </w:tc>
              <w:tc>
                <w:tcPr>
                  <w:tcW w:w="1695" w:type="pct"/>
                  <w:tcBorders>
                    <w:tl2br w:val="nil"/>
                    <w:tr2bl w:val="nil"/>
                  </w:tcBorders>
                  <w:vAlign w:val="center"/>
                </w:tcPr>
                <w:p w14:paraId="0C5030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0.5</w:t>
                  </w:r>
                </w:p>
              </w:tc>
              <w:tc>
                <w:tcPr>
                  <w:tcW w:w="1692" w:type="pct"/>
                  <w:tcBorders>
                    <w:tl2br w:val="nil"/>
                    <w:tr2bl w:val="nil"/>
                  </w:tcBorders>
                  <w:vAlign w:val="center"/>
                </w:tcPr>
                <w:p w14:paraId="6A5672A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eastAsia="宋体" w:cs="Times New Roman"/>
                      <w:color w:val="auto"/>
                      <w:spacing w:val="1"/>
                      <w:sz w:val="18"/>
                      <w:szCs w:val="18"/>
                      <w:lang w:val="en-US" w:eastAsia="zh-CN"/>
                    </w:rPr>
                    <w:t>0.1</w:t>
                  </w:r>
                </w:p>
              </w:tc>
            </w:tr>
            <w:tr w14:paraId="23780E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vAlign w:val="center"/>
                </w:tcPr>
                <w:p w14:paraId="594F23A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TN</w:t>
                  </w:r>
                </w:p>
              </w:tc>
              <w:tc>
                <w:tcPr>
                  <w:tcW w:w="789" w:type="pct"/>
                  <w:tcBorders>
                    <w:tl2br w:val="nil"/>
                    <w:tr2bl w:val="nil"/>
                  </w:tcBorders>
                  <w:vAlign w:val="center"/>
                </w:tcPr>
                <w:p w14:paraId="011FD9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pacing w:val="9"/>
                      <w:sz w:val="18"/>
                      <w:szCs w:val="18"/>
                    </w:rPr>
                    <w:t>/L</w:t>
                  </w:r>
                </w:p>
              </w:tc>
              <w:tc>
                <w:tcPr>
                  <w:tcW w:w="1695" w:type="pct"/>
                  <w:tcBorders>
                    <w:tl2br w:val="nil"/>
                    <w:tr2bl w:val="nil"/>
                  </w:tcBorders>
                  <w:vAlign w:val="center"/>
                </w:tcPr>
                <w:p w14:paraId="78AFA56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70</w:t>
                  </w:r>
                </w:p>
              </w:tc>
              <w:tc>
                <w:tcPr>
                  <w:tcW w:w="1692" w:type="pct"/>
                  <w:tcBorders>
                    <w:tl2br w:val="nil"/>
                    <w:tr2bl w:val="nil"/>
                  </w:tcBorders>
                  <w:vAlign w:val="center"/>
                </w:tcPr>
                <w:p w14:paraId="7EDE5A5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z w:val="18"/>
                      <w:szCs w:val="18"/>
                      <w:lang w:val="en-US" w:eastAsia="zh-CN"/>
                    </w:rPr>
                    <w:t>12（15）*</w:t>
                  </w:r>
                </w:p>
              </w:tc>
            </w:tr>
            <w:tr w14:paraId="7CE3FF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22" w:type="pct"/>
                  <w:tcBorders>
                    <w:tl2br w:val="nil"/>
                    <w:tr2bl w:val="nil"/>
                  </w:tcBorders>
                  <w:vAlign w:val="center"/>
                </w:tcPr>
                <w:p w14:paraId="2A5E02E0">
                  <w:pPr>
                    <w:pStyle w:val="16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石油类</w:t>
                  </w:r>
                </w:p>
              </w:tc>
              <w:tc>
                <w:tcPr>
                  <w:tcW w:w="789" w:type="pct"/>
                  <w:tcBorders>
                    <w:tl2br w:val="nil"/>
                    <w:tr2bl w:val="nil"/>
                  </w:tcBorders>
                  <w:vAlign w:val="center"/>
                </w:tcPr>
                <w:p w14:paraId="7E7662E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pacing w:val="9"/>
                      <w:sz w:val="18"/>
                      <w:szCs w:val="18"/>
                    </w:rPr>
                    <w:t>/L</w:t>
                  </w:r>
                </w:p>
              </w:tc>
              <w:tc>
                <w:tcPr>
                  <w:tcW w:w="1695" w:type="pct"/>
                  <w:tcBorders>
                    <w:tl2br w:val="nil"/>
                    <w:tr2bl w:val="nil"/>
                  </w:tcBorders>
                  <w:vAlign w:val="center"/>
                </w:tcPr>
                <w:p w14:paraId="029A6DB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20</w:t>
                  </w:r>
                </w:p>
              </w:tc>
              <w:tc>
                <w:tcPr>
                  <w:tcW w:w="1692" w:type="pct"/>
                  <w:tcBorders>
                    <w:tl2br w:val="nil"/>
                    <w:tr2bl w:val="nil"/>
                  </w:tcBorders>
                  <w:vAlign w:val="center"/>
                </w:tcPr>
                <w:p w14:paraId="663616B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2"/>
                      <w:sz w:val="18"/>
                      <w:szCs w:val="18"/>
                      <w:lang w:val="en-US" w:eastAsia="zh-CN"/>
                    </w:rPr>
                  </w:pPr>
                  <w:r>
                    <w:rPr>
                      <w:rFonts w:hint="default" w:ascii="Times New Roman" w:hAnsi="Times New Roman" w:eastAsia="宋体" w:cs="Times New Roman"/>
                      <w:color w:val="auto"/>
                      <w:spacing w:val="2"/>
                      <w:sz w:val="18"/>
                      <w:szCs w:val="18"/>
                      <w:lang w:val="en-US" w:eastAsia="zh-CN"/>
                    </w:rPr>
                    <w:t>1</w:t>
                  </w:r>
                </w:p>
              </w:tc>
            </w:tr>
          </w:tbl>
          <w:p w14:paraId="60921A4A">
            <w:pPr>
              <w:rPr>
                <w:rFonts w:ascii="Times New Roman" w:hAnsi="Times New Roman"/>
                <w:color w:val="auto"/>
                <w:sz w:val="24"/>
                <w:szCs w:val="24"/>
              </w:rPr>
            </w:pPr>
            <w:r>
              <w:rPr>
                <w:rFonts w:hint="eastAsia"/>
                <w:color w:val="auto"/>
              </w:rPr>
              <w:t>雨水排放参照执行《江苏省重点行业工业企业雨水排口环境管理办法》，本项目雨水</w:t>
            </w:r>
            <w:r>
              <w:rPr>
                <w:rFonts w:hint="eastAsia"/>
                <w:color w:val="auto"/>
                <w:lang w:val="en-US" w:eastAsia="zh-CN"/>
              </w:rPr>
              <w:t>接纳</w:t>
            </w:r>
            <w:r>
              <w:rPr>
                <w:rFonts w:hint="eastAsia"/>
                <w:color w:val="auto"/>
              </w:rPr>
              <w:t>河流为</w:t>
            </w:r>
            <w:r>
              <w:rPr>
                <w:rFonts w:hint="eastAsia"/>
                <w:color w:val="auto"/>
                <w:lang w:val="en-US" w:eastAsia="zh-CN"/>
              </w:rPr>
              <w:t>Ⅲ</w:t>
            </w:r>
            <w:r>
              <w:rPr>
                <w:rFonts w:hint="eastAsia"/>
                <w:color w:val="auto"/>
              </w:rPr>
              <w:t>类水体，执行《地表水环境质量标准》（GB3838-20</w:t>
            </w:r>
            <w:r>
              <w:rPr>
                <w:color w:val="auto"/>
              </w:rPr>
              <w:t>0</w:t>
            </w:r>
            <w:r>
              <w:rPr>
                <w:rFonts w:hint="eastAsia"/>
                <w:color w:val="auto"/>
              </w:rPr>
              <w:t>2）中</w:t>
            </w:r>
            <w:r>
              <w:rPr>
                <w:rFonts w:hint="eastAsia"/>
                <w:color w:val="auto"/>
                <w:lang w:val="en-US" w:eastAsia="zh-CN"/>
              </w:rPr>
              <w:t>Ⅲ</w:t>
            </w:r>
            <w:r>
              <w:rPr>
                <w:rFonts w:hint="eastAsia"/>
                <w:color w:val="auto"/>
              </w:rPr>
              <w:t>类标准。</w:t>
            </w:r>
          </w:p>
          <w:p w14:paraId="70414661">
            <w:pPr>
              <w:ind w:firstLine="422"/>
              <w:rPr>
                <w:b/>
                <w:color w:val="auto"/>
              </w:rPr>
            </w:pPr>
            <w:r>
              <w:rPr>
                <w:rFonts w:hint="eastAsia"/>
                <w:b/>
                <w:color w:val="auto"/>
                <w:lang w:val="en-US" w:eastAsia="zh-CN"/>
              </w:rPr>
              <w:t>1</w:t>
            </w:r>
            <w:r>
              <w:rPr>
                <w:b/>
                <w:color w:val="auto"/>
              </w:rPr>
              <w:t>、厂界噪声排放标准</w:t>
            </w:r>
          </w:p>
          <w:p w14:paraId="1335F280">
            <w:pPr>
              <w:ind w:firstLine="420"/>
              <w:rPr>
                <w:color w:val="auto"/>
              </w:rPr>
            </w:pPr>
            <w:r>
              <w:rPr>
                <w:rFonts w:hint="eastAsia"/>
                <w:color w:val="auto"/>
              </w:rPr>
              <w:t>本</w:t>
            </w:r>
            <w:r>
              <w:rPr>
                <w:color w:val="auto"/>
              </w:rPr>
              <w:t>项目运营期厂界噪声执行《工业企业厂界环境噪声排放标准》（GB12348-2008）3类标准，具体见表3-</w:t>
            </w:r>
            <w:r>
              <w:rPr>
                <w:rFonts w:hint="eastAsia"/>
                <w:color w:val="auto"/>
                <w:lang w:val="en-US" w:eastAsia="zh-CN"/>
              </w:rPr>
              <w:t>5</w:t>
            </w:r>
            <w:r>
              <w:rPr>
                <w:color w:val="auto"/>
              </w:rPr>
              <w:t>。</w:t>
            </w:r>
          </w:p>
          <w:p w14:paraId="086F4052">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color w:val="auto"/>
                <w:sz w:val="21"/>
                <w:szCs w:val="21"/>
                <w:highlight w:val="none"/>
                <w:lang w:val="en-US" w:eastAsia="zh-CN"/>
              </w:rPr>
            </w:pPr>
          </w:p>
          <w:p w14:paraId="17A4C456">
            <w:pPr>
              <w:keepNext w:val="0"/>
              <w:keepLines w:val="0"/>
              <w:pageBreakBefore w:val="0"/>
              <w:widowControl w:val="0"/>
              <w:kinsoku/>
              <w:wordWrap/>
              <w:overflowPunct w:val="0"/>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表3-</w:t>
            </w:r>
            <w:r>
              <w:rPr>
                <w:rFonts w:hint="eastAsia" w:cs="Times New Roman"/>
                <w:b/>
                <w:color w:val="auto"/>
                <w:sz w:val="21"/>
                <w:szCs w:val="21"/>
                <w:highlight w:val="none"/>
                <w:lang w:val="en-US" w:eastAsia="zh-CN"/>
              </w:rPr>
              <w:t>5</w:t>
            </w:r>
            <w:r>
              <w:rPr>
                <w:rFonts w:hint="eastAsia" w:ascii="Times New Roman" w:hAnsi="Times New Roman" w:eastAsia="宋体" w:cs="Times New Roman"/>
                <w:b/>
                <w:color w:val="auto"/>
                <w:sz w:val="21"/>
                <w:szCs w:val="21"/>
                <w:highlight w:val="none"/>
                <w:lang w:val="en-US" w:eastAsia="zh-CN"/>
              </w:rPr>
              <w:t>工业企业厂界环境噪声排放标准限值</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199"/>
              <w:gridCol w:w="2849"/>
              <w:gridCol w:w="2849"/>
            </w:tblGrid>
            <w:tr w14:paraId="0BE5B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2" w:type="pct"/>
                  <w:shd w:val="clear" w:color="auto" w:fill="D7D7D7" w:themeFill="background1" w:themeFillShade="D8"/>
                  <w:vAlign w:val="center"/>
                </w:tcPr>
                <w:p w14:paraId="270CD4AF">
                  <w:pPr>
                    <w:pStyle w:val="75"/>
                    <w:rPr>
                      <w:b/>
                      <w:color w:val="auto"/>
                      <w:sz w:val="18"/>
                      <w:szCs w:val="18"/>
                    </w:rPr>
                  </w:pPr>
                  <w:r>
                    <w:rPr>
                      <w:b/>
                      <w:color w:val="auto"/>
                      <w:sz w:val="18"/>
                      <w:szCs w:val="18"/>
                    </w:rPr>
                    <w:t>区域</w:t>
                  </w:r>
                </w:p>
              </w:tc>
              <w:tc>
                <w:tcPr>
                  <w:tcW w:w="704" w:type="pct"/>
                  <w:shd w:val="clear" w:color="auto" w:fill="D7D7D7" w:themeFill="background1" w:themeFillShade="D8"/>
                  <w:vAlign w:val="center"/>
                </w:tcPr>
                <w:p w14:paraId="32481551">
                  <w:pPr>
                    <w:pStyle w:val="75"/>
                    <w:rPr>
                      <w:b/>
                      <w:color w:val="auto"/>
                      <w:sz w:val="18"/>
                      <w:szCs w:val="18"/>
                    </w:rPr>
                  </w:pPr>
                  <w:r>
                    <w:rPr>
                      <w:b/>
                      <w:color w:val="auto"/>
                      <w:sz w:val="18"/>
                      <w:szCs w:val="18"/>
                    </w:rPr>
                    <w:t>类别</w:t>
                  </w:r>
                </w:p>
              </w:tc>
              <w:tc>
                <w:tcPr>
                  <w:tcW w:w="1672" w:type="pct"/>
                  <w:shd w:val="clear" w:color="auto" w:fill="D7D7D7" w:themeFill="background1" w:themeFillShade="D8"/>
                  <w:vAlign w:val="center"/>
                </w:tcPr>
                <w:p w14:paraId="126692CE">
                  <w:pPr>
                    <w:pStyle w:val="75"/>
                    <w:rPr>
                      <w:b/>
                      <w:color w:val="auto"/>
                      <w:sz w:val="18"/>
                      <w:szCs w:val="18"/>
                    </w:rPr>
                  </w:pPr>
                  <w:r>
                    <w:rPr>
                      <w:b/>
                      <w:color w:val="auto"/>
                      <w:sz w:val="18"/>
                      <w:szCs w:val="18"/>
                    </w:rPr>
                    <w:t>昼间（dB（A））</w:t>
                  </w:r>
                </w:p>
              </w:tc>
              <w:tc>
                <w:tcPr>
                  <w:tcW w:w="1672" w:type="pct"/>
                  <w:shd w:val="clear" w:color="auto" w:fill="D7D7D7" w:themeFill="background1" w:themeFillShade="D8"/>
                  <w:vAlign w:val="center"/>
                </w:tcPr>
                <w:p w14:paraId="041A9C2A">
                  <w:pPr>
                    <w:pStyle w:val="75"/>
                    <w:rPr>
                      <w:b/>
                      <w:color w:val="auto"/>
                      <w:sz w:val="18"/>
                      <w:szCs w:val="18"/>
                    </w:rPr>
                  </w:pPr>
                  <w:r>
                    <w:rPr>
                      <w:b/>
                      <w:color w:val="auto"/>
                      <w:sz w:val="18"/>
                      <w:szCs w:val="18"/>
                    </w:rPr>
                    <w:t>夜间（dB（A））</w:t>
                  </w:r>
                </w:p>
              </w:tc>
            </w:tr>
            <w:tr w14:paraId="30D3C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2" w:type="pct"/>
                  <w:vAlign w:val="center"/>
                </w:tcPr>
                <w:p w14:paraId="074383E9">
                  <w:pPr>
                    <w:pStyle w:val="75"/>
                    <w:rPr>
                      <w:color w:val="auto"/>
                      <w:sz w:val="18"/>
                      <w:szCs w:val="18"/>
                    </w:rPr>
                  </w:pPr>
                  <w:r>
                    <w:rPr>
                      <w:color w:val="auto"/>
                      <w:sz w:val="18"/>
                      <w:szCs w:val="18"/>
                    </w:rPr>
                    <w:t>厂界</w:t>
                  </w:r>
                </w:p>
              </w:tc>
              <w:tc>
                <w:tcPr>
                  <w:tcW w:w="704" w:type="pct"/>
                  <w:vAlign w:val="center"/>
                </w:tcPr>
                <w:p w14:paraId="442828C2">
                  <w:pPr>
                    <w:pStyle w:val="75"/>
                    <w:rPr>
                      <w:color w:val="auto"/>
                      <w:sz w:val="18"/>
                      <w:szCs w:val="18"/>
                    </w:rPr>
                  </w:pPr>
                  <w:r>
                    <w:rPr>
                      <w:color w:val="auto"/>
                      <w:sz w:val="18"/>
                      <w:szCs w:val="18"/>
                    </w:rPr>
                    <w:t>3</w:t>
                  </w:r>
                </w:p>
              </w:tc>
              <w:tc>
                <w:tcPr>
                  <w:tcW w:w="1672" w:type="pct"/>
                  <w:vAlign w:val="center"/>
                </w:tcPr>
                <w:p w14:paraId="53B06D45">
                  <w:pPr>
                    <w:pStyle w:val="75"/>
                    <w:rPr>
                      <w:color w:val="auto"/>
                      <w:sz w:val="18"/>
                      <w:szCs w:val="18"/>
                    </w:rPr>
                  </w:pPr>
                  <w:r>
                    <w:rPr>
                      <w:color w:val="auto"/>
                      <w:sz w:val="18"/>
                      <w:szCs w:val="18"/>
                    </w:rPr>
                    <w:t>65</w:t>
                  </w:r>
                </w:p>
              </w:tc>
              <w:tc>
                <w:tcPr>
                  <w:tcW w:w="1672" w:type="pct"/>
                  <w:vAlign w:val="center"/>
                </w:tcPr>
                <w:p w14:paraId="325CE541">
                  <w:pPr>
                    <w:pStyle w:val="75"/>
                    <w:rPr>
                      <w:color w:val="auto"/>
                      <w:sz w:val="18"/>
                      <w:szCs w:val="18"/>
                    </w:rPr>
                  </w:pPr>
                  <w:r>
                    <w:rPr>
                      <w:color w:val="auto"/>
                      <w:sz w:val="18"/>
                      <w:szCs w:val="18"/>
                    </w:rPr>
                    <w:t>55</w:t>
                  </w:r>
                </w:p>
              </w:tc>
            </w:tr>
          </w:tbl>
          <w:p w14:paraId="483C561F">
            <w:pPr>
              <w:ind w:firstLine="422"/>
              <w:rPr>
                <w:b/>
                <w:color w:val="auto"/>
              </w:rPr>
            </w:pPr>
            <w:r>
              <w:rPr>
                <w:rFonts w:hint="eastAsia"/>
                <w:b/>
                <w:color w:val="auto"/>
                <w:lang w:val="en-US" w:eastAsia="zh-CN"/>
              </w:rPr>
              <w:t>2</w:t>
            </w:r>
            <w:r>
              <w:rPr>
                <w:b/>
                <w:color w:val="auto"/>
              </w:rPr>
              <w:t>、固废控制标准</w:t>
            </w:r>
          </w:p>
          <w:p w14:paraId="0F0B33B5">
            <w:pPr>
              <w:ind w:firstLine="420"/>
              <w:rPr>
                <w:rFonts w:hint="eastAsia"/>
                <w:color w:val="auto"/>
              </w:rPr>
            </w:pPr>
            <w:r>
              <w:rPr>
                <w:color w:val="auto"/>
                <w:lang w:eastAsia="zh-CN"/>
              </w:rPr>
              <w:t>建设项目产生的一般工业固体废物贮存场所完善防渗漏、防雨淋、防扬散、防流失措施，若一般固体废物会产生渗滤液还需完善渗滤液收集处理设施，并参照《一般工业固体废物贮存和填埋污染控制标准》</w:t>
            </w:r>
            <w:r>
              <w:rPr>
                <w:rFonts w:hint="eastAsia"/>
                <w:color w:val="auto"/>
                <w:lang w:eastAsia="zh-CN"/>
              </w:rPr>
              <w:t>（</w:t>
            </w:r>
            <w:r>
              <w:rPr>
                <w:color w:val="auto"/>
                <w:lang w:eastAsia="zh-CN"/>
              </w:rPr>
              <w:t>GB18599-2020</w:t>
            </w:r>
            <w:r>
              <w:rPr>
                <w:rFonts w:hint="eastAsia"/>
                <w:color w:val="auto"/>
                <w:lang w:eastAsia="zh-CN"/>
              </w:rPr>
              <w:t>）</w:t>
            </w:r>
            <w:r>
              <w:rPr>
                <w:color w:val="auto"/>
                <w:lang w:eastAsia="zh-CN"/>
              </w:rPr>
              <w:t>要求。危险废物的暂存执行《危险废物贮存污染控制标准》</w:t>
            </w:r>
            <w:r>
              <w:rPr>
                <w:rFonts w:hint="eastAsia"/>
                <w:color w:val="auto"/>
                <w:lang w:eastAsia="zh-CN"/>
              </w:rPr>
              <w:t>（</w:t>
            </w:r>
            <w:r>
              <w:rPr>
                <w:color w:val="auto"/>
                <w:lang w:eastAsia="zh-CN"/>
              </w:rPr>
              <w:t>GB18597-2023</w:t>
            </w:r>
            <w:r>
              <w:rPr>
                <w:rFonts w:hint="eastAsia"/>
                <w:color w:val="auto"/>
                <w:lang w:eastAsia="zh-CN"/>
              </w:rPr>
              <w:t>）</w:t>
            </w:r>
            <w:r>
              <w:rPr>
                <w:color w:val="auto"/>
                <w:lang w:eastAsia="zh-CN"/>
              </w:rPr>
              <w:t>、《省生态环境厅关于印发江苏省固体废物全过程环境监管工作意见的通知》</w:t>
            </w:r>
            <w:r>
              <w:rPr>
                <w:rFonts w:hint="eastAsia"/>
                <w:color w:val="auto"/>
                <w:lang w:eastAsia="zh-CN"/>
              </w:rPr>
              <w:t>（</w:t>
            </w:r>
            <w:r>
              <w:rPr>
                <w:color w:val="auto"/>
                <w:lang w:eastAsia="zh-CN"/>
              </w:rPr>
              <w:t>苏环办〔2024〕16号</w:t>
            </w:r>
            <w:r>
              <w:rPr>
                <w:rFonts w:hint="eastAsia"/>
                <w:color w:val="auto"/>
                <w:lang w:eastAsia="zh-CN"/>
              </w:rPr>
              <w:t>）</w:t>
            </w:r>
            <w:r>
              <w:rPr>
                <w:color w:val="auto"/>
                <w:lang w:eastAsia="zh-CN"/>
              </w:rPr>
              <w:t>等文件要求。</w:t>
            </w:r>
          </w:p>
        </w:tc>
      </w:tr>
      <w:tr w14:paraId="5418F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vAlign w:val="center"/>
          </w:tcPr>
          <w:p w14:paraId="7F06A5A2">
            <w:pPr>
              <w:pStyle w:val="75"/>
              <w:rPr>
                <w:color w:val="auto"/>
              </w:rPr>
            </w:pPr>
            <w:r>
              <w:rPr>
                <w:color w:val="auto"/>
              </w:rPr>
              <w:t>总量</w:t>
            </w:r>
          </w:p>
          <w:p w14:paraId="3D0D385B">
            <w:pPr>
              <w:pStyle w:val="75"/>
              <w:rPr>
                <w:color w:val="auto"/>
              </w:rPr>
            </w:pPr>
            <w:r>
              <w:rPr>
                <w:color w:val="auto"/>
              </w:rPr>
              <w:t>控制</w:t>
            </w:r>
          </w:p>
          <w:p w14:paraId="3F37C251">
            <w:pPr>
              <w:pStyle w:val="75"/>
              <w:rPr>
                <w:color w:val="auto"/>
              </w:rPr>
            </w:pPr>
            <w:r>
              <w:rPr>
                <w:color w:val="auto"/>
              </w:rPr>
              <w:t>指标</w:t>
            </w:r>
          </w:p>
        </w:tc>
        <w:tc>
          <w:tcPr>
            <w:tcW w:w="8506" w:type="dxa"/>
            <w:vAlign w:val="center"/>
          </w:tcPr>
          <w:p w14:paraId="59266D4C">
            <w:pPr>
              <w:ind w:firstLine="420"/>
              <w:rPr>
                <w:color w:val="auto"/>
              </w:rPr>
            </w:pPr>
            <w:r>
              <w:rPr>
                <w:color w:val="auto"/>
              </w:rPr>
              <w:t>项目建成后，各种污染物排放总量见表3-</w:t>
            </w:r>
            <w:r>
              <w:rPr>
                <w:rFonts w:hint="eastAsia"/>
                <w:color w:val="auto"/>
                <w:lang w:val="en-US" w:eastAsia="zh-CN"/>
              </w:rPr>
              <w:t>6</w:t>
            </w:r>
            <w:r>
              <w:rPr>
                <w:color w:val="auto"/>
              </w:rPr>
              <w:t>。</w:t>
            </w:r>
          </w:p>
          <w:p w14:paraId="43958670">
            <w:pPr>
              <w:ind w:firstLine="0" w:firstLineChars="0"/>
              <w:jc w:val="center"/>
              <w:rPr>
                <w:color w:val="auto"/>
              </w:rPr>
            </w:pPr>
            <w:r>
              <w:rPr>
                <w:b/>
                <w:bCs/>
                <w:color w:val="auto"/>
                <w:spacing w:val="-2"/>
              </w:rPr>
              <w:t>表</w:t>
            </w:r>
            <w:r>
              <w:rPr>
                <w:rFonts w:eastAsia="Times New Roman" w:cs="Times New Roman"/>
                <w:b/>
                <w:bCs/>
                <w:color w:val="auto"/>
                <w:spacing w:val="-2"/>
              </w:rPr>
              <w:t>3-</w:t>
            </w:r>
            <w:r>
              <w:rPr>
                <w:rFonts w:hint="eastAsia" w:cs="Times New Roman"/>
                <w:b/>
                <w:bCs/>
                <w:color w:val="auto"/>
                <w:spacing w:val="-2"/>
                <w:lang w:val="en-US" w:eastAsia="zh-CN"/>
              </w:rPr>
              <w:t xml:space="preserve">6  </w:t>
            </w:r>
            <w:r>
              <w:rPr>
                <w:b/>
                <w:bCs/>
                <w:color w:val="auto"/>
                <w:spacing w:val="-2"/>
              </w:rPr>
              <w:t>本项目污染物排放总量控制指标（单位：</w:t>
            </w:r>
            <w:r>
              <w:rPr>
                <w:rFonts w:eastAsia="Times New Roman" w:cs="Times New Roman"/>
                <w:b/>
                <w:bCs/>
                <w:color w:val="auto"/>
                <w:spacing w:val="-2"/>
              </w:rPr>
              <w:t>t/a</w:t>
            </w:r>
            <w:r>
              <w:rPr>
                <w:b/>
                <w:bCs/>
                <w:color w:val="auto"/>
                <w:spacing w:val="-2"/>
              </w:rPr>
              <w:t>）</w:t>
            </w:r>
          </w:p>
          <w:tbl>
            <w:tblPr>
              <w:tblStyle w:val="3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61"/>
              <w:gridCol w:w="1615"/>
              <w:gridCol w:w="1334"/>
              <w:gridCol w:w="1315"/>
              <w:gridCol w:w="1090"/>
              <w:gridCol w:w="1499"/>
            </w:tblGrid>
            <w:tr w14:paraId="1B5F14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75" w:type="pct"/>
                  <w:tcBorders>
                    <w:tl2br w:val="nil"/>
                    <w:tr2bl w:val="nil"/>
                  </w:tcBorders>
                  <w:shd w:val="clear" w:color="auto" w:fill="D7D7D7" w:themeFill="background1" w:themeFillShade="D8"/>
                  <w:vAlign w:val="center"/>
                </w:tcPr>
                <w:p w14:paraId="45BF3D5A">
                  <w:pPr>
                    <w:widowControl/>
                    <w:spacing w:line="240" w:lineRule="auto"/>
                    <w:ind w:firstLine="0" w:firstLineChars="0"/>
                    <w:jc w:val="center"/>
                    <w:textAlignment w:val="center"/>
                    <w:rPr>
                      <w:rFonts w:cs="Times New Roman"/>
                      <w:b/>
                      <w:bCs/>
                      <w:color w:val="auto"/>
                      <w:sz w:val="18"/>
                      <w:szCs w:val="18"/>
                    </w:rPr>
                  </w:pPr>
                  <w:r>
                    <w:rPr>
                      <w:rFonts w:cs="Times New Roman"/>
                      <w:b/>
                      <w:bCs/>
                      <w:color w:val="auto"/>
                      <w:kern w:val="0"/>
                      <w:sz w:val="18"/>
                      <w:szCs w:val="18"/>
                      <w:lang w:bidi="ar"/>
                    </w:rPr>
                    <w:t>类别</w:t>
                  </w:r>
                </w:p>
              </w:tc>
              <w:tc>
                <w:tcPr>
                  <w:tcW w:w="948" w:type="pct"/>
                  <w:tcBorders>
                    <w:tl2br w:val="nil"/>
                    <w:tr2bl w:val="nil"/>
                  </w:tcBorders>
                  <w:shd w:val="clear" w:color="auto" w:fill="D7D7D7" w:themeFill="background1" w:themeFillShade="D8"/>
                  <w:vAlign w:val="center"/>
                </w:tcPr>
                <w:p w14:paraId="3E9ED9D9">
                  <w:pPr>
                    <w:widowControl/>
                    <w:spacing w:line="240" w:lineRule="auto"/>
                    <w:ind w:firstLine="0" w:firstLineChars="0"/>
                    <w:jc w:val="center"/>
                    <w:textAlignment w:val="center"/>
                    <w:rPr>
                      <w:rFonts w:cs="Times New Roman"/>
                      <w:b/>
                      <w:bCs/>
                      <w:color w:val="auto"/>
                      <w:sz w:val="18"/>
                      <w:szCs w:val="18"/>
                    </w:rPr>
                  </w:pPr>
                  <w:r>
                    <w:rPr>
                      <w:rFonts w:cs="Times New Roman"/>
                      <w:b/>
                      <w:bCs/>
                      <w:color w:val="auto"/>
                      <w:kern w:val="0"/>
                      <w:sz w:val="18"/>
                      <w:szCs w:val="18"/>
                      <w:lang w:bidi="ar"/>
                    </w:rPr>
                    <w:t>污染物名称</w:t>
                  </w:r>
                </w:p>
              </w:tc>
              <w:tc>
                <w:tcPr>
                  <w:tcW w:w="783" w:type="pct"/>
                  <w:tcBorders>
                    <w:tl2br w:val="nil"/>
                    <w:tr2bl w:val="nil"/>
                  </w:tcBorders>
                  <w:shd w:val="clear" w:color="auto" w:fill="D7D7D7" w:themeFill="background1" w:themeFillShade="D8"/>
                  <w:vAlign w:val="center"/>
                </w:tcPr>
                <w:p w14:paraId="552A350E">
                  <w:pPr>
                    <w:widowControl/>
                    <w:spacing w:line="240" w:lineRule="auto"/>
                    <w:ind w:firstLine="0" w:firstLineChars="0"/>
                    <w:jc w:val="center"/>
                    <w:textAlignment w:val="center"/>
                    <w:rPr>
                      <w:rFonts w:cs="Times New Roman"/>
                      <w:b/>
                      <w:bCs/>
                      <w:color w:val="auto"/>
                      <w:sz w:val="18"/>
                      <w:szCs w:val="18"/>
                    </w:rPr>
                  </w:pPr>
                  <w:r>
                    <w:rPr>
                      <w:rFonts w:cs="Times New Roman"/>
                      <w:b/>
                      <w:bCs/>
                      <w:color w:val="auto"/>
                      <w:kern w:val="0"/>
                      <w:sz w:val="18"/>
                      <w:szCs w:val="18"/>
                      <w:lang w:bidi="ar"/>
                    </w:rPr>
                    <w:t>产生量</w:t>
                  </w:r>
                </w:p>
              </w:tc>
              <w:tc>
                <w:tcPr>
                  <w:tcW w:w="772" w:type="pct"/>
                  <w:tcBorders>
                    <w:tl2br w:val="nil"/>
                    <w:tr2bl w:val="nil"/>
                  </w:tcBorders>
                  <w:shd w:val="clear" w:color="auto" w:fill="D7D7D7" w:themeFill="background1" w:themeFillShade="D8"/>
                  <w:vAlign w:val="center"/>
                </w:tcPr>
                <w:p w14:paraId="2104451E">
                  <w:pPr>
                    <w:widowControl/>
                    <w:spacing w:line="240" w:lineRule="auto"/>
                    <w:ind w:firstLine="0" w:firstLineChars="0"/>
                    <w:jc w:val="center"/>
                    <w:textAlignment w:val="center"/>
                    <w:rPr>
                      <w:rFonts w:cs="Times New Roman"/>
                      <w:b/>
                      <w:bCs/>
                      <w:color w:val="auto"/>
                      <w:sz w:val="18"/>
                      <w:szCs w:val="18"/>
                    </w:rPr>
                  </w:pPr>
                  <w:r>
                    <w:rPr>
                      <w:rFonts w:cs="Times New Roman"/>
                      <w:b/>
                      <w:bCs/>
                      <w:color w:val="auto"/>
                      <w:kern w:val="0"/>
                      <w:sz w:val="18"/>
                      <w:szCs w:val="18"/>
                      <w:lang w:bidi="ar"/>
                    </w:rPr>
                    <w:t>削减量</w:t>
                  </w:r>
                </w:p>
              </w:tc>
              <w:tc>
                <w:tcPr>
                  <w:tcW w:w="640" w:type="pct"/>
                  <w:tcBorders>
                    <w:tl2br w:val="nil"/>
                    <w:tr2bl w:val="nil"/>
                  </w:tcBorders>
                  <w:shd w:val="clear" w:color="auto" w:fill="D7D7D7" w:themeFill="background1" w:themeFillShade="D8"/>
                  <w:vAlign w:val="center"/>
                </w:tcPr>
                <w:p w14:paraId="64040FCD">
                  <w:pPr>
                    <w:widowControl/>
                    <w:spacing w:line="240" w:lineRule="auto"/>
                    <w:ind w:firstLine="0" w:firstLineChars="0"/>
                    <w:jc w:val="center"/>
                    <w:textAlignment w:val="center"/>
                    <w:rPr>
                      <w:rFonts w:cs="Times New Roman"/>
                      <w:b/>
                      <w:bCs/>
                      <w:color w:val="auto"/>
                      <w:sz w:val="18"/>
                      <w:szCs w:val="18"/>
                    </w:rPr>
                  </w:pPr>
                  <w:r>
                    <w:rPr>
                      <w:rFonts w:cs="Times New Roman"/>
                      <w:b/>
                      <w:bCs/>
                      <w:color w:val="auto"/>
                      <w:kern w:val="0"/>
                      <w:sz w:val="18"/>
                      <w:szCs w:val="18"/>
                      <w:lang w:bidi="ar"/>
                    </w:rPr>
                    <w:t>接管量</w:t>
                  </w:r>
                </w:p>
              </w:tc>
              <w:tc>
                <w:tcPr>
                  <w:tcW w:w="880" w:type="pct"/>
                  <w:tcBorders>
                    <w:tl2br w:val="nil"/>
                    <w:tr2bl w:val="nil"/>
                  </w:tcBorders>
                  <w:shd w:val="clear" w:color="auto" w:fill="D7D7D7" w:themeFill="background1" w:themeFillShade="D8"/>
                  <w:vAlign w:val="center"/>
                </w:tcPr>
                <w:p w14:paraId="24FE9F1C">
                  <w:pPr>
                    <w:widowControl/>
                    <w:spacing w:line="240" w:lineRule="auto"/>
                    <w:ind w:firstLine="0" w:firstLineChars="0"/>
                    <w:jc w:val="center"/>
                    <w:textAlignment w:val="center"/>
                    <w:rPr>
                      <w:rFonts w:cs="Times New Roman"/>
                      <w:b/>
                      <w:bCs/>
                      <w:color w:val="auto"/>
                      <w:sz w:val="18"/>
                      <w:szCs w:val="18"/>
                    </w:rPr>
                  </w:pPr>
                  <w:r>
                    <w:rPr>
                      <w:rFonts w:cs="Times New Roman"/>
                      <w:b/>
                      <w:bCs/>
                      <w:color w:val="auto"/>
                      <w:kern w:val="0"/>
                      <w:sz w:val="18"/>
                      <w:szCs w:val="18"/>
                      <w:lang w:bidi="ar"/>
                    </w:rPr>
                    <w:t>外排环境量</w:t>
                  </w:r>
                </w:p>
              </w:tc>
            </w:tr>
            <w:tr w14:paraId="465336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75" w:type="pct"/>
                  <w:tcBorders>
                    <w:tl2br w:val="nil"/>
                    <w:tr2bl w:val="nil"/>
                  </w:tcBorders>
                  <w:shd w:val="clear" w:color="auto" w:fill="auto"/>
                  <w:vAlign w:val="center"/>
                </w:tcPr>
                <w:p w14:paraId="0DE3D9E6">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废气</w:t>
                  </w:r>
                </w:p>
              </w:tc>
              <w:tc>
                <w:tcPr>
                  <w:tcW w:w="948" w:type="pct"/>
                  <w:tcBorders>
                    <w:tl2br w:val="nil"/>
                    <w:tr2bl w:val="nil"/>
                  </w:tcBorders>
                  <w:shd w:val="clear" w:color="auto" w:fill="auto"/>
                  <w:vAlign w:val="center"/>
                </w:tcPr>
                <w:p w14:paraId="6BBDE64A">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783" w:type="pct"/>
                  <w:tcBorders>
                    <w:tl2br w:val="nil"/>
                    <w:tr2bl w:val="nil"/>
                  </w:tcBorders>
                  <w:shd w:val="clear" w:color="auto" w:fill="auto"/>
                  <w:noWrap/>
                  <w:vAlign w:val="center"/>
                </w:tcPr>
                <w:p w14:paraId="1983A9D1">
                  <w:pPr>
                    <w:widowControl/>
                    <w:spacing w:line="240" w:lineRule="auto"/>
                    <w:ind w:firstLine="0" w:firstLineChars="0"/>
                    <w:jc w:val="center"/>
                    <w:textAlignment w:val="bottom"/>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772" w:type="pct"/>
                  <w:tcBorders>
                    <w:tl2br w:val="nil"/>
                    <w:tr2bl w:val="nil"/>
                  </w:tcBorders>
                  <w:shd w:val="clear" w:color="auto" w:fill="auto"/>
                  <w:vAlign w:val="center"/>
                </w:tcPr>
                <w:p w14:paraId="07E2A1CE">
                  <w:pPr>
                    <w:widowControl/>
                    <w:spacing w:line="240" w:lineRule="auto"/>
                    <w:ind w:firstLine="0" w:firstLineChars="0"/>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640" w:type="pct"/>
                  <w:tcBorders>
                    <w:tl2br w:val="nil"/>
                    <w:tr2bl w:val="nil"/>
                  </w:tcBorders>
                  <w:shd w:val="clear" w:color="auto" w:fill="auto"/>
                  <w:vAlign w:val="center"/>
                </w:tcPr>
                <w:p w14:paraId="1EB5AFD1">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880" w:type="pct"/>
                  <w:tcBorders>
                    <w:tl2br w:val="nil"/>
                    <w:tr2bl w:val="nil"/>
                  </w:tcBorders>
                  <w:shd w:val="clear" w:color="auto" w:fill="auto"/>
                  <w:vAlign w:val="center"/>
                </w:tcPr>
                <w:p w14:paraId="22D98B9D">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w:t>
                  </w:r>
                </w:p>
              </w:tc>
            </w:tr>
            <w:tr w14:paraId="355AC2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75" w:type="pct"/>
                  <w:tcBorders>
                    <w:tl2br w:val="nil"/>
                    <w:tr2bl w:val="nil"/>
                  </w:tcBorders>
                  <w:shd w:val="clear" w:color="auto" w:fill="auto"/>
                  <w:vAlign w:val="center"/>
                </w:tcPr>
                <w:p w14:paraId="4D2DE2A8">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废水</w:t>
                  </w:r>
                </w:p>
              </w:tc>
              <w:tc>
                <w:tcPr>
                  <w:tcW w:w="948" w:type="pct"/>
                  <w:tcBorders>
                    <w:tl2br w:val="nil"/>
                    <w:tr2bl w:val="nil"/>
                  </w:tcBorders>
                  <w:shd w:val="clear" w:color="auto" w:fill="auto"/>
                  <w:vAlign w:val="center"/>
                </w:tcPr>
                <w:p w14:paraId="4C6DE3E9">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783" w:type="pct"/>
                  <w:tcBorders>
                    <w:tl2br w:val="nil"/>
                    <w:tr2bl w:val="nil"/>
                  </w:tcBorders>
                  <w:shd w:val="clear" w:color="auto" w:fill="auto"/>
                  <w:noWrap/>
                  <w:vAlign w:val="center"/>
                </w:tcPr>
                <w:p w14:paraId="15559B2E">
                  <w:pPr>
                    <w:widowControl/>
                    <w:spacing w:line="240" w:lineRule="auto"/>
                    <w:ind w:firstLine="0" w:firstLineChars="0"/>
                    <w:jc w:val="center"/>
                    <w:textAlignment w:val="bottom"/>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772" w:type="pct"/>
                  <w:tcBorders>
                    <w:tl2br w:val="nil"/>
                    <w:tr2bl w:val="nil"/>
                  </w:tcBorders>
                  <w:shd w:val="clear" w:color="auto" w:fill="auto"/>
                  <w:vAlign w:val="center"/>
                </w:tcPr>
                <w:p w14:paraId="0ACC3B2F">
                  <w:pPr>
                    <w:widowControl/>
                    <w:spacing w:line="240" w:lineRule="auto"/>
                    <w:ind w:firstLine="0" w:firstLineChars="0"/>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640" w:type="pct"/>
                  <w:tcBorders>
                    <w:tl2br w:val="nil"/>
                    <w:tr2bl w:val="nil"/>
                  </w:tcBorders>
                  <w:shd w:val="clear" w:color="auto" w:fill="auto"/>
                  <w:vAlign w:val="center"/>
                </w:tcPr>
                <w:p w14:paraId="06D24520">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880" w:type="pct"/>
                  <w:tcBorders>
                    <w:tl2br w:val="nil"/>
                    <w:tr2bl w:val="nil"/>
                  </w:tcBorders>
                  <w:shd w:val="clear" w:color="auto" w:fill="auto"/>
                  <w:vAlign w:val="center"/>
                </w:tcPr>
                <w:p w14:paraId="5417E681">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w:t>
                  </w:r>
                </w:p>
              </w:tc>
            </w:tr>
            <w:tr w14:paraId="36E54A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75" w:type="pct"/>
                  <w:tcBorders>
                    <w:tl2br w:val="nil"/>
                    <w:tr2bl w:val="nil"/>
                  </w:tcBorders>
                  <w:shd w:val="clear" w:color="auto" w:fill="auto"/>
                  <w:vAlign w:val="center"/>
                </w:tcPr>
                <w:p w14:paraId="7A132010">
                  <w:pPr>
                    <w:widowControl/>
                    <w:spacing w:line="240" w:lineRule="auto"/>
                    <w:ind w:firstLine="0" w:firstLineChars="0"/>
                    <w:jc w:val="center"/>
                    <w:textAlignment w:val="center"/>
                    <w:rPr>
                      <w:rFonts w:cs="Times New Roman"/>
                      <w:color w:val="auto"/>
                      <w:sz w:val="18"/>
                      <w:szCs w:val="18"/>
                    </w:rPr>
                  </w:pPr>
                  <w:r>
                    <w:rPr>
                      <w:rFonts w:cs="Times New Roman"/>
                      <w:color w:val="auto"/>
                      <w:kern w:val="0"/>
                      <w:sz w:val="18"/>
                      <w:szCs w:val="18"/>
                      <w:lang w:bidi="ar"/>
                    </w:rPr>
                    <w:t>固废</w:t>
                  </w:r>
                </w:p>
              </w:tc>
              <w:tc>
                <w:tcPr>
                  <w:tcW w:w="948" w:type="pct"/>
                  <w:tcBorders>
                    <w:tl2br w:val="nil"/>
                    <w:tr2bl w:val="nil"/>
                  </w:tcBorders>
                  <w:shd w:val="clear" w:color="auto" w:fill="auto"/>
                  <w:vAlign w:val="center"/>
                </w:tcPr>
                <w:p w14:paraId="3E436A1F">
                  <w:pPr>
                    <w:widowControl/>
                    <w:spacing w:line="240" w:lineRule="auto"/>
                    <w:ind w:firstLine="0" w:firstLineChars="0"/>
                    <w:jc w:val="center"/>
                    <w:textAlignment w:val="center"/>
                    <w:rPr>
                      <w:rFonts w:cs="Times New Roman"/>
                      <w:color w:val="auto"/>
                      <w:sz w:val="18"/>
                      <w:szCs w:val="18"/>
                    </w:rPr>
                  </w:pPr>
                  <w:r>
                    <w:rPr>
                      <w:rFonts w:cs="Times New Roman"/>
                      <w:color w:val="auto"/>
                      <w:kern w:val="0"/>
                      <w:sz w:val="18"/>
                      <w:szCs w:val="18"/>
                      <w:lang w:bidi="ar"/>
                    </w:rPr>
                    <w:t>一般工业废物</w:t>
                  </w:r>
                </w:p>
              </w:tc>
              <w:tc>
                <w:tcPr>
                  <w:tcW w:w="783" w:type="pct"/>
                  <w:tcBorders>
                    <w:tl2br w:val="nil"/>
                    <w:tr2bl w:val="nil"/>
                  </w:tcBorders>
                  <w:shd w:val="clear" w:color="auto" w:fill="auto"/>
                  <w:noWrap/>
                  <w:vAlign w:val="center"/>
                </w:tcPr>
                <w:p w14:paraId="38A16C7A">
                  <w:pPr>
                    <w:widowControl/>
                    <w:spacing w:line="240" w:lineRule="auto"/>
                    <w:ind w:firstLine="0" w:firstLineChars="0"/>
                    <w:jc w:val="center"/>
                    <w:textAlignment w:val="bottom"/>
                    <w:rPr>
                      <w:rFonts w:hint="default" w:eastAsia="宋体" w:cs="Times New Roman"/>
                      <w:color w:val="auto"/>
                      <w:sz w:val="18"/>
                      <w:szCs w:val="18"/>
                      <w:lang w:val="en-US" w:eastAsia="zh-CN"/>
                    </w:rPr>
                  </w:pPr>
                  <w:r>
                    <w:rPr>
                      <w:rFonts w:hint="eastAsia" w:cs="Times New Roman"/>
                      <w:color w:val="auto"/>
                      <w:kern w:val="0"/>
                      <w:sz w:val="18"/>
                      <w:szCs w:val="18"/>
                      <w:lang w:val="en-US" w:eastAsia="zh-CN" w:bidi="ar"/>
                    </w:rPr>
                    <w:t>8.12</w:t>
                  </w:r>
                </w:p>
              </w:tc>
              <w:tc>
                <w:tcPr>
                  <w:tcW w:w="772" w:type="pct"/>
                  <w:tcBorders>
                    <w:tl2br w:val="nil"/>
                    <w:tr2bl w:val="nil"/>
                  </w:tcBorders>
                  <w:shd w:val="clear" w:color="auto" w:fill="auto"/>
                  <w:vAlign w:val="center"/>
                </w:tcPr>
                <w:p w14:paraId="4F002C07">
                  <w:pPr>
                    <w:widowControl/>
                    <w:spacing w:line="240" w:lineRule="auto"/>
                    <w:ind w:firstLine="0" w:firstLineChars="0"/>
                    <w:jc w:val="center"/>
                    <w:textAlignment w:val="center"/>
                    <w:rPr>
                      <w:rFonts w:hint="default" w:cs="Times New Roman"/>
                      <w:color w:val="auto"/>
                      <w:sz w:val="18"/>
                      <w:szCs w:val="18"/>
                      <w:lang w:val="en-US"/>
                    </w:rPr>
                  </w:pPr>
                  <w:r>
                    <w:rPr>
                      <w:rFonts w:hint="eastAsia" w:cs="Times New Roman"/>
                      <w:color w:val="auto"/>
                      <w:kern w:val="0"/>
                      <w:sz w:val="18"/>
                      <w:szCs w:val="18"/>
                      <w:lang w:val="en-US" w:eastAsia="zh-CN" w:bidi="ar"/>
                    </w:rPr>
                    <w:t>8.12</w:t>
                  </w:r>
                </w:p>
              </w:tc>
              <w:tc>
                <w:tcPr>
                  <w:tcW w:w="640" w:type="pct"/>
                  <w:tcBorders>
                    <w:tl2br w:val="nil"/>
                    <w:tr2bl w:val="nil"/>
                  </w:tcBorders>
                  <w:shd w:val="clear" w:color="auto" w:fill="auto"/>
                  <w:vAlign w:val="center"/>
                </w:tcPr>
                <w:p w14:paraId="4F352F0E">
                  <w:pPr>
                    <w:widowControl/>
                    <w:spacing w:line="240" w:lineRule="auto"/>
                    <w:ind w:firstLine="0" w:firstLineChars="0"/>
                    <w:jc w:val="center"/>
                    <w:textAlignment w:val="center"/>
                    <w:rPr>
                      <w:rFonts w:cs="Times New Roman"/>
                      <w:color w:val="auto"/>
                      <w:sz w:val="18"/>
                      <w:szCs w:val="18"/>
                    </w:rPr>
                  </w:pPr>
                  <w:r>
                    <w:rPr>
                      <w:rFonts w:cs="Times New Roman"/>
                      <w:color w:val="auto"/>
                      <w:kern w:val="0"/>
                      <w:sz w:val="18"/>
                      <w:szCs w:val="18"/>
                      <w:lang w:bidi="ar"/>
                    </w:rPr>
                    <w:t>/</w:t>
                  </w:r>
                </w:p>
              </w:tc>
              <w:tc>
                <w:tcPr>
                  <w:tcW w:w="880" w:type="pct"/>
                  <w:tcBorders>
                    <w:tl2br w:val="nil"/>
                    <w:tr2bl w:val="nil"/>
                  </w:tcBorders>
                  <w:shd w:val="clear" w:color="auto" w:fill="auto"/>
                  <w:vAlign w:val="center"/>
                </w:tcPr>
                <w:p w14:paraId="17985861">
                  <w:pPr>
                    <w:widowControl/>
                    <w:spacing w:line="240" w:lineRule="auto"/>
                    <w:ind w:firstLine="0" w:firstLineChars="0"/>
                    <w:jc w:val="center"/>
                    <w:textAlignment w:val="center"/>
                    <w:rPr>
                      <w:rFonts w:cs="Times New Roman"/>
                      <w:color w:val="auto"/>
                      <w:sz w:val="18"/>
                      <w:szCs w:val="18"/>
                    </w:rPr>
                  </w:pPr>
                  <w:r>
                    <w:rPr>
                      <w:rFonts w:cs="Times New Roman"/>
                      <w:color w:val="auto"/>
                      <w:kern w:val="0"/>
                      <w:sz w:val="18"/>
                      <w:szCs w:val="18"/>
                      <w:lang w:bidi="ar"/>
                    </w:rPr>
                    <w:t>0</w:t>
                  </w:r>
                </w:p>
              </w:tc>
            </w:tr>
          </w:tbl>
          <w:p w14:paraId="323BEE94">
            <w:pPr>
              <w:ind w:firstLine="0" w:firstLineChars="0"/>
              <w:jc w:val="center"/>
              <w:rPr>
                <w:b/>
                <w:bCs/>
                <w:color w:val="auto"/>
                <w:spacing w:val="-2"/>
              </w:rPr>
            </w:pPr>
            <w:bookmarkStart w:id="12" w:name="_Hlk150848929"/>
            <w:r>
              <w:rPr>
                <w:b/>
                <w:bCs/>
                <w:color w:val="auto"/>
                <w:spacing w:val="-2"/>
              </w:rPr>
              <w:t>表3-</w:t>
            </w:r>
            <w:r>
              <w:rPr>
                <w:rFonts w:hint="eastAsia"/>
                <w:b/>
                <w:bCs/>
                <w:color w:val="auto"/>
                <w:spacing w:val="-2"/>
                <w:lang w:val="en-US" w:eastAsia="zh-CN"/>
              </w:rPr>
              <w:t xml:space="preserve">7  </w:t>
            </w:r>
            <w:r>
              <w:rPr>
                <w:b/>
                <w:bCs/>
                <w:color w:val="auto"/>
                <w:spacing w:val="-2"/>
              </w:rPr>
              <w:t>建成后</w:t>
            </w:r>
            <w:r>
              <w:rPr>
                <w:rFonts w:hint="eastAsia"/>
                <w:b/>
                <w:bCs/>
                <w:color w:val="auto"/>
                <w:spacing w:val="-2"/>
              </w:rPr>
              <w:t>全厂</w:t>
            </w:r>
            <w:r>
              <w:rPr>
                <w:b/>
                <w:bCs/>
                <w:color w:val="auto"/>
                <w:spacing w:val="-2"/>
              </w:rPr>
              <w:t>污染物排放总量表（单位：t/a）</w:t>
            </w:r>
          </w:p>
          <w:bookmarkEnd w:id="12"/>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396"/>
              <w:gridCol w:w="1043"/>
              <w:gridCol w:w="711"/>
              <w:gridCol w:w="759"/>
              <w:gridCol w:w="558"/>
              <w:gridCol w:w="766"/>
              <w:gridCol w:w="611"/>
              <w:gridCol w:w="711"/>
              <w:gridCol w:w="946"/>
              <w:gridCol w:w="762"/>
              <w:gridCol w:w="854"/>
            </w:tblGrid>
            <w:tr w14:paraId="03EA3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32" w:type="pct"/>
                  <w:vMerge w:val="restart"/>
                  <w:tcBorders>
                    <w:tl2br w:val="nil"/>
                    <w:tr2bl w:val="nil"/>
                  </w:tcBorders>
                  <w:shd w:val="clear" w:color="auto" w:fill="D7D7D7" w:themeFill="background1" w:themeFillShade="D8"/>
                  <w:vAlign w:val="center"/>
                </w:tcPr>
                <w:p w14:paraId="593D6F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种类</w:t>
                  </w:r>
                </w:p>
              </w:tc>
              <w:tc>
                <w:tcPr>
                  <w:tcW w:w="848" w:type="pct"/>
                  <w:gridSpan w:val="2"/>
                  <w:vMerge w:val="restart"/>
                  <w:tcBorders>
                    <w:tl2br w:val="nil"/>
                    <w:tr2bl w:val="nil"/>
                  </w:tcBorders>
                  <w:shd w:val="clear" w:color="auto" w:fill="D7D7D7" w:themeFill="background1" w:themeFillShade="D8"/>
                  <w:vAlign w:val="center"/>
                </w:tcPr>
                <w:p w14:paraId="7234A7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污染物名称</w:t>
                  </w:r>
                </w:p>
              </w:tc>
              <w:tc>
                <w:tcPr>
                  <w:tcW w:w="834" w:type="pct"/>
                  <w:gridSpan w:val="2"/>
                  <w:tcBorders>
                    <w:tl2br w:val="nil"/>
                    <w:tr2bl w:val="nil"/>
                  </w:tcBorders>
                  <w:shd w:val="clear" w:color="auto" w:fill="D7D7D7" w:themeFill="background1" w:themeFillShade="D8"/>
                  <w:vAlign w:val="center"/>
                </w:tcPr>
                <w:p w14:paraId="4E1288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kern w:val="0"/>
                      <w:sz w:val="18"/>
                      <w:szCs w:val="18"/>
                      <w:lang w:bidi="ar"/>
                    </w:rPr>
                    <w:t>现有项目排放量</w:t>
                  </w:r>
                </w:p>
              </w:tc>
              <w:tc>
                <w:tcPr>
                  <w:tcW w:w="786" w:type="pct"/>
                  <w:gridSpan w:val="2"/>
                  <w:tcBorders>
                    <w:tl2br w:val="nil"/>
                    <w:tr2bl w:val="nil"/>
                  </w:tcBorders>
                  <w:shd w:val="clear" w:color="auto" w:fill="D7D7D7" w:themeFill="background1" w:themeFillShade="D8"/>
                  <w:vAlign w:val="center"/>
                </w:tcPr>
                <w:p w14:paraId="42CF6F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val="en-US" w:eastAsia="zh-CN" w:bidi="ar"/>
                    </w:rPr>
                    <w:t>改建</w:t>
                  </w:r>
                  <w:r>
                    <w:rPr>
                      <w:rFonts w:hint="default" w:ascii="Times New Roman" w:hAnsi="Times New Roman" w:cs="Times New Roman"/>
                      <w:b/>
                      <w:bCs/>
                      <w:color w:val="auto"/>
                      <w:kern w:val="0"/>
                      <w:sz w:val="18"/>
                      <w:szCs w:val="18"/>
                      <w:lang w:bidi="ar"/>
                    </w:rPr>
                    <w:t>项目新增排放量</w:t>
                  </w:r>
                </w:p>
              </w:tc>
              <w:tc>
                <w:tcPr>
                  <w:tcW w:w="363" w:type="pct"/>
                  <w:vMerge w:val="restart"/>
                  <w:tcBorders>
                    <w:tl2br w:val="nil"/>
                    <w:tr2bl w:val="nil"/>
                  </w:tcBorders>
                  <w:shd w:val="clear" w:color="auto" w:fill="D7D7D7" w:themeFill="background1" w:themeFillShade="D8"/>
                  <w:vAlign w:val="center"/>
                </w:tcPr>
                <w:p w14:paraId="3628B0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kern w:val="0"/>
                      <w:sz w:val="18"/>
                      <w:szCs w:val="18"/>
                      <w:lang w:bidi="ar"/>
                    </w:rPr>
                  </w:pPr>
                  <w:r>
                    <w:rPr>
                      <w:rFonts w:hint="default" w:ascii="Times New Roman" w:hAnsi="Times New Roman" w:cs="Times New Roman"/>
                      <w:b/>
                      <w:bCs/>
                      <w:color w:val="auto"/>
                      <w:kern w:val="0"/>
                      <w:sz w:val="18"/>
                      <w:szCs w:val="18"/>
                      <w:lang w:bidi="ar"/>
                    </w:rPr>
                    <w:t>以新带老削减量</w:t>
                  </w:r>
                </w:p>
                <w:p w14:paraId="5D4900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p>
              </w:tc>
              <w:tc>
                <w:tcPr>
                  <w:tcW w:w="977" w:type="pct"/>
                  <w:gridSpan w:val="2"/>
                  <w:tcBorders>
                    <w:tl2br w:val="nil"/>
                    <w:tr2bl w:val="nil"/>
                  </w:tcBorders>
                  <w:shd w:val="clear" w:color="auto" w:fill="D7D7D7" w:themeFill="background1" w:themeFillShade="D8"/>
                  <w:vAlign w:val="center"/>
                </w:tcPr>
                <w:p w14:paraId="6427E8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项目建成后全厂排放量</w:t>
                  </w:r>
                </w:p>
              </w:tc>
              <w:tc>
                <w:tcPr>
                  <w:tcW w:w="451" w:type="pct"/>
                  <w:vMerge w:val="restart"/>
                  <w:tcBorders>
                    <w:tl2br w:val="nil"/>
                    <w:tr2bl w:val="nil"/>
                  </w:tcBorders>
                  <w:shd w:val="clear" w:color="auto" w:fill="D7D7D7" w:themeFill="background1" w:themeFillShade="D8"/>
                  <w:vAlign w:val="center"/>
                </w:tcPr>
                <w:p w14:paraId="7849A1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kern w:val="0"/>
                      <w:sz w:val="18"/>
                      <w:szCs w:val="18"/>
                      <w:lang w:val="en-US" w:eastAsia="zh-CN" w:bidi="ar"/>
                    </w:rPr>
                    <w:t>排放增减量</w:t>
                  </w:r>
                </w:p>
              </w:tc>
              <w:tc>
                <w:tcPr>
                  <w:tcW w:w="505" w:type="pct"/>
                  <w:vMerge w:val="restart"/>
                  <w:tcBorders>
                    <w:tl2br w:val="nil"/>
                    <w:tr2bl w:val="nil"/>
                  </w:tcBorders>
                  <w:shd w:val="clear" w:color="auto" w:fill="D7D7D7" w:themeFill="background1" w:themeFillShade="D8"/>
                  <w:vAlign w:val="center"/>
                </w:tcPr>
                <w:p w14:paraId="02BBC2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本次申请外排环境量</w:t>
                  </w:r>
                </w:p>
              </w:tc>
            </w:tr>
            <w:tr w14:paraId="03FBF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32" w:type="pct"/>
                  <w:vMerge w:val="continue"/>
                  <w:tcBorders>
                    <w:tl2br w:val="nil"/>
                    <w:tr2bl w:val="nil"/>
                  </w:tcBorders>
                  <w:shd w:val="clear" w:color="auto" w:fill="D7D7D7" w:themeFill="background1" w:themeFillShade="D8"/>
                  <w:vAlign w:val="center"/>
                </w:tcPr>
                <w:p w14:paraId="3D7C0C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rPr>
                  </w:pPr>
                </w:p>
              </w:tc>
              <w:tc>
                <w:tcPr>
                  <w:tcW w:w="848" w:type="pct"/>
                  <w:gridSpan w:val="2"/>
                  <w:vMerge w:val="continue"/>
                  <w:tcBorders>
                    <w:tl2br w:val="nil"/>
                    <w:tr2bl w:val="nil"/>
                  </w:tcBorders>
                  <w:shd w:val="clear" w:color="auto" w:fill="D7D7D7" w:themeFill="background1" w:themeFillShade="D8"/>
                  <w:vAlign w:val="center"/>
                </w:tcPr>
                <w:p w14:paraId="412B2E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rPr>
                  </w:pPr>
                </w:p>
              </w:tc>
              <w:tc>
                <w:tcPr>
                  <w:tcW w:w="384" w:type="pct"/>
                  <w:tcBorders>
                    <w:tl2br w:val="nil"/>
                    <w:tr2bl w:val="nil"/>
                  </w:tcBorders>
                  <w:shd w:val="clear" w:color="auto" w:fill="D7D7D7" w:themeFill="background1" w:themeFillShade="D8"/>
                  <w:vAlign w:val="center"/>
                </w:tcPr>
                <w:p w14:paraId="1F4F47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接管量</w:t>
                  </w:r>
                </w:p>
              </w:tc>
              <w:tc>
                <w:tcPr>
                  <w:tcW w:w="449" w:type="pct"/>
                  <w:tcBorders>
                    <w:tl2br w:val="nil"/>
                    <w:tr2bl w:val="nil"/>
                  </w:tcBorders>
                  <w:shd w:val="clear" w:color="auto" w:fill="D7D7D7" w:themeFill="background1" w:themeFillShade="D8"/>
                  <w:vAlign w:val="center"/>
                </w:tcPr>
                <w:p w14:paraId="125A6F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外排环境量</w:t>
                  </w:r>
                </w:p>
              </w:tc>
              <w:tc>
                <w:tcPr>
                  <w:tcW w:w="332" w:type="pct"/>
                  <w:tcBorders>
                    <w:tl2br w:val="nil"/>
                    <w:tr2bl w:val="nil"/>
                  </w:tcBorders>
                  <w:shd w:val="clear" w:color="auto" w:fill="D7D7D7" w:themeFill="background1" w:themeFillShade="D8"/>
                  <w:vAlign w:val="center"/>
                </w:tcPr>
                <w:p w14:paraId="172808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接管量</w:t>
                  </w:r>
                </w:p>
              </w:tc>
              <w:tc>
                <w:tcPr>
                  <w:tcW w:w="453" w:type="pct"/>
                  <w:tcBorders>
                    <w:tl2br w:val="nil"/>
                    <w:tr2bl w:val="nil"/>
                  </w:tcBorders>
                  <w:shd w:val="clear" w:color="auto" w:fill="D7D7D7" w:themeFill="background1" w:themeFillShade="D8"/>
                  <w:vAlign w:val="center"/>
                </w:tcPr>
                <w:p w14:paraId="27914A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外排环境量</w:t>
                  </w:r>
                </w:p>
              </w:tc>
              <w:tc>
                <w:tcPr>
                  <w:tcW w:w="363" w:type="pct"/>
                  <w:vMerge w:val="continue"/>
                  <w:tcBorders>
                    <w:tl2br w:val="nil"/>
                    <w:tr2bl w:val="nil"/>
                  </w:tcBorders>
                  <w:shd w:val="clear" w:color="auto" w:fill="D7D7D7" w:themeFill="background1" w:themeFillShade="D8"/>
                  <w:vAlign w:val="center"/>
                </w:tcPr>
                <w:p w14:paraId="780E2F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p>
              </w:tc>
              <w:tc>
                <w:tcPr>
                  <w:tcW w:w="417" w:type="pct"/>
                  <w:tcBorders>
                    <w:tl2br w:val="nil"/>
                    <w:tr2bl w:val="nil"/>
                  </w:tcBorders>
                  <w:shd w:val="clear" w:color="auto" w:fill="D7D7D7" w:themeFill="background1" w:themeFillShade="D8"/>
                  <w:vAlign w:val="center"/>
                </w:tcPr>
                <w:p w14:paraId="1B39CC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接管量</w:t>
                  </w:r>
                </w:p>
              </w:tc>
              <w:tc>
                <w:tcPr>
                  <w:tcW w:w="559" w:type="pct"/>
                  <w:tcBorders>
                    <w:tl2br w:val="nil"/>
                    <w:tr2bl w:val="nil"/>
                  </w:tcBorders>
                  <w:shd w:val="clear" w:color="auto" w:fill="D7D7D7" w:themeFill="background1" w:themeFillShade="D8"/>
                  <w:vAlign w:val="center"/>
                </w:tcPr>
                <w:p w14:paraId="343788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lang w:bidi="ar"/>
                    </w:rPr>
                    <w:t>外排环境量</w:t>
                  </w:r>
                </w:p>
              </w:tc>
              <w:tc>
                <w:tcPr>
                  <w:tcW w:w="451" w:type="pct"/>
                  <w:vMerge w:val="continue"/>
                  <w:tcBorders>
                    <w:tl2br w:val="nil"/>
                    <w:tr2bl w:val="nil"/>
                  </w:tcBorders>
                  <w:shd w:val="clear" w:color="auto" w:fill="D7D7D7" w:themeFill="background1" w:themeFillShade="D8"/>
                  <w:vAlign w:val="center"/>
                </w:tcPr>
                <w:p w14:paraId="36C221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505" w:type="pct"/>
                  <w:vMerge w:val="continue"/>
                  <w:tcBorders>
                    <w:tl2br w:val="nil"/>
                    <w:tr2bl w:val="nil"/>
                  </w:tcBorders>
                  <w:shd w:val="clear" w:color="auto" w:fill="D7D7D7" w:themeFill="background1" w:themeFillShade="D8"/>
                  <w:vAlign w:val="center"/>
                </w:tcPr>
                <w:p w14:paraId="2173E7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p>
              </w:tc>
            </w:tr>
            <w:tr w14:paraId="5F79F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tcBorders>
                    <w:tl2br w:val="nil"/>
                    <w:tr2bl w:val="nil"/>
                  </w:tcBorders>
                  <w:shd w:val="clear" w:color="auto" w:fill="auto"/>
                  <w:vAlign w:val="center"/>
                </w:tcPr>
                <w:p w14:paraId="27B66D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废气</w:t>
                  </w:r>
                </w:p>
              </w:tc>
              <w:tc>
                <w:tcPr>
                  <w:tcW w:w="231" w:type="pct"/>
                  <w:vMerge w:val="restart"/>
                  <w:tcBorders>
                    <w:tl2br w:val="nil"/>
                    <w:tr2bl w:val="nil"/>
                  </w:tcBorders>
                  <w:shd w:val="clear" w:color="auto" w:fill="auto"/>
                  <w:vAlign w:val="center"/>
                </w:tcPr>
                <w:p w14:paraId="19607E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有组织</w:t>
                  </w:r>
                </w:p>
              </w:tc>
              <w:tc>
                <w:tcPr>
                  <w:tcW w:w="617" w:type="pct"/>
                  <w:tcBorders>
                    <w:tl2br w:val="nil"/>
                    <w:tr2bl w:val="nil"/>
                  </w:tcBorders>
                  <w:shd w:val="clear" w:color="auto" w:fill="auto"/>
                  <w:vAlign w:val="center"/>
                </w:tcPr>
                <w:p w14:paraId="65DA96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颗粒物</w:t>
                  </w:r>
                </w:p>
              </w:tc>
              <w:tc>
                <w:tcPr>
                  <w:tcW w:w="384" w:type="pct"/>
                  <w:tcBorders>
                    <w:tl2br w:val="nil"/>
                    <w:tr2bl w:val="nil"/>
                  </w:tcBorders>
                  <w:shd w:val="clear" w:color="auto" w:fill="auto"/>
                  <w:vAlign w:val="center"/>
                </w:tcPr>
                <w:p w14:paraId="5D8054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49" w:type="pct"/>
                  <w:tcBorders>
                    <w:tl2br w:val="nil"/>
                    <w:tr2bl w:val="nil"/>
                  </w:tcBorders>
                  <w:shd w:val="clear" w:color="auto" w:fill="auto"/>
                  <w:vAlign w:val="center"/>
                </w:tcPr>
                <w:p w14:paraId="24980D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w:t>
                  </w:r>
                  <w:r>
                    <w:rPr>
                      <w:rFonts w:hint="eastAsia" w:ascii="Times New Roman" w:hAnsi="Times New Roman" w:cs="Times New Roman"/>
                      <w:color w:val="auto"/>
                      <w:kern w:val="0"/>
                      <w:sz w:val="18"/>
                      <w:szCs w:val="18"/>
                      <w:lang w:val="en-US" w:eastAsia="zh-CN" w:bidi="ar"/>
                    </w:rPr>
                    <w:t>259</w:t>
                  </w:r>
                </w:p>
              </w:tc>
              <w:tc>
                <w:tcPr>
                  <w:tcW w:w="332" w:type="pct"/>
                  <w:tcBorders>
                    <w:tl2br w:val="nil"/>
                    <w:tr2bl w:val="nil"/>
                  </w:tcBorders>
                  <w:shd w:val="clear" w:color="auto" w:fill="auto"/>
                  <w:vAlign w:val="center"/>
                </w:tcPr>
                <w:p w14:paraId="189788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00F1E1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3824D8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07928C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559" w:type="pct"/>
                  <w:tcBorders>
                    <w:tl2br w:val="nil"/>
                    <w:tr2bl w:val="nil"/>
                  </w:tcBorders>
                  <w:shd w:val="clear" w:color="auto" w:fill="auto"/>
                  <w:vAlign w:val="center"/>
                </w:tcPr>
                <w:p w14:paraId="541007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w:t>
                  </w:r>
                  <w:r>
                    <w:rPr>
                      <w:rFonts w:hint="eastAsia" w:ascii="Times New Roman" w:hAnsi="Times New Roman" w:cs="Times New Roman"/>
                      <w:color w:val="auto"/>
                      <w:kern w:val="0"/>
                      <w:sz w:val="18"/>
                      <w:szCs w:val="18"/>
                      <w:lang w:val="en-US" w:eastAsia="zh-CN" w:bidi="ar"/>
                    </w:rPr>
                    <w:t>259</w:t>
                  </w:r>
                </w:p>
              </w:tc>
              <w:tc>
                <w:tcPr>
                  <w:tcW w:w="451" w:type="pct"/>
                  <w:tcBorders>
                    <w:tl2br w:val="nil"/>
                    <w:tr2bl w:val="nil"/>
                  </w:tcBorders>
                  <w:shd w:val="clear" w:color="auto" w:fill="auto"/>
                  <w:vAlign w:val="center"/>
                </w:tcPr>
                <w:p w14:paraId="154AAE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370928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r>
            <w:tr w14:paraId="15052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6E16F3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5C5851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7228EA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乙酸乙酯</w:t>
                  </w:r>
                </w:p>
              </w:tc>
              <w:tc>
                <w:tcPr>
                  <w:tcW w:w="384" w:type="pct"/>
                  <w:tcBorders>
                    <w:tl2br w:val="nil"/>
                    <w:tr2bl w:val="nil"/>
                  </w:tcBorders>
                  <w:shd w:val="clear" w:color="auto" w:fill="auto"/>
                  <w:vAlign w:val="center"/>
                </w:tcPr>
                <w:p w14:paraId="3D4272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638762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5.851</w:t>
                  </w:r>
                </w:p>
              </w:tc>
              <w:tc>
                <w:tcPr>
                  <w:tcW w:w="332" w:type="pct"/>
                  <w:tcBorders>
                    <w:tl2br w:val="nil"/>
                    <w:tr2bl w:val="nil"/>
                  </w:tcBorders>
                  <w:shd w:val="clear" w:color="auto" w:fill="auto"/>
                  <w:vAlign w:val="center"/>
                </w:tcPr>
                <w:p w14:paraId="6B0DB8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4E2E22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2F24D3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65B616B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31043A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5.851</w:t>
                  </w:r>
                </w:p>
              </w:tc>
              <w:tc>
                <w:tcPr>
                  <w:tcW w:w="451" w:type="pct"/>
                  <w:tcBorders>
                    <w:tl2br w:val="nil"/>
                    <w:tr2bl w:val="nil"/>
                  </w:tcBorders>
                  <w:shd w:val="clear" w:color="auto" w:fill="auto"/>
                  <w:vAlign w:val="center"/>
                </w:tcPr>
                <w:p w14:paraId="0A3A75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45B2DA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r>
            <w:tr w14:paraId="08742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2D857B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191DEB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465689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乙酸丁酯</w:t>
                  </w:r>
                </w:p>
              </w:tc>
              <w:tc>
                <w:tcPr>
                  <w:tcW w:w="384" w:type="pct"/>
                  <w:tcBorders>
                    <w:tl2br w:val="nil"/>
                    <w:tr2bl w:val="nil"/>
                  </w:tcBorders>
                  <w:shd w:val="clear" w:color="auto" w:fill="auto"/>
                  <w:vAlign w:val="center"/>
                </w:tcPr>
                <w:p w14:paraId="157D04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1B7C27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0.048</w:t>
                  </w:r>
                </w:p>
              </w:tc>
              <w:tc>
                <w:tcPr>
                  <w:tcW w:w="332" w:type="pct"/>
                  <w:tcBorders>
                    <w:tl2br w:val="nil"/>
                    <w:tr2bl w:val="nil"/>
                  </w:tcBorders>
                  <w:shd w:val="clear" w:color="auto" w:fill="auto"/>
                  <w:vAlign w:val="center"/>
                </w:tcPr>
                <w:p w14:paraId="0B8061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214332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4C4062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194D3F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0DF8EF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0.048</w:t>
                  </w:r>
                </w:p>
              </w:tc>
              <w:tc>
                <w:tcPr>
                  <w:tcW w:w="451" w:type="pct"/>
                  <w:tcBorders>
                    <w:tl2br w:val="nil"/>
                    <w:tr2bl w:val="nil"/>
                  </w:tcBorders>
                  <w:shd w:val="clear" w:color="auto" w:fill="auto"/>
                  <w:vAlign w:val="center"/>
                </w:tcPr>
                <w:p w14:paraId="16FF32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590440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76FF7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3ABFE4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31505E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7DA0D1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丁酮</w:t>
                  </w:r>
                </w:p>
              </w:tc>
              <w:tc>
                <w:tcPr>
                  <w:tcW w:w="384" w:type="pct"/>
                  <w:tcBorders>
                    <w:tl2br w:val="nil"/>
                    <w:tr2bl w:val="nil"/>
                  </w:tcBorders>
                  <w:shd w:val="clear" w:color="auto" w:fill="auto"/>
                  <w:vAlign w:val="center"/>
                </w:tcPr>
                <w:p w14:paraId="6672F1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348B19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0.318</w:t>
                  </w:r>
                </w:p>
              </w:tc>
              <w:tc>
                <w:tcPr>
                  <w:tcW w:w="332" w:type="pct"/>
                  <w:tcBorders>
                    <w:tl2br w:val="nil"/>
                    <w:tr2bl w:val="nil"/>
                  </w:tcBorders>
                  <w:shd w:val="clear" w:color="auto" w:fill="auto"/>
                  <w:vAlign w:val="center"/>
                </w:tcPr>
                <w:p w14:paraId="3CF648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2B45AD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0DDDB9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3C3EBA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14845C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0.318</w:t>
                  </w:r>
                </w:p>
              </w:tc>
              <w:tc>
                <w:tcPr>
                  <w:tcW w:w="451" w:type="pct"/>
                  <w:tcBorders>
                    <w:tl2br w:val="nil"/>
                    <w:tr2bl w:val="nil"/>
                  </w:tcBorders>
                  <w:shd w:val="clear" w:color="auto" w:fill="auto"/>
                  <w:vAlign w:val="center"/>
                </w:tcPr>
                <w:p w14:paraId="07FF25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49E579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79E99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2785C7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611F7A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250D1C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甲苯</w:t>
                  </w:r>
                </w:p>
              </w:tc>
              <w:tc>
                <w:tcPr>
                  <w:tcW w:w="384" w:type="pct"/>
                  <w:tcBorders>
                    <w:tl2br w:val="nil"/>
                    <w:tr2bl w:val="nil"/>
                  </w:tcBorders>
                  <w:shd w:val="clear" w:color="auto" w:fill="auto"/>
                  <w:vAlign w:val="center"/>
                </w:tcPr>
                <w:p w14:paraId="0C486B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089BA6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0.318</w:t>
                  </w:r>
                </w:p>
              </w:tc>
              <w:tc>
                <w:tcPr>
                  <w:tcW w:w="332" w:type="pct"/>
                  <w:tcBorders>
                    <w:tl2br w:val="nil"/>
                    <w:tr2bl w:val="nil"/>
                  </w:tcBorders>
                  <w:shd w:val="clear" w:color="auto" w:fill="auto"/>
                  <w:vAlign w:val="center"/>
                </w:tcPr>
                <w:p w14:paraId="3B8980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17AEC3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3F3ED4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395F19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5FA673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0.318</w:t>
                  </w:r>
                </w:p>
              </w:tc>
              <w:tc>
                <w:tcPr>
                  <w:tcW w:w="451" w:type="pct"/>
                  <w:tcBorders>
                    <w:tl2br w:val="nil"/>
                    <w:tr2bl w:val="nil"/>
                  </w:tcBorders>
                  <w:shd w:val="clear" w:color="auto" w:fill="auto"/>
                  <w:vAlign w:val="center"/>
                </w:tcPr>
                <w:p w14:paraId="5D6E92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58B73D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0C59B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47F612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0A4D78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6D350B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VOCs</w:t>
                  </w:r>
                </w:p>
              </w:tc>
              <w:tc>
                <w:tcPr>
                  <w:tcW w:w="384" w:type="pct"/>
                  <w:tcBorders>
                    <w:tl2br w:val="nil"/>
                    <w:tr2bl w:val="nil"/>
                  </w:tcBorders>
                  <w:shd w:val="clear" w:color="auto" w:fill="auto"/>
                  <w:vAlign w:val="center"/>
                </w:tcPr>
                <w:p w14:paraId="6767DF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0D5B5E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11.682</w:t>
                  </w:r>
                </w:p>
              </w:tc>
              <w:tc>
                <w:tcPr>
                  <w:tcW w:w="332" w:type="pct"/>
                  <w:tcBorders>
                    <w:tl2br w:val="nil"/>
                    <w:tr2bl w:val="nil"/>
                  </w:tcBorders>
                  <w:shd w:val="clear" w:color="auto" w:fill="auto"/>
                  <w:vAlign w:val="center"/>
                </w:tcPr>
                <w:p w14:paraId="16E326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010882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275972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6F2B11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243056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11.682</w:t>
                  </w:r>
                </w:p>
              </w:tc>
              <w:tc>
                <w:tcPr>
                  <w:tcW w:w="451" w:type="pct"/>
                  <w:tcBorders>
                    <w:tl2br w:val="nil"/>
                    <w:tr2bl w:val="nil"/>
                  </w:tcBorders>
                  <w:shd w:val="clear" w:color="auto" w:fill="auto"/>
                  <w:vAlign w:val="center"/>
                </w:tcPr>
                <w:p w14:paraId="6A7557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67791B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r>
            <w:tr w14:paraId="532DA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7B5E88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6DEFAE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0086FB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SO</w:t>
                  </w:r>
                  <w:r>
                    <w:rPr>
                      <w:rFonts w:hint="default" w:ascii="Times New Roman" w:hAnsi="Times New Roman" w:eastAsia="宋体" w:cs="Times New Roman"/>
                      <w:color w:val="auto"/>
                      <w:kern w:val="0"/>
                      <w:sz w:val="18"/>
                      <w:szCs w:val="18"/>
                      <w:vertAlign w:val="subscript"/>
                      <w:lang w:bidi="ar"/>
                    </w:rPr>
                    <w:t>2</w:t>
                  </w:r>
                </w:p>
              </w:tc>
              <w:tc>
                <w:tcPr>
                  <w:tcW w:w="384" w:type="pct"/>
                  <w:tcBorders>
                    <w:tl2br w:val="nil"/>
                    <w:tr2bl w:val="nil"/>
                  </w:tcBorders>
                  <w:shd w:val="clear" w:color="auto" w:fill="auto"/>
                  <w:vAlign w:val="center"/>
                </w:tcPr>
                <w:p w14:paraId="5884E3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60540F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0.12</w:t>
                  </w:r>
                </w:p>
              </w:tc>
              <w:tc>
                <w:tcPr>
                  <w:tcW w:w="332" w:type="pct"/>
                  <w:tcBorders>
                    <w:tl2br w:val="nil"/>
                    <w:tr2bl w:val="nil"/>
                  </w:tcBorders>
                  <w:shd w:val="clear" w:color="auto" w:fill="auto"/>
                  <w:vAlign w:val="center"/>
                </w:tcPr>
                <w:p w14:paraId="1F47F4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350A6A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0834F6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3FA6E8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084B25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0.12</w:t>
                  </w:r>
                </w:p>
              </w:tc>
              <w:tc>
                <w:tcPr>
                  <w:tcW w:w="451" w:type="pct"/>
                  <w:tcBorders>
                    <w:tl2br w:val="nil"/>
                    <w:tr2bl w:val="nil"/>
                  </w:tcBorders>
                  <w:shd w:val="clear" w:color="auto" w:fill="auto"/>
                  <w:vAlign w:val="center"/>
                </w:tcPr>
                <w:p w14:paraId="0B9ABD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4C542A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289A3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571E2A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38613B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71F748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NOx</w:t>
                  </w:r>
                </w:p>
              </w:tc>
              <w:tc>
                <w:tcPr>
                  <w:tcW w:w="384" w:type="pct"/>
                  <w:tcBorders>
                    <w:tl2br w:val="nil"/>
                    <w:tr2bl w:val="nil"/>
                  </w:tcBorders>
                  <w:shd w:val="clear" w:color="auto" w:fill="auto"/>
                  <w:vAlign w:val="center"/>
                </w:tcPr>
                <w:p w14:paraId="6ED926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40E371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0.5025</w:t>
                  </w:r>
                </w:p>
              </w:tc>
              <w:tc>
                <w:tcPr>
                  <w:tcW w:w="332" w:type="pct"/>
                  <w:tcBorders>
                    <w:tl2br w:val="nil"/>
                    <w:tr2bl w:val="nil"/>
                  </w:tcBorders>
                  <w:shd w:val="clear" w:color="auto" w:fill="auto"/>
                  <w:vAlign w:val="center"/>
                </w:tcPr>
                <w:p w14:paraId="6B60CDC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2095B5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327E3C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02D3BA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640A2A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0.5025</w:t>
                  </w:r>
                </w:p>
              </w:tc>
              <w:tc>
                <w:tcPr>
                  <w:tcW w:w="451" w:type="pct"/>
                  <w:tcBorders>
                    <w:tl2br w:val="nil"/>
                    <w:tr2bl w:val="nil"/>
                  </w:tcBorders>
                  <w:shd w:val="clear" w:color="auto" w:fill="auto"/>
                  <w:vAlign w:val="center"/>
                </w:tcPr>
                <w:p w14:paraId="64A9CA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25A1DA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3BA34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74A0BF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restart"/>
                  <w:tcBorders>
                    <w:tl2br w:val="nil"/>
                    <w:tr2bl w:val="nil"/>
                  </w:tcBorders>
                  <w:shd w:val="clear" w:color="auto" w:fill="auto"/>
                  <w:vAlign w:val="center"/>
                </w:tcPr>
                <w:p w14:paraId="22F87A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无组织</w:t>
                  </w:r>
                </w:p>
              </w:tc>
              <w:tc>
                <w:tcPr>
                  <w:tcW w:w="617" w:type="pct"/>
                  <w:tcBorders>
                    <w:tl2br w:val="nil"/>
                    <w:tr2bl w:val="nil"/>
                  </w:tcBorders>
                  <w:shd w:val="clear" w:color="auto" w:fill="auto"/>
                  <w:vAlign w:val="center"/>
                </w:tcPr>
                <w:p w14:paraId="7DF904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颗粒物</w:t>
                  </w:r>
                </w:p>
              </w:tc>
              <w:tc>
                <w:tcPr>
                  <w:tcW w:w="384" w:type="pct"/>
                  <w:tcBorders>
                    <w:tl2br w:val="nil"/>
                    <w:tr2bl w:val="nil"/>
                  </w:tcBorders>
                  <w:shd w:val="clear" w:color="auto" w:fill="auto"/>
                  <w:vAlign w:val="center"/>
                </w:tcPr>
                <w:p w14:paraId="6DC8F2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49" w:type="pct"/>
                  <w:tcBorders>
                    <w:tl2br w:val="nil"/>
                    <w:tr2bl w:val="nil"/>
                  </w:tcBorders>
                  <w:shd w:val="clear" w:color="auto" w:fill="auto"/>
                  <w:vAlign w:val="center"/>
                </w:tcPr>
                <w:p w14:paraId="640E99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0.174</w:t>
                  </w:r>
                </w:p>
              </w:tc>
              <w:tc>
                <w:tcPr>
                  <w:tcW w:w="332" w:type="pct"/>
                  <w:tcBorders>
                    <w:tl2br w:val="nil"/>
                    <w:tr2bl w:val="nil"/>
                  </w:tcBorders>
                  <w:shd w:val="clear" w:color="auto" w:fill="auto"/>
                  <w:vAlign w:val="center"/>
                </w:tcPr>
                <w:p w14:paraId="017E68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5B39B5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50A502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78EA82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559" w:type="pct"/>
                  <w:tcBorders>
                    <w:tl2br w:val="nil"/>
                    <w:tr2bl w:val="nil"/>
                  </w:tcBorders>
                  <w:shd w:val="clear" w:color="auto" w:fill="auto"/>
                  <w:vAlign w:val="center"/>
                </w:tcPr>
                <w:p w14:paraId="09ACE9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0.174</w:t>
                  </w:r>
                </w:p>
              </w:tc>
              <w:tc>
                <w:tcPr>
                  <w:tcW w:w="451" w:type="pct"/>
                  <w:tcBorders>
                    <w:tl2br w:val="nil"/>
                    <w:tr2bl w:val="nil"/>
                  </w:tcBorders>
                  <w:shd w:val="clear" w:color="auto" w:fill="auto"/>
                  <w:vAlign w:val="center"/>
                </w:tcPr>
                <w:p w14:paraId="39C3FB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4530D2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r>
            <w:tr w14:paraId="31FCF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5B1C8A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5822DB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42BFBA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乙酸乙酯</w:t>
                  </w:r>
                </w:p>
              </w:tc>
              <w:tc>
                <w:tcPr>
                  <w:tcW w:w="384" w:type="pct"/>
                  <w:tcBorders>
                    <w:tl2br w:val="nil"/>
                    <w:tr2bl w:val="nil"/>
                  </w:tcBorders>
                  <w:shd w:val="clear" w:color="auto" w:fill="auto"/>
                  <w:vAlign w:val="center"/>
                </w:tcPr>
                <w:p w14:paraId="13A472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4C2D41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1.489</w:t>
                  </w:r>
                </w:p>
              </w:tc>
              <w:tc>
                <w:tcPr>
                  <w:tcW w:w="332" w:type="pct"/>
                  <w:tcBorders>
                    <w:tl2br w:val="nil"/>
                    <w:tr2bl w:val="nil"/>
                  </w:tcBorders>
                  <w:shd w:val="clear" w:color="auto" w:fill="auto"/>
                  <w:vAlign w:val="center"/>
                </w:tcPr>
                <w:p w14:paraId="13542D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083084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73736C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693095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394DDF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1.489</w:t>
                  </w:r>
                </w:p>
              </w:tc>
              <w:tc>
                <w:tcPr>
                  <w:tcW w:w="451" w:type="pct"/>
                  <w:tcBorders>
                    <w:tl2br w:val="nil"/>
                    <w:tr2bl w:val="nil"/>
                  </w:tcBorders>
                  <w:shd w:val="clear" w:color="auto" w:fill="auto"/>
                  <w:vAlign w:val="center"/>
                </w:tcPr>
                <w:p w14:paraId="60675B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66439D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3AEA9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092C0E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045F7C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2D4CBB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乙酸丁酯</w:t>
                  </w:r>
                </w:p>
              </w:tc>
              <w:tc>
                <w:tcPr>
                  <w:tcW w:w="384" w:type="pct"/>
                  <w:tcBorders>
                    <w:tl2br w:val="nil"/>
                    <w:tr2bl w:val="nil"/>
                  </w:tcBorders>
                  <w:shd w:val="clear" w:color="auto" w:fill="auto"/>
                  <w:vAlign w:val="center"/>
                </w:tcPr>
                <w:p w14:paraId="38C3F3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64A363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0.012</w:t>
                  </w:r>
                </w:p>
              </w:tc>
              <w:tc>
                <w:tcPr>
                  <w:tcW w:w="332" w:type="pct"/>
                  <w:tcBorders>
                    <w:tl2br w:val="nil"/>
                    <w:tr2bl w:val="nil"/>
                  </w:tcBorders>
                  <w:shd w:val="clear" w:color="auto" w:fill="auto"/>
                  <w:vAlign w:val="center"/>
                </w:tcPr>
                <w:p w14:paraId="237244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3BF249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7B4D0E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178DA0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7F8AF5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0.012</w:t>
                  </w:r>
                </w:p>
              </w:tc>
              <w:tc>
                <w:tcPr>
                  <w:tcW w:w="451" w:type="pct"/>
                  <w:tcBorders>
                    <w:tl2br w:val="nil"/>
                    <w:tr2bl w:val="nil"/>
                  </w:tcBorders>
                  <w:shd w:val="clear" w:color="auto" w:fill="auto"/>
                  <w:vAlign w:val="center"/>
                </w:tcPr>
                <w:p w14:paraId="6890EB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062610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6D454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44315B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282D01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7D4DDF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丁酮</w:t>
                  </w:r>
                </w:p>
              </w:tc>
              <w:tc>
                <w:tcPr>
                  <w:tcW w:w="384" w:type="pct"/>
                  <w:tcBorders>
                    <w:tl2br w:val="nil"/>
                    <w:tr2bl w:val="nil"/>
                  </w:tcBorders>
                  <w:shd w:val="clear" w:color="auto" w:fill="auto"/>
                  <w:vAlign w:val="center"/>
                </w:tcPr>
                <w:p w14:paraId="3D8424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64D17A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0.079</w:t>
                  </w:r>
                </w:p>
              </w:tc>
              <w:tc>
                <w:tcPr>
                  <w:tcW w:w="332" w:type="pct"/>
                  <w:tcBorders>
                    <w:tl2br w:val="nil"/>
                    <w:tr2bl w:val="nil"/>
                  </w:tcBorders>
                  <w:shd w:val="clear" w:color="auto" w:fill="auto"/>
                  <w:vAlign w:val="center"/>
                </w:tcPr>
                <w:p w14:paraId="6B2AB1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046CF6E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548154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0AC712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406BAC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0.079</w:t>
                  </w:r>
                </w:p>
              </w:tc>
              <w:tc>
                <w:tcPr>
                  <w:tcW w:w="451" w:type="pct"/>
                  <w:tcBorders>
                    <w:tl2br w:val="nil"/>
                    <w:tr2bl w:val="nil"/>
                  </w:tcBorders>
                  <w:shd w:val="clear" w:color="auto" w:fill="auto"/>
                  <w:vAlign w:val="center"/>
                </w:tcPr>
                <w:p w14:paraId="4D583F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65A63E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6AFCF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1051E4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014A62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2FD441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甲苯</w:t>
                  </w:r>
                </w:p>
              </w:tc>
              <w:tc>
                <w:tcPr>
                  <w:tcW w:w="384" w:type="pct"/>
                  <w:tcBorders>
                    <w:tl2br w:val="nil"/>
                    <w:tr2bl w:val="nil"/>
                  </w:tcBorders>
                  <w:shd w:val="clear" w:color="auto" w:fill="auto"/>
                  <w:vAlign w:val="center"/>
                </w:tcPr>
                <w:p w14:paraId="4FFB83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1CBFDD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0.079</w:t>
                  </w:r>
                </w:p>
              </w:tc>
              <w:tc>
                <w:tcPr>
                  <w:tcW w:w="332" w:type="pct"/>
                  <w:tcBorders>
                    <w:tl2br w:val="nil"/>
                    <w:tr2bl w:val="nil"/>
                  </w:tcBorders>
                  <w:shd w:val="clear" w:color="auto" w:fill="auto"/>
                  <w:vAlign w:val="center"/>
                </w:tcPr>
                <w:p w14:paraId="101513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6138C5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5ED575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6B9C70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4EE3A7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0.079</w:t>
                  </w:r>
                </w:p>
              </w:tc>
              <w:tc>
                <w:tcPr>
                  <w:tcW w:w="451" w:type="pct"/>
                  <w:tcBorders>
                    <w:tl2br w:val="nil"/>
                    <w:tr2bl w:val="nil"/>
                  </w:tcBorders>
                  <w:shd w:val="clear" w:color="auto" w:fill="auto"/>
                  <w:vAlign w:val="center"/>
                </w:tcPr>
                <w:p w14:paraId="371F7C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5918FD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3B8B5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462778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03C56F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442BCA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VOCs</w:t>
                  </w:r>
                </w:p>
              </w:tc>
              <w:tc>
                <w:tcPr>
                  <w:tcW w:w="384" w:type="pct"/>
                  <w:tcBorders>
                    <w:tl2br w:val="nil"/>
                    <w:tr2bl w:val="nil"/>
                  </w:tcBorders>
                  <w:shd w:val="clear" w:color="auto" w:fill="auto"/>
                  <w:vAlign w:val="center"/>
                </w:tcPr>
                <w:p w14:paraId="3BE802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25D18A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3.033</w:t>
                  </w:r>
                </w:p>
              </w:tc>
              <w:tc>
                <w:tcPr>
                  <w:tcW w:w="332" w:type="pct"/>
                  <w:tcBorders>
                    <w:tl2br w:val="nil"/>
                    <w:tr2bl w:val="nil"/>
                  </w:tcBorders>
                  <w:shd w:val="clear" w:color="auto" w:fill="auto"/>
                  <w:vAlign w:val="center"/>
                </w:tcPr>
                <w:p w14:paraId="1B08EC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56D756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581BBB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74D01C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2E450A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3.033</w:t>
                  </w:r>
                </w:p>
              </w:tc>
              <w:tc>
                <w:tcPr>
                  <w:tcW w:w="451" w:type="pct"/>
                  <w:tcBorders>
                    <w:tl2br w:val="nil"/>
                    <w:tr2bl w:val="nil"/>
                  </w:tcBorders>
                  <w:shd w:val="clear" w:color="auto" w:fill="auto"/>
                  <w:vAlign w:val="center"/>
                </w:tcPr>
                <w:p w14:paraId="4FDD00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097ECF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r>
            <w:tr w14:paraId="15F71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5AAF00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231" w:type="pct"/>
                  <w:vMerge w:val="continue"/>
                  <w:tcBorders>
                    <w:tl2br w:val="nil"/>
                    <w:tr2bl w:val="nil"/>
                  </w:tcBorders>
                  <w:shd w:val="clear" w:color="auto" w:fill="auto"/>
                  <w:vAlign w:val="center"/>
                </w:tcPr>
                <w:p w14:paraId="4FACBE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617" w:type="pct"/>
                  <w:tcBorders>
                    <w:tl2br w:val="nil"/>
                    <w:tr2bl w:val="nil"/>
                  </w:tcBorders>
                  <w:shd w:val="clear" w:color="auto" w:fill="auto"/>
                  <w:vAlign w:val="center"/>
                </w:tcPr>
                <w:p w14:paraId="0D1D8B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NOx</w:t>
                  </w:r>
                </w:p>
              </w:tc>
              <w:tc>
                <w:tcPr>
                  <w:tcW w:w="384" w:type="pct"/>
                  <w:tcBorders>
                    <w:tl2br w:val="nil"/>
                    <w:tr2bl w:val="nil"/>
                  </w:tcBorders>
                  <w:shd w:val="clear" w:color="auto" w:fill="auto"/>
                  <w:vAlign w:val="center"/>
                </w:tcPr>
                <w:p w14:paraId="59AD11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49" w:type="pct"/>
                  <w:tcBorders>
                    <w:tl2br w:val="nil"/>
                    <w:tr2bl w:val="nil"/>
                  </w:tcBorders>
                  <w:shd w:val="clear" w:color="auto" w:fill="auto"/>
                  <w:vAlign w:val="center"/>
                </w:tcPr>
                <w:p w14:paraId="6FAFCC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0.0025</w:t>
                  </w:r>
                </w:p>
              </w:tc>
              <w:tc>
                <w:tcPr>
                  <w:tcW w:w="332" w:type="pct"/>
                  <w:tcBorders>
                    <w:tl2br w:val="nil"/>
                    <w:tr2bl w:val="nil"/>
                  </w:tcBorders>
                  <w:shd w:val="clear" w:color="auto" w:fill="auto"/>
                  <w:vAlign w:val="center"/>
                </w:tcPr>
                <w:p w14:paraId="741C86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13BB9D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46939C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72E487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559" w:type="pct"/>
                  <w:tcBorders>
                    <w:tl2br w:val="nil"/>
                    <w:tr2bl w:val="nil"/>
                  </w:tcBorders>
                  <w:shd w:val="clear" w:color="auto" w:fill="auto"/>
                  <w:vAlign w:val="center"/>
                </w:tcPr>
                <w:p w14:paraId="063735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0.0025</w:t>
                  </w:r>
                </w:p>
              </w:tc>
              <w:tc>
                <w:tcPr>
                  <w:tcW w:w="451" w:type="pct"/>
                  <w:tcBorders>
                    <w:tl2br w:val="nil"/>
                    <w:tr2bl w:val="nil"/>
                  </w:tcBorders>
                  <w:shd w:val="clear" w:color="auto" w:fill="auto"/>
                  <w:vAlign w:val="center"/>
                </w:tcPr>
                <w:p w14:paraId="09AB73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77A520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w:t>
                  </w:r>
                </w:p>
              </w:tc>
            </w:tr>
            <w:tr w14:paraId="636BD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tcBorders>
                    <w:tl2br w:val="nil"/>
                    <w:tr2bl w:val="nil"/>
                  </w:tcBorders>
                  <w:shd w:val="clear" w:color="auto" w:fill="auto"/>
                  <w:vAlign w:val="center"/>
                </w:tcPr>
                <w:p w14:paraId="322C87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废水</w:t>
                  </w:r>
                </w:p>
              </w:tc>
              <w:tc>
                <w:tcPr>
                  <w:tcW w:w="848" w:type="pct"/>
                  <w:gridSpan w:val="2"/>
                  <w:tcBorders>
                    <w:tl2br w:val="nil"/>
                    <w:tr2bl w:val="nil"/>
                  </w:tcBorders>
                  <w:shd w:val="clear" w:color="auto" w:fill="auto"/>
                  <w:vAlign w:val="center"/>
                </w:tcPr>
                <w:p w14:paraId="6EAB3B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废水量m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/a</w:t>
                  </w:r>
                </w:p>
              </w:tc>
              <w:tc>
                <w:tcPr>
                  <w:tcW w:w="384" w:type="pct"/>
                  <w:tcBorders>
                    <w:tl2br w:val="nil"/>
                    <w:tr2bl w:val="nil"/>
                  </w:tcBorders>
                  <w:shd w:val="clear" w:color="auto" w:fill="auto"/>
                  <w:noWrap/>
                  <w:vAlign w:val="center"/>
                </w:tcPr>
                <w:p w14:paraId="71BCB6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15386</w:t>
                  </w:r>
                </w:p>
              </w:tc>
              <w:tc>
                <w:tcPr>
                  <w:tcW w:w="449" w:type="pct"/>
                  <w:tcBorders>
                    <w:tl2br w:val="nil"/>
                    <w:tr2bl w:val="nil"/>
                  </w:tcBorders>
                  <w:shd w:val="clear" w:color="auto" w:fill="auto"/>
                  <w:vAlign w:val="center"/>
                </w:tcPr>
                <w:p w14:paraId="32FA73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15386</w:t>
                  </w:r>
                </w:p>
              </w:tc>
              <w:tc>
                <w:tcPr>
                  <w:tcW w:w="332" w:type="pct"/>
                  <w:tcBorders>
                    <w:tl2br w:val="nil"/>
                    <w:tr2bl w:val="nil"/>
                  </w:tcBorders>
                  <w:shd w:val="clear" w:color="auto" w:fill="auto"/>
                  <w:vAlign w:val="center"/>
                </w:tcPr>
                <w:p w14:paraId="6B427B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762DC3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307289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659814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15386</w:t>
                  </w:r>
                </w:p>
              </w:tc>
              <w:tc>
                <w:tcPr>
                  <w:tcW w:w="559" w:type="pct"/>
                  <w:tcBorders>
                    <w:tl2br w:val="nil"/>
                    <w:tr2bl w:val="nil"/>
                  </w:tcBorders>
                  <w:shd w:val="clear" w:color="auto" w:fill="auto"/>
                  <w:vAlign w:val="center"/>
                </w:tcPr>
                <w:p w14:paraId="6AC906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15386</w:t>
                  </w:r>
                </w:p>
              </w:tc>
              <w:tc>
                <w:tcPr>
                  <w:tcW w:w="451" w:type="pct"/>
                  <w:tcBorders>
                    <w:tl2br w:val="nil"/>
                    <w:tr2bl w:val="nil"/>
                  </w:tcBorders>
                  <w:shd w:val="clear" w:color="auto" w:fill="auto"/>
                  <w:vAlign w:val="center"/>
                </w:tcPr>
                <w:p w14:paraId="629D46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1EF67B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w:t>
                  </w:r>
                </w:p>
              </w:tc>
            </w:tr>
            <w:tr w14:paraId="0E882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244F10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848" w:type="pct"/>
                  <w:gridSpan w:val="2"/>
                  <w:tcBorders>
                    <w:tl2br w:val="nil"/>
                    <w:tr2bl w:val="nil"/>
                  </w:tcBorders>
                  <w:shd w:val="clear" w:color="auto" w:fill="auto"/>
                  <w:vAlign w:val="center"/>
                </w:tcPr>
                <w:p w14:paraId="301A76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COD</w:t>
                  </w:r>
                </w:p>
              </w:tc>
              <w:tc>
                <w:tcPr>
                  <w:tcW w:w="384" w:type="pct"/>
                  <w:tcBorders>
                    <w:tl2br w:val="nil"/>
                    <w:tr2bl w:val="nil"/>
                  </w:tcBorders>
                  <w:shd w:val="clear" w:color="auto" w:fill="auto"/>
                  <w:vAlign w:val="center"/>
                </w:tcPr>
                <w:p w14:paraId="51B835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3.52</w:t>
                  </w:r>
                </w:p>
              </w:tc>
              <w:tc>
                <w:tcPr>
                  <w:tcW w:w="449" w:type="pct"/>
                  <w:tcBorders>
                    <w:tl2br w:val="nil"/>
                    <w:tr2bl w:val="nil"/>
                  </w:tcBorders>
                  <w:shd w:val="clear" w:color="auto" w:fill="auto"/>
                  <w:vAlign w:val="center"/>
                </w:tcPr>
                <w:p w14:paraId="734971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0.4616</w:t>
                  </w:r>
                </w:p>
              </w:tc>
              <w:tc>
                <w:tcPr>
                  <w:tcW w:w="332" w:type="pct"/>
                  <w:tcBorders>
                    <w:tl2br w:val="nil"/>
                    <w:tr2bl w:val="nil"/>
                  </w:tcBorders>
                  <w:shd w:val="clear" w:color="auto" w:fill="auto"/>
                  <w:vAlign w:val="center"/>
                </w:tcPr>
                <w:p w14:paraId="52A2EC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3D70FF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5D492D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3476F6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3.52</w:t>
                  </w:r>
                </w:p>
              </w:tc>
              <w:tc>
                <w:tcPr>
                  <w:tcW w:w="559" w:type="pct"/>
                  <w:tcBorders>
                    <w:tl2br w:val="nil"/>
                    <w:tr2bl w:val="nil"/>
                  </w:tcBorders>
                  <w:shd w:val="clear" w:color="auto" w:fill="auto"/>
                  <w:vAlign w:val="center"/>
                </w:tcPr>
                <w:p w14:paraId="5E8141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0.4616</w:t>
                  </w:r>
                </w:p>
              </w:tc>
              <w:tc>
                <w:tcPr>
                  <w:tcW w:w="451" w:type="pct"/>
                  <w:tcBorders>
                    <w:tl2br w:val="nil"/>
                    <w:tr2bl w:val="nil"/>
                  </w:tcBorders>
                  <w:shd w:val="clear" w:color="auto" w:fill="auto"/>
                  <w:vAlign w:val="center"/>
                </w:tcPr>
                <w:p w14:paraId="6DE780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035974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w:t>
                  </w:r>
                </w:p>
              </w:tc>
            </w:tr>
            <w:tr w14:paraId="7EF09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77C819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848" w:type="pct"/>
                  <w:gridSpan w:val="2"/>
                  <w:tcBorders>
                    <w:tl2br w:val="nil"/>
                    <w:tr2bl w:val="nil"/>
                  </w:tcBorders>
                  <w:shd w:val="clear" w:color="auto" w:fill="auto"/>
                  <w:vAlign w:val="center"/>
                </w:tcPr>
                <w:p w14:paraId="7302FC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SS</w:t>
                  </w:r>
                </w:p>
              </w:tc>
              <w:tc>
                <w:tcPr>
                  <w:tcW w:w="384" w:type="pct"/>
                  <w:tcBorders>
                    <w:tl2br w:val="nil"/>
                    <w:tr2bl w:val="nil"/>
                  </w:tcBorders>
                  <w:shd w:val="clear" w:color="auto" w:fill="auto"/>
                  <w:vAlign w:val="center"/>
                </w:tcPr>
                <w:p w14:paraId="36FFA4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1.82</w:t>
                  </w:r>
                </w:p>
              </w:tc>
              <w:tc>
                <w:tcPr>
                  <w:tcW w:w="449" w:type="pct"/>
                  <w:tcBorders>
                    <w:tl2br w:val="nil"/>
                    <w:tr2bl w:val="nil"/>
                  </w:tcBorders>
                  <w:shd w:val="clear" w:color="auto" w:fill="auto"/>
                  <w:vAlign w:val="center"/>
                </w:tcPr>
                <w:p w14:paraId="18004F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0.154</w:t>
                  </w:r>
                </w:p>
              </w:tc>
              <w:tc>
                <w:tcPr>
                  <w:tcW w:w="332" w:type="pct"/>
                  <w:tcBorders>
                    <w:tl2br w:val="nil"/>
                    <w:tr2bl w:val="nil"/>
                  </w:tcBorders>
                  <w:shd w:val="clear" w:color="auto" w:fill="auto"/>
                  <w:vAlign w:val="center"/>
                </w:tcPr>
                <w:p w14:paraId="7E1513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0F879A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7FDCA7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712839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1.82</w:t>
                  </w:r>
                </w:p>
              </w:tc>
              <w:tc>
                <w:tcPr>
                  <w:tcW w:w="559" w:type="pct"/>
                  <w:tcBorders>
                    <w:tl2br w:val="nil"/>
                    <w:tr2bl w:val="nil"/>
                  </w:tcBorders>
                  <w:shd w:val="clear" w:color="auto" w:fill="auto"/>
                  <w:vAlign w:val="center"/>
                </w:tcPr>
                <w:p w14:paraId="06AB60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0.154</w:t>
                  </w:r>
                </w:p>
              </w:tc>
              <w:tc>
                <w:tcPr>
                  <w:tcW w:w="451" w:type="pct"/>
                  <w:tcBorders>
                    <w:tl2br w:val="nil"/>
                    <w:tr2bl w:val="nil"/>
                  </w:tcBorders>
                  <w:shd w:val="clear" w:color="auto" w:fill="auto"/>
                  <w:vAlign w:val="center"/>
                </w:tcPr>
                <w:p w14:paraId="44813A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3EFC4A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r>
            <w:tr w14:paraId="7FE95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540FD6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848" w:type="pct"/>
                  <w:gridSpan w:val="2"/>
                  <w:tcBorders>
                    <w:tl2br w:val="nil"/>
                    <w:tr2bl w:val="nil"/>
                  </w:tcBorders>
                  <w:shd w:val="clear" w:color="auto" w:fill="auto"/>
                  <w:vAlign w:val="center"/>
                </w:tcPr>
                <w:p w14:paraId="12EF66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NH</w:t>
                  </w:r>
                  <w:r>
                    <w:rPr>
                      <w:rFonts w:hint="default" w:ascii="Times New Roman" w:hAnsi="Times New Roman" w:eastAsia="宋体" w:cs="Times New Roman"/>
                      <w:color w:val="auto"/>
                      <w:kern w:val="0"/>
                      <w:sz w:val="18"/>
                      <w:szCs w:val="18"/>
                      <w:vertAlign w:val="subscript"/>
                      <w:lang w:bidi="ar"/>
                    </w:rPr>
                    <w:t>3</w:t>
                  </w:r>
                  <w:r>
                    <w:rPr>
                      <w:rFonts w:hint="default" w:ascii="Times New Roman" w:hAnsi="Times New Roman" w:eastAsia="宋体" w:cs="Times New Roman"/>
                      <w:color w:val="auto"/>
                      <w:kern w:val="0"/>
                      <w:sz w:val="18"/>
                      <w:szCs w:val="18"/>
                      <w:lang w:bidi="ar"/>
                    </w:rPr>
                    <w:t>-N</w:t>
                  </w:r>
                </w:p>
              </w:tc>
              <w:tc>
                <w:tcPr>
                  <w:tcW w:w="384" w:type="pct"/>
                  <w:tcBorders>
                    <w:tl2br w:val="nil"/>
                    <w:tr2bl w:val="nil"/>
                  </w:tcBorders>
                  <w:shd w:val="clear" w:color="auto" w:fill="auto"/>
                  <w:vAlign w:val="center"/>
                </w:tcPr>
                <w:p w14:paraId="61D8AD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0.137</w:t>
                  </w:r>
                </w:p>
              </w:tc>
              <w:tc>
                <w:tcPr>
                  <w:tcW w:w="449" w:type="pct"/>
                  <w:tcBorders>
                    <w:tl2br w:val="nil"/>
                    <w:tr2bl w:val="nil"/>
                  </w:tcBorders>
                  <w:shd w:val="clear" w:color="auto" w:fill="auto"/>
                  <w:vAlign w:val="center"/>
                </w:tcPr>
                <w:p w14:paraId="7DA0AA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0.0231</w:t>
                  </w:r>
                </w:p>
              </w:tc>
              <w:tc>
                <w:tcPr>
                  <w:tcW w:w="332" w:type="pct"/>
                  <w:tcBorders>
                    <w:tl2br w:val="nil"/>
                    <w:tr2bl w:val="nil"/>
                  </w:tcBorders>
                  <w:shd w:val="clear" w:color="auto" w:fill="auto"/>
                  <w:vAlign w:val="center"/>
                </w:tcPr>
                <w:p w14:paraId="235F19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14A5C5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573BEA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6B7FD6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0.137</w:t>
                  </w:r>
                </w:p>
              </w:tc>
              <w:tc>
                <w:tcPr>
                  <w:tcW w:w="559" w:type="pct"/>
                  <w:tcBorders>
                    <w:tl2br w:val="nil"/>
                    <w:tr2bl w:val="nil"/>
                  </w:tcBorders>
                  <w:shd w:val="clear" w:color="auto" w:fill="auto"/>
                  <w:vAlign w:val="center"/>
                </w:tcPr>
                <w:p w14:paraId="4EBCF1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0.0231</w:t>
                  </w:r>
                </w:p>
              </w:tc>
              <w:tc>
                <w:tcPr>
                  <w:tcW w:w="451" w:type="pct"/>
                  <w:tcBorders>
                    <w:tl2br w:val="nil"/>
                    <w:tr2bl w:val="nil"/>
                  </w:tcBorders>
                  <w:shd w:val="clear" w:color="auto" w:fill="auto"/>
                  <w:vAlign w:val="center"/>
                </w:tcPr>
                <w:p w14:paraId="335854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5B0B54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w:t>
                  </w:r>
                </w:p>
              </w:tc>
            </w:tr>
            <w:tr w14:paraId="0AF98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7CADCE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848" w:type="pct"/>
                  <w:gridSpan w:val="2"/>
                  <w:tcBorders>
                    <w:tl2br w:val="nil"/>
                    <w:tr2bl w:val="nil"/>
                  </w:tcBorders>
                  <w:shd w:val="clear" w:color="auto" w:fill="auto"/>
                  <w:vAlign w:val="center"/>
                </w:tcPr>
                <w:p w14:paraId="33789E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TP</w:t>
                  </w:r>
                </w:p>
              </w:tc>
              <w:tc>
                <w:tcPr>
                  <w:tcW w:w="384" w:type="pct"/>
                  <w:tcBorders>
                    <w:tl2br w:val="nil"/>
                    <w:tr2bl w:val="nil"/>
                  </w:tcBorders>
                  <w:shd w:val="clear" w:color="auto" w:fill="auto"/>
                  <w:noWrap/>
                  <w:vAlign w:val="center"/>
                </w:tcPr>
                <w:p w14:paraId="53C5CF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w:t>
                  </w:r>
                </w:p>
              </w:tc>
              <w:tc>
                <w:tcPr>
                  <w:tcW w:w="449" w:type="pct"/>
                  <w:tcBorders>
                    <w:tl2br w:val="nil"/>
                    <w:tr2bl w:val="nil"/>
                  </w:tcBorders>
                  <w:shd w:val="clear" w:color="auto" w:fill="auto"/>
                  <w:vAlign w:val="center"/>
                </w:tcPr>
                <w:p w14:paraId="4288F1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0.0046</w:t>
                  </w:r>
                </w:p>
              </w:tc>
              <w:tc>
                <w:tcPr>
                  <w:tcW w:w="332" w:type="pct"/>
                  <w:tcBorders>
                    <w:tl2br w:val="nil"/>
                    <w:tr2bl w:val="nil"/>
                  </w:tcBorders>
                  <w:shd w:val="clear" w:color="auto" w:fill="auto"/>
                  <w:vAlign w:val="center"/>
                </w:tcPr>
                <w:p w14:paraId="2A731B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3D974B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6BE51A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4BD728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w:t>
                  </w:r>
                </w:p>
              </w:tc>
              <w:tc>
                <w:tcPr>
                  <w:tcW w:w="559" w:type="pct"/>
                  <w:tcBorders>
                    <w:tl2br w:val="nil"/>
                    <w:tr2bl w:val="nil"/>
                  </w:tcBorders>
                  <w:shd w:val="clear" w:color="auto" w:fill="auto"/>
                  <w:vAlign w:val="center"/>
                </w:tcPr>
                <w:p w14:paraId="32E4EC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0.0046</w:t>
                  </w:r>
                </w:p>
              </w:tc>
              <w:tc>
                <w:tcPr>
                  <w:tcW w:w="451" w:type="pct"/>
                  <w:tcBorders>
                    <w:tl2br w:val="nil"/>
                    <w:tr2bl w:val="nil"/>
                  </w:tcBorders>
                  <w:shd w:val="clear" w:color="auto" w:fill="auto"/>
                  <w:vAlign w:val="center"/>
                </w:tcPr>
                <w:p w14:paraId="6CC7B4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66AA93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w:t>
                  </w:r>
                </w:p>
              </w:tc>
            </w:tr>
            <w:tr w14:paraId="69152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49FCE8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848" w:type="pct"/>
                  <w:gridSpan w:val="2"/>
                  <w:tcBorders>
                    <w:tl2br w:val="nil"/>
                    <w:tr2bl w:val="nil"/>
                  </w:tcBorders>
                  <w:shd w:val="clear" w:color="auto" w:fill="auto"/>
                  <w:vAlign w:val="center"/>
                </w:tcPr>
                <w:p w14:paraId="4218A8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TN</w:t>
                  </w:r>
                </w:p>
              </w:tc>
              <w:tc>
                <w:tcPr>
                  <w:tcW w:w="384" w:type="pct"/>
                  <w:tcBorders>
                    <w:tl2br w:val="nil"/>
                    <w:tr2bl w:val="nil"/>
                  </w:tcBorders>
                  <w:shd w:val="clear" w:color="auto" w:fill="auto"/>
                  <w:noWrap/>
                  <w:vAlign w:val="center"/>
                </w:tcPr>
                <w:p w14:paraId="428FF6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0.282</w:t>
                  </w:r>
                </w:p>
              </w:tc>
              <w:tc>
                <w:tcPr>
                  <w:tcW w:w="449" w:type="pct"/>
                  <w:tcBorders>
                    <w:tl2br w:val="nil"/>
                    <w:tr2bl w:val="nil"/>
                  </w:tcBorders>
                  <w:shd w:val="clear" w:color="auto" w:fill="auto"/>
                  <w:vAlign w:val="center"/>
                </w:tcPr>
                <w:p w14:paraId="4BF990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0.2308</w:t>
                  </w:r>
                </w:p>
              </w:tc>
              <w:tc>
                <w:tcPr>
                  <w:tcW w:w="332" w:type="pct"/>
                  <w:tcBorders>
                    <w:tl2br w:val="nil"/>
                    <w:tr2bl w:val="nil"/>
                  </w:tcBorders>
                  <w:shd w:val="clear" w:color="auto" w:fill="auto"/>
                  <w:vAlign w:val="center"/>
                </w:tcPr>
                <w:p w14:paraId="3982C5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53BAEF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032D68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431728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0.282</w:t>
                  </w:r>
                </w:p>
              </w:tc>
              <w:tc>
                <w:tcPr>
                  <w:tcW w:w="559" w:type="pct"/>
                  <w:tcBorders>
                    <w:tl2br w:val="nil"/>
                    <w:tr2bl w:val="nil"/>
                  </w:tcBorders>
                  <w:shd w:val="clear" w:color="auto" w:fill="auto"/>
                  <w:vAlign w:val="center"/>
                </w:tcPr>
                <w:p w14:paraId="711968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0.2308</w:t>
                  </w:r>
                </w:p>
              </w:tc>
              <w:tc>
                <w:tcPr>
                  <w:tcW w:w="451" w:type="pct"/>
                  <w:tcBorders>
                    <w:tl2br w:val="nil"/>
                    <w:tr2bl w:val="nil"/>
                  </w:tcBorders>
                  <w:shd w:val="clear" w:color="auto" w:fill="auto"/>
                  <w:vAlign w:val="center"/>
                </w:tcPr>
                <w:p w14:paraId="33EF6A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35E995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w:t>
                  </w:r>
                </w:p>
              </w:tc>
            </w:tr>
            <w:tr w14:paraId="3B990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2D2FC3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848" w:type="pct"/>
                  <w:gridSpan w:val="2"/>
                  <w:tcBorders>
                    <w:tl2br w:val="nil"/>
                    <w:tr2bl w:val="nil"/>
                  </w:tcBorders>
                  <w:shd w:val="clear" w:color="auto" w:fill="auto"/>
                  <w:vAlign w:val="center"/>
                </w:tcPr>
                <w:p w14:paraId="59E7A2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动植物油</w:t>
                  </w:r>
                </w:p>
              </w:tc>
              <w:tc>
                <w:tcPr>
                  <w:tcW w:w="384" w:type="pct"/>
                  <w:tcBorders>
                    <w:tl2br w:val="nil"/>
                    <w:tr2bl w:val="nil"/>
                  </w:tcBorders>
                  <w:shd w:val="clear" w:color="auto" w:fill="auto"/>
                  <w:noWrap/>
                  <w:vAlign w:val="center"/>
                </w:tcPr>
                <w:p w14:paraId="1D7D88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0.0072</w:t>
                  </w:r>
                </w:p>
              </w:tc>
              <w:tc>
                <w:tcPr>
                  <w:tcW w:w="449" w:type="pct"/>
                  <w:tcBorders>
                    <w:tl2br w:val="nil"/>
                    <w:tr2bl w:val="nil"/>
                  </w:tcBorders>
                  <w:shd w:val="clear" w:color="auto" w:fill="auto"/>
                  <w:vAlign w:val="center"/>
                </w:tcPr>
                <w:p w14:paraId="53588A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0.0024</w:t>
                  </w:r>
                </w:p>
              </w:tc>
              <w:tc>
                <w:tcPr>
                  <w:tcW w:w="332" w:type="pct"/>
                  <w:tcBorders>
                    <w:tl2br w:val="nil"/>
                    <w:tr2bl w:val="nil"/>
                  </w:tcBorders>
                  <w:shd w:val="clear" w:color="auto" w:fill="auto"/>
                  <w:vAlign w:val="center"/>
                </w:tcPr>
                <w:p w14:paraId="769CFF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53" w:type="pct"/>
                  <w:tcBorders>
                    <w:tl2br w:val="nil"/>
                    <w:tr2bl w:val="nil"/>
                  </w:tcBorders>
                  <w:shd w:val="clear" w:color="auto" w:fill="auto"/>
                  <w:vAlign w:val="center"/>
                </w:tcPr>
                <w:p w14:paraId="67A6EE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363" w:type="pct"/>
                  <w:tcBorders>
                    <w:tl2br w:val="nil"/>
                    <w:tr2bl w:val="nil"/>
                  </w:tcBorders>
                  <w:shd w:val="clear" w:color="auto" w:fill="auto"/>
                  <w:vAlign w:val="center"/>
                </w:tcPr>
                <w:p w14:paraId="183CFA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c>
                <w:tcPr>
                  <w:tcW w:w="417" w:type="pct"/>
                  <w:tcBorders>
                    <w:tl2br w:val="nil"/>
                    <w:tr2bl w:val="nil"/>
                  </w:tcBorders>
                  <w:shd w:val="clear" w:color="auto" w:fill="auto"/>
                  <w:vAlign w:val="center"/>
                </w:tcPr>
                <w:p w14:paraId="266145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0.0072</w:t>
                  </w:r>
                </w:p>
              </w:tc>
              <w:tc>
                <w:tcPr>
                  <w:tcW w:w="559" w:type="pct"/>
                  <w:tcBorders>
                    <w:tl2br w:val="nil"/>
                    <w:tr2bl w:val="nil"/>
                  </w:tcBorders>
                  <w:shd w:val="clear" w:color="auto" w:fill="auto"/>
                  <w:vAlign w:val="center"/>
                </w:tcPr>
                <w:p w14:paraId="11A257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0.0024</w:t>
                  </w:r>
                </w:p>
              </w:tc>
              <w:tc>
                <w:tcPr>
                  <w:tcW w:w="451" w:type="pct"/>
                  <w:tcBorders>
                    <w:tl2br w:val="nil"/>
                    <w:tr2bl w:val="nil"/>
                  </w:tcBorders>
                  <w:shd w:val="clear" w:color="auto" w:fill="auto"/>
                  <w:vAlign w:val="center"/>
                </w:tcPr>
                <w:p w14:paraId="6AEAA0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0</w:t>
                  </w:r>
                </w:p>
              </w:tc>
              <w:tc>
                <w:tcPr>
                  <w:tcW w:w="505" w:type="pct"/>
                  <w:tcBorders>
                    <w:tl2br w:val="nil"/>
                    <w:tr2bl w:val="nil"/>
                  </w:tcBorders>
                  <w:shd w:val="clear" w:color="auto" w:fill="auto"/>
                  <w:vAlign w:val="center"/>
                </w:tcPr>
                <w:p w14:paraId="141EC4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r>
            <w:tr w14:paraId="64CE6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tcBorders>
                    <w:tl2br w:val="nil"/>
                    <w:tr2bl w:val="nil"/>
                  </w:tcBorders>
                  <w:shd w:val="clear" w:color="auto" w:fill="auto"/>
                  <w:vAlign w:val="center"/>
                </w:tcPr>
                <w:p w14:paraId="0E1BAB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固废</w:t>
                  </w:r>
                </w:p>
              </w:tc>
              <w:tc>
                <w:tcPr>
                  <w:tcW w:w="848" w:type="pct"/>
                  <w:gridSpan w:val="2"/>
                  <w:tcBorders>
                    <w:tl2br w:val="nil"/>
                    <w:tr2bl w:val="nil"/>
                  </w:tcBorders>
                  <w:shd w:val="clear" w:color="auto" w:fill="auto"/>
                  <w:vAlign w:val="center"/>
                </w:tcPr>
                <w:p w14:paraId="59435E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一般固废</w:t>
                  </w:r>
                </w:p>
              </w:tc>
              <w:tc>
                <w:tcPr>
                  <w:tcW w:w="384" w:type="pct"/>
                  <w:tcBorders>
                    <w:tl2br w:val="nil"/>
                    <w:tr2bl w:val="nil"/>
                  </w:tcBorders>
                  <w:shd w:val="clear" w:color="auto" w:fill="auto"/>
                  <w:vAlign w:val="center"/>
                </w:tcPr>
                <w:p w14:paraId="1F4F16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49" w:type="pct"/>
                  <w:tcBorders>
                    <w:tl2br w:val="nil"/>
                    <w:tr2bl w:val="nil"/>
                  </w:tcBorders>
                  <w:shd w:val="clear" w:color="auto" w:fill="auto"/>
                  <w:vAlign w:val="center"/>
                </w:tcPr>
                <w:p w14:paraId="5FC4DC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332" w:type="pct"/>
                  <w:tcBorders>
                    <w:tl2br w:val="nil"/>
                    <w:tr2bl w:val="nil"/>
                  </w:tcBorders>
                  <w:shd w:val="clear" w:color="auto" w:fill="auto"/>
                  <w:vAlign w:val="center"/>
                </w:tcPr>
                <w:p w14:paraId="07F51F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3" w:type="pct"/>
                  <w:tcBorders>
                    <w:tl2br w:val="nil"/>
                    <w:tr2bl w:val="nil"/>
                  </w:tcBorders>
                  <w:shd w:val="clear" w:color="auto" w:fill="auto"/>
                  <w:vAlign w:val="center"/>
                </w:tcPr>
                <w:p w14:paraId="3F8B3A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363" w:type="pct"/>
                  <w:tcBorders>
                    <w:tl2br w:val="nil"/>
                    <w:tr2bl w:val="nil"/>
                  </w:tcBorders>
                  <w:shd w:val="clear" w:color="auto" w:fill="auto"/>
                  <w:vAlign w:val="center"/>
                </w:tcPr>
                <w:p w14:paraId="08DACB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17" w:type="pct"/>
                  <w:tcBorders>
                    <w:tl2br w:val="nil"/>
                    <w:tr2bl w:val="nil"/>
                  </w:tcBorders>
                  <w:shd w:val="clear" w:color="auto" w:fill="auto"/>
                  <w:vAlign w:val="center"/>
                </w:tcPr>
                <w:p w14:paraId="101A5A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559" w:type="pct"/>
                  <w:tcBorders>
                    <w:tl2br w:val="nil"/>
                    <w:tr2bl w:val="nil"/>
                  </w:tcBorders>
                  <w:shd w:val="clear" w:color="auto" w:fill="auto"/>
                  <w:vAlign w:val="center"/>
                </w:tcPr>
                <w:p w14:paraId="7D1FE5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1" w:type="pct"/>
                  <w:tcBorders>
                    <w:tl2br w:val="nil"/>
                    <w:tr2bl w:val="nil"/>
                  </w:tcBorders>
                  <w:shd w:val="clear" w:color="auto" w:fill="auto"/>
                  <w:vAlign w:val="center"/>
                </w:tcPr>
                <w:p w14:paraId="50055F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505" w:type="pct"/>
                  <w:tcBorders>
                    <w:tl2br w:val="nil"/>
                    <w:tr2bl w:val="nil"/>
                  </w:tcBorders>
                  <w:shd w:val="clear" w:color="auto" w:fill="auto"/>
                  <w:vAlign w:val="center"/>
                </w:tcPr>
                <w:p w14:paraId="78B82D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4723E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6B99ED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848" w:type="pct"/>
                  <w:gridSpan w:val="2"/>
                  <w:tcBorders>
                    <w:tl2br w:val="nil"/>
                    <w:tr2bl w:val="nil"/>
                  </w:tcBorders>
                  <w:shd w:val="clear" w:color="auto" w:fill="auto"/>
                  <w:vAlign w:val="center"/>
                </w:tcPr>
                <w:p w14:paraId="03BF1E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危险废物</w:t>
                  </w:r>
                </w:p>
              </w:tc>
              <w:tc>
                <w:tcPr>
                  <w:tcW w:w="384" w:type="pct"/>
                  <w:tcBorders>
                    <w:tl2br w:val="nil"/>
                    <w:tr2bl w:val="nil"/>
                  </w:tcBorders>
                  <w:shd w:val="clear" w:color="auto" w:fill="auto"/>
                  <w:vAlign w:val="center"/>
                </w:tcPr>
                <w:p w14:paraId="17D9BA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49" w:type="pct"/>
                  <w:tcBorders>
                    <w:tl2br w:val="nil"/>
                    <w:tr2bl w:val="nil"/>
                  </w:tcBorders>
                  <w:shd w:val="clear" w:color="auto" w:fill="auto"/>
                  <w:vAlign w:val="center"/>
                </w:tcPr>
                <w:p w14:paraId="536A2A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332" w:type="pct"/>
                  <w:tcBorders>
                    <w:tl2br w:val="nil"/>
                    <w:tr2bl w:val="nil"/>
                  </w:tcBorders>
                  <w:shd w:val="clear" w:color="auto" w:fill="auto"/>
                  <w:vAlign w:val="center"/>
                </w:tcPr>
                <w:p w14:paraId="195006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3" w:type="pct"/>
                  <w:tcBorders>
                    <w:tl2br w:val="nil"/>
                    <w:tr2bl w:val="nil"/>
                  </w:tcBorders>
                  <w:shd w:val="clear" w:color="auto" w:fill="auto"/>
                  <w:vAlign w:val="center"/>
                </w:tcPr>
                <w:p w14:paraId="65D218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363" w:type="pct"/>
                  <w:tcBorders>
                    <w:tl2br w:val="nil"/>
                    <w:tr2bl w:val="nil"/>
                  </w:tcBorders>
                  <w:shd w:val="clear" w:color="auto" w:fill="auto"/>
                  <w:vAlign w:val="center"/>
                </w:tcPr>
                <w:p w14:paraId="171D79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17" w:type="pct"/>
                  <w:tcBorders>
                    <w:tl2br w:val="nil"/>
                    <w:tr2bl w:val="nil"/>
                  </w:tcBorders>
                  <w:shd w:val="clear" w:color="auto" w:fill="auto"/>
                  <w:vAlign w:val="center"/>
                </w:tcPr>
                <w:p w14:paraId="752A6C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559" w:type="pct"/>
                  <w:tcBorders>
                    <w:tl2br w:val="nil"/>
                    <w:tr2bl w:val="nil"/>
                  </w:tcBorders>
                  <w:shd w:val="clear" w:color="auto" w:fill="auto"/>
                  <w:vAlign w:val="center"/>
                </w:tcPr>
                <w:p w14:paraId="3FD74C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1" w:type="pct"/>
                  <w:tcBorders>
                    <w:tl2br w:val="nil"/>
                    <w:tr2bl w:val="nil"/>
                  </w:tcBorders>
                  <w:shd w:val="clear" w:color="auto" w:fill="auto"/>
                  <w:vAlign w:val="center"/>
                </w:tcPr>
                <w:p w14:paraId="7E5A30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505" w:type="pct"/>
                  <w:tcBorders>
                    <w:tl2br w:val="nil"/>
                    <w:tr2bl w:val="nil"/>
                  </w:tcBorders>
                  <w:shd w:val="clear" w:color="auto" w:fill="auto"/>
                  <w:vAlign w:val="center"/>
                </w:tcPr>
                <w:p w14:paraId="131579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7D1DB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tcBorders>
                    <w:tl2br w:val="nil"/>
                    <w:tr2bl w:val="nil"/>
                  </w:tcBorders>
                  <w:shd w:val="clear" w:color="auto" w:fill="auto"/>
                  <w:vAlign w:val="center"/>
                </w:tcPr>
                <w:p w14:paraId="7BC5ED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rPr>
                  </w:pPr>
                </w:p>
              </w:tc>
              <w:tc>
                <w:tcPr>
                  <w:tcW w:w="848" w:type="pct"/>
                  <w:gridSpan w:val="2"/>
                  <w:tcBorders>
                    <w:tl2br w:val="nil"/>
                    <w:tr2bl w:val="nil"/>
                  </w:tcBorders>
                  <w:shd w:val="clear" w:color="auto" w:fill="auto"/>
                  <w:vAlign w:val="center"/>
                </w:tcPr>
                <w:p w14:paraId="665C5B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生活垃圾</w:t>
                  </w:r>
                </w:p>
              </w:tc>
              <w:tc>
                <w:tcPr>
                  <w:tcW w:w="384" w:type="pct"/>
                  <w:tcBorders>
                    <w:tl2br w:val="nil"/>
                    <w:tr2bl w:val="nil"/>
                  </w:tcBorders>
                  <w:shd w:val="clear" w:color="auto" w:fill="auto"/>
                  <w:vAlign w:val="center"/>
                </w:tcPr>
                <w:p w14:paraId="581C77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49" w:type="pct"/>
                  <w:tcBorders>
                    <w:tl2br w:val="nil"/>
                    <w:tr2bl w:val="nil"/>
                  </w:tcBorders>
                  <w:shd w:val="clear" w:color="auto" w:fill="auto"/>
                  <w:vAlign w:val="center"/>
                </w:tcPr>
                <w:p w14:paraId="1DC3AE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332" w:type="pct"/>
                  <w:tcBorders>
                    <w:tl2br w:val="nil"/>
                    <w:tr2bl w:val="nil"/>
                  </w:tcBorders>
                  <w:shd w:val="clear" w:color="auto" w:fill="auto"/>
                  <w:vAlign w:val="center"/>
                </w:tcPr>
                <w:p w14:paraId="5DBB5B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3" w:type="pct"/>
                  <w:tcBorders>
                    <w:tl2br w:val="nil"/>
                    <w:tr2bl w:val="nil"/>
                  </w:tcBorders>
                  <w:shd w:val="clear" w:color="auto" w:fill="auto"/>
                  <w:vAlign w:val="center"/>
                </w:tcPr>
                <w:p w14:paraId="2DEE87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363" w:type="pct"/>
                  <w:tcBorders>
                    <w:tl2br w:val="nil"/>
                    <w:tr2bl w:val="nil"/>
                  </w:tcBorders>
                  <w:shd w:val="clear" w:color="auto" w:fill="auto"/>
                  <w:vAlign w:val="center"/>
                </w:tcPr>
                <w:p w14:paraId="5E9596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17" w:type="pct"/>
                  <w:tcBorders>
                    <w:tl2br w:val="nil"/>
                    <w:tr2bl w:val="nil"/>
                  </w:tcBorders>
                  <w:shd w:val="clear" w:color="auto" w:fill="auto"/>
                  <w:vAlign w:val="center"/>
                </w:tcPr>
                <w:p w14:paraId="719AC9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559" w:type="pct"/>
                  <w:tcBorders>
                    <w:tl2br w:val="nil"/>
                    <w:tr2bl w:val="nil"/>
                  </w:tcBorders>
                  <w:shd w:val="clear" w:color="auto" w:fill="auto"/>
                  <w:vAlign w:val="center"/>
                </w:tcPr>
                <w:p w14:paraId="39E870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1" w:type="pct"/>
                  <w:tcBorders>
                    <w:tl2br w:val="nil"/>
                    <w:tr2bl w:val="nil"/>
                  </w:tcBorders>
                  <w:shd w:val="clear" w:color="auto" w:fill="auto"/>
                  <w:vAlign w:val="center"/>
                </w:tcPr>
                <w:p w14:paraId="1CAECE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505" w:type="pct"/>
                  <w:tcBorders>
                    <w:tl2br w:val="nil"/>
                    <w:tr2bl w:val="nil"/>
                  </w:tcBorders>
                  <w:shd w:val="clear" w:color="auto" w:fill="auto"/>
                  <w:vAlign w:val="center"/>
                </w:tcPr>
                <w:p w14:paraId="51B099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bl>
          <w:p w14:paraId="07DFFF5C">
            <w:pPr>
              <w:ind w:firstLine="420"/>
              <w:rPr>
                <w:color w:val="auto"/>
              </w:rPr>
            </w:pPr>
            <w:r>
              <w:rPr>
                <w:color w:val="auto"/>
              </w:rPr>
              <w:t>本项目</w:t>
            </w:r>
            <w:r>
              <w:rPr>
                <w:rFonts w:hint="eastAsia"/>
                <w:color w:val="auto"/>
                <w:lang w:val="en-US" w:eastAsia="zh-CN"/>
              </w:rPr>
              <w:t>无需</w:t>
            </w:r>
            <w:r>
              <w:rPr>
                <w:color w:val="auto"/>
              </w:rPr>
              <w:t>申请外排环境量</w:t>
            </w:r>
            <w:r>
              <w:rPr>
                <w:rFonts w:hint="eastAsia"/>
                <w:color w:val="auto"/>
              </w:rPr>
              <w:t>。</w:t>
            </w:r>
          </w:p>
          <w:p w14:paraId="66DD5529">
            <w:pPr>
              <w:pStyle w:val="75"/>
              <w:rPr>
                <w:color w:val="auto"/>
              </w:rPr>
            </w:pPr>
          </w:p>
        </w:tc>
      </w:tr>
    </w:tbl>
    <w:p w14:paraId="5DEF2B8E">
      <w:pPr>
        <w:pStyle w:val="3"/>
        <w:ind w:firstLine="602"/>
        <w:rPr>
          <w:color w:val="auto"/>
        </w:rPr>
      </w:pPr>
      <w:r>
        <w:rPr>
          <w:color w:val="auto"/>
        </w:rPr>
        <w:br w:type="page"/>
      </w:r>
      <w:r>
        <w:rPr>
          <w:color w:val="auto"/>
        </w:rPr>
        <w:t>四、主要环境影响和</w:t>
      </w:r>
      <w:r>
        <w:rPr>
          <w:rStyle w:val="38"/>
          <w:b w:val="0"/>
          <w:bCs w:val="0"/>
          <w:color w:val="auto"/>
        </w:rPr>
        <w:t>保护</w:t>
      </w:r>
      <w:r>
        <w:rPr>
          <w:color w:val="auto"/>
        </w:rPr>
        <w:t>措施</w:t>
      </w:r>
    </w:p>
    <w:tbl>
      <w:tblPr>
        <w:tblStyle w:val="30"/>
        <w:tblW w:w="54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8"/>
        <w:gridCol w:w="254"/>
        <w:gridCol w:w="318"/>
        <w:gridCol w:w="8659"/>
        <w:gridCol w:w="257"/>
      </w:tblGrid>
      <w:tr w14:paraId="3E7D5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55" w:type="dxa"/>
          <w:trHeight w:val="340" w:hRule="atLeast"/>
          <w:jc w:val="center"/>
        </w:trPr>
        <w:tc>
          <w:tcPr>
            <w:tcW w:w="557" w:type="dxa"/>
            <w:gridSpan w:val="2"/>
            <w:tcMar>
              <w:left w:w="28" w:type="dxa"/>
              <w:right w:w="28" w:type="dxa"/>
            </w:tcMar>
            <w:vAlign w:val="center"/>
          </w:tcPr>
          <w:p w14:paraId="3B66D854">
            <w:pPr>
              <w:pStyle w:val="75"/>
              <w:rPr>
                <w:color w:val="auto"/>
              </w:rPr>
            </w:pPr>
            <w:r>
              <w:rPr>
                <w:color w:val="auto"/>
              </w:rPr>
              <w:t>施工</w:t>
            </w:r>
          </w:p>
          <w:p w14:paraId="7385DE03">
            <w:pPr>
              <w:pStyle w:val="75"/>
              <w:rPr>
                <w:color w:val="auto"/>
              </w:rPr>
            </w:pPr>
            <w:r>
              <w:rPr>
                <w:color w:val="auto"/>
              </w:rPr>
              <w:t>期环</w:t>
            </w:r>
          </w:p>
          <w:p w14:paraId="71A30E93">
            <w:pPr>
              <w:pStyle w:val="75"/>
              <w:rPr>
                <w:color w:val="auto"/>
              </w:rPr>
            </w:pPr>
            <w:r>
              <w:rPr>
                <w:color w:val="auto"/>
              </w:rPr>
              <w:t>境保</w:t>
            </w:r>
          </w:p>
          <w:p w14:paraId="1773166A">
            <w:pPr>
              <w:pStyle w:val="75"/>
              <w:rPr>
                <w:color w:val="auto"/>
              </w:rPr>
            </w:pPr>
            <w:r>
              <w:rPr>
                <w:color w:val="auto"/>
              </w:rPr>
              <w:t>护措</w:t>
            </w:r>
          </w:p>
          <w:p w14:paraId="352FA179">
            <w:pPr>
              <w:pStyle w:val="75"/>
              <w:rPr>
                <w:color w:val="auto"/>
              </w:rPr>
            </w:pPr>
            <w:r>
              <w:rPr>
                <w:color w:val="auto"/>
              </w:rPr>
              <w:t>施</w:t>
            </w:r>
          </w:p>
        </w:tc>
        <w:tc>
          <w:tcPr>
            <w:tcW w:w="8896" w:type="dxa"/>
            <w:gridSpan w:val="2"/>
            <w:vAlign w:val="center"/>
          </w:tcPr>
          <w:p w14:paraId="7F5264F0">
            <w:pPr>
              <w:ind w:firstLine="420"/>
              <w:rPr>
                <w:color w:val="auto"/>
              </w:rPr>
            </w:pPr>
            <w:r>
              <w:rPr>
                <w:rFonts w:hint="eastAsia"/>
                <w:color w:val="auto"/>
              </w:rPr>
              <w:t>本项目位于</w:t>
            </w:r>
            <w:r>
              <w:rPr>
                <w:rFonts w:hint="eastAsia"/>
                <w:b w:val="0"/>
                <w:bCs w:val="0"/>
                <w:color w:val="auto"/>
                <w:kern w:val="0"/>
                <w:szCs w:val="21"/>
                <w:highlight w:val="none"/>
                <w:lang w:val="en-US" w:eastAsia="zh-CN"/>
              </w:rPr>
              <w:t>海门经济技术开发区扬子江路2288号</w:t>
            </w:r>
            <w:r>
              <w:rPr>
                <w:rFonts w:hint="eastAsia"/>
                <w:color w:val="auto"/>
                <w:spacing w:val="-1"/>
              </w:rPr>
              <w:t>现有厂房内</w:t>
            </w:r>
            <w:r>
              <w:rPr>
                <w:rFonts w:hint="eastAsia"/>
                <w:color w:val="auto"/>
              </w:rPr>
              <w:t>，在已建的厂房进行生产，不再新增建筑物，施工期工作主要为后续设备的安装及调试。</w:t>
            </w:r>
          </w:p>
          <w:p w14:paraId="16F73E0E">
            <w:pPr>
              <w:ind w:firstLine="422"/>
              <w:rPr>
                <w:b/>
                <w:color w:val="auto"/>
              </w:rPr>
            </w:pPr>
            <w:r>
              <w:rPr>
                <w:rFonts w:hint="eastAsia"/>
                <w:b/>
                <w:color w:val="auto"/>
              </w:rPr>
              <w:t>1、废气处理措施</w:t>
            </w:r>
          </w:p>
          <w:p w14:paraId="26146419">
            <w:pPr>
              <w:ind w:firstLine="420"/>
              <w:rPr>
                <w:color w:val="auto"/>
              </w:rPr>
            </w:pPr>
            <w:r>
              <w:rPr>
                <w:rFonts w:hint="eastAsia"/>
                <w:color w:val="auto"/>
              </w:rPr>
              <w:t>对施工期间产生的粉尘及扬尘，应采取合理可行的控制措施，尽量减轻其污染程度，缩小其影响范围。</w:t>
            </w:r>
          </w:p>
          <w:p w14:paraId="7750D1B8">
            <w:pPr>
              <w:ind w:firstLine="422"/>
              <w:rPr>
                <w:b/>
                <w:color w:val="auto"/>
              </w:rPr>
            </w:pPr>
            <w:r>
              <w:rPr>
                <w:rFonts w:hint="eastAsia"/>
                <w:b/>
                <w:color w:val="auto"/>
              </w:rPr>
              <w:t>2、废水处理措施</w:t>
            </w:r>
          </w:p>
          <w:p w14:paraId="728A7A59">
            <w:pPr>
              <w:ind w:firstLine="420"/>
              <w:rPr>
                <w:color w:val="auto"/>
              </w:rPr>
            </w:pPr>
            <w:r>
              <w:rPr>
                <w:rFonts w:hint="eastAsia"/>
                <w:color w:val="auto"/>
              </w:rPr>
              <w:t>主要是施工人员的日常生活污水。生活污水</w:t>
            </w:r>
            <w:r>
              <w:rPr>
                <w:color w:val="auto"/>
              </w:rPr>
              <w:t>接入</w:t>
            </w:r>
            <w:r>
              <w:rPr>
                <w:rFonts w:hint="eastAsia"/>
                <w:color w:val="auto"/>
              </w:rPr>
              <w:t>现有化粪池预处理，预处理后接管排入海门经济技术开发区污水处理厂，达标后排放。对周边水体环境影响较小。</w:t>
            </w:r>
          </w:p>
          <w:p w14:paraId="4584A7EF">
            <w:pPr>
              <w:ind w:firstLine="422"/>
              <w:rPr>
                <w:b/>
                <w:color w:val="auto"/>
              </w:rPr>
            </w:pPr>
            <w:r>
              <w:rPr>
                <w:rFonts w:hint="eastAsia"/>
                <w:b/>
                <w:color w:val="auto"/>
              </w:rPr>
              <w:t>3、噪声治理措施</w:t>
            </w:r>
          </w:p>
          <w:p w14:paraId="0D2B628E">
            <w:pPr>
              <w:ind w:firstLine="420"/>
              <w:rPr>
                <w:color w:val="auto"/>
              </w:rPr>
            </w:pPr>
            <w:r>
              <w:rPr>
                <w:rFonts w:hint="eastAsia"/>
                <w:color w:val="auto"/>
              </w:rPr>
              <w:t>为了减轻本工程施工期噪声对周围环境的影响，建议在建设期采取以下控制措施：①加强施工管理，合理安排施工作业时间，将施工机械的作业时间严格限制在7:00至12:00，14:00至22:00时。原则上禁止夜间施工，严禁高噪声设备在作息时间（中午或夜间）作业。如有些施工阶段确实需要夜间作业、连续作业的，需取得相关单位的批准公告。否则，不得违反“施工机械的作业时间严格限制在七时至十二时，十四时至二十二时”的规定；②尽量采用低噪声施工设备或带隔声、消声的设备，比如以液压工具代替气压工具；综上所述，施工期，设备机械噪音会对周围的居民有一定的影响，严格按照以上措施进行控制，将会有效降低噪声。</w:t>
            </w:r>
          </w:p>
          <w:p w14:paraId="5470962F">
            <w:pPr>
              <w:ind w:firstLine="422"/>
              <w:rPr>
                <w:b/>
                <w:color w:val="auto"/>
              </w:rPr>
            </w:pPr>
            <w:r>
              <w:rPr>
                <w:rFonts w:hint="eastAsia"/>
                <w:b/>
                <w:color w:val="auto"/>
              </w:rPr>
              <w:t>4、固体废弃物处理措施</w:t>
            </w:r>
          </w:p>
          <w:p w14:paraId="7E3E768A">
            <w:pPr>
              <w:ind w:firstLine="420"/>
              <w:rPr>
                <w:color w:val="auto"/>
              </w:rPr>
            </w:pPr>
            <w:r>
              <w:rPr>
                <w:rFonts w:hint="eastAsia"/>
                <w:color w:val="auto"/>
              </w:rPr>
              <w:t>施工期间施工人员将产生一定量的生活垃圾应收集到指定的垃圾箱内，由环卫部门统一处理。</w:t>
            </w:r>
          </w:p>
          <w:p w14:paraId="3D569ACC">
            <w:pPr>
              <w:ind w:firstLine="420"/>
              <w:rPr>
                <w:color w:val="auto"/>
              </w:rPr>
            </w:pPr>
            <w:r>
              <w:rPr>
                <w:rFonts w:hint="eastAsia"/>
                <w:color w:val="auto"/>
              </w:rPr>
              <w:t>因此，本项目施工期间环境影响较小。</w:t>
            </w:r>
          </w:p>
        </w:tc>
      </w:tr>
      <w:tr w14:paraId="109E2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55" w:type="dxa"/>
          <w:trHeight w:val="340" w:hRule="atLeast"/>
          <w:jc w:val="center"/>
        </w:trPr>
        <w:tc>
          <w:tcPr>
            <w:tcW w:w="557" w:type="dxa"/>
            <w:gridSpan w:val="2"/>
            <w:tcBorders>
              <w:top w:val="single" w:color="auto" w:sz="4" w:space="0"/>
              <w:left w:val="single" w:color="auto" w:sz="8" w:space="0"/>
              <w:bottom w:val="single" w:color="auto" w:sz="8" w:space="0"/>
              <w:right w:val="single" w:color="auto" w:sz="4" w:space="0"/>
            </w:tcBorders>
            <w:tcMar>
              <w:left w:w="28" w:type="dxa"/>
              <w:right w:w="28" w:type="dxa"/>
            </w:tcMar>
            <w:vAlign w:val="center"/>
          </w:tcPr>
          <w:p w14:paraId="69A40F4B">
            <w:pPr>
              <w:pStyle w:val="75"/>
              <w:rPr>
                <w:color w:val="auto"/>
              </w:rPr>
            </w:pPr>
            <w:r>
              <w:rPr>
                <w:color w:val="auto"/>
              </w:rPr>
              <w:t>运营</w:t>
            </w:r>
          </w:p>
          <w:p w14:paraId="55EBA06A">
            <w:pPr>
              <w:pStyle w:val="75"/>
              <w:rPr>
                <w:color w:val="auto"/>
              </w:rPr>
            </w:pPr>
            <w:r>
              <w:rPr>
                <w:color w:val="auto"/>
              </w:rPr>
              <w:t>期环</w:t>
            </w:r>
          </w:p>
          <w:p w14:paraId="4B75D920">
            <w:pPr>
              <w:pStyle w:val="75"/>
              <w:rPr>
                <w:color w:val="auto"/>
              </w:rPr>
            </w:pPr>
            <w:r>
              <w:rPr>
                <w:color w:val="auto"/>
              </w:rPr>
              <w:t>境影</w:t>
            </w:r>
          </w:p>
          <w:p w14:paraId="03177992">
            <w:pPr>
              <w:pStyle w:val="75"/>
              <w:rPr>
                <w:color w:val="auto"/>
              </w:rPr>
            </w:pPr>
            <w:r>
              <w:rPr>
                <w:color w:val="auto"/>
              </w:rPr>
              <w:t>响和</w:t>
            </w:r>
          </w:p>
          <w:p w14:paraId="369F7A75">
            <w:pPr>
              <w:pStyle w:val="75"/>
              <w:rPr>
                <w:color w:val="auto"/>
              </w:rPr>
            </w:pPr>
            <w:r>
              <w:rPr>
                <w:color w:val="auto"/>
              </w:rPr>
              <w:t>保护</w:t>
            </w:r>
          </w:p>
          <w:p w14:paraId="1F2998A0">
            <w:pPr>
              <w:pStyle w:val="75"/>
              <w:rPr>
                <w:color w:val="auto"/>
              </w:rPr>
            </w:pPr>
            <w:r>
              <w:rPr>
                <w:color w:val="auto"/>
              </w:rPr>
              <w:t>措施</w:t>
            </w:r>
          </w:p>
        </w:tc>
        <w:tc>
          <w:tcPr>
            <w:tcW w:w="8896" w:type="dxa"/>
            <w:gridSpan w:val="2"/>
            <w:tcBorders>
              <w:top w:val="single" w:color="auto" w:sz="4" w:space="0"/>
              <w:left w:val="single" w:color="auto" w:sz="4" w:space="0"/>
              <w:bottom w:val="single" w:color="auto" w:sz="8" w:space="0"/>
              <w:right w:val="single" w:color="auto" w:sz="8" w:space="0"/>
            </w:tcBorders>
            <w:vAlign w:val="center"/>
          </w:tcPr>
          <w:p w14:paraId="19D0EC7F">
            <w:pPr>
              <w:ind w:firstLine="422"/>
              <w:rPr>
                <w:b/>
                <w:color w:val="auto"/>
              </w:rPr>
            </w:pPr>
            <w:r>
              <w:rPr>
                <w:b/>
                <w:color w:val="auto"/>
              </w:rPr>
              <w:t>1.废气</w:t>
            </w:r>
          </w:p>
          <w:p w14:paraId="3CCE936E">
            <w:pPr>
              <w:ind w:firstLine="420"/>
              <w:rPr>
                <w:rFonts w:hint="default" w:eastAsia="宋体"/>
                <w:color w:val="auto"/>
                <w:lang w:val="en-US" w:eastAsia="zh-CN"/>
              </w:rPr>
            </w:pPr>
            <w:r>
              <w:rPr>
                <w:rFonts w:hint="eastAsia"/>
                <w:color w:val="auto"/>
                <w:lang w:val="en-US" w:eastAsia="zh-CN"/>
              </w:rPr>
              <w:t>本项目无废气排放。</w:t>
            </w:r>
          </w:p>
        </w:tc>
      </w:tr>
      <w:tr w14:paraId="1DB6E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305" w:type="dxa"/>
          <w:trHeight w:val="12891" w:hRule="atLeast"/>
          <w:jc w:val="center"/>
        </w:trPr>
        <w:tc>
          <w:tcPr>
            <w:tcW w:w="567" w:type="dxa"/>
            <w:gridSpan w:val="2"/>
            <w:tcMar>
              <w:left w:w="28" w:type="dxa"/>
              <w:right w:w="28" w:type="dxa"/>
            </w:tcMar>
            <w:vAlign w:val="center"/>
          </w:tcPr>
          <w:p w14:paraId="1672B5BD">
            <w:pPr>
              <w:pStyle w:val="75"/>
              <w:rPr>
                <w:color w:val="auto"/>
              </w:rPr>
            </w:pPr>
            <w:r>
              <w:rPr>
                <w:color w:val="auto"/>
              </w:rPr>
              <w:t>运营</w:t>
            </w:r>
          </w:p>
          <w:p w14:paraId="49B2E089">
            <w:pPr>
              <w:pStyle w:val="75"/>
              <w:rPr>
                <w:color w:val="auto"/>
              </w:rPr>
            </w:pPr>
            <w:r>
              <w:rPr>
                <w:color w:val="auto"/>
              </w:rPr>
              <w:t>期环</w:t>
            </w:r>
          </w:p>
          <w:p w14:paraId="6E5CCF8B">
            <w:pPr>
              <w:pStyle w:val="75"/>
              <w:rPr>
                <w:color w:val="auto"/>
              </w:rPr>
            </w:pPr>
            <w:r>
              <w:rPr>
                <w:color w:val="auto"/>
              </w:rPr>
              <w:t>境影</w:t>
            </w:r>
          </w:p>
          <w:p w14:paraId="7992F749">
            <w:pPr>
              <w:pStyle w:val="75"/>
              <w:rPr>
                <w:color w:val="auto"/>
              </w:rPr>
            </w:pPr>
            <w:r>
              <w:rPr>
                <w:color w:val="auto"/>
              </w:rPr>
              <w:t>响和</w:t>
            </w:r>
          </w:p>
          <w:p w14:paraId="1625AC06">
            <w:pPr>
              <w:pStyle w:val="75"/>
              <w:rPr>
                <w:color w:val="auto"/>
              </w:rPr>
            </w:pPr>
            <w:r>
              <w:rPr>
                <w:color w:val="auto"/>
              </w:rPr>
              <w:t>保护</w:t>
            </w:r>
          </w:p>
          <w:p w14:paraId="3E452970">
            <w:pPr>
              <w:pStyle w:val="75"/>
              <w:rPr>
                <w:color w:val="auto"/>
              </w:rPr>
            </w:pPr>
            <w:r>
              <w:rPr>
                <w:color w:val="auto"/>
              </w:rPr>
              <w:t>措施</w:t>
            </w:r>
          </w:p>
        </w:tc>
        <w:tc>
          <w:tcPr>
            <w:tcW w:w="8836" w:type="dxa"/>
            <w:gridSpan w:val="2"/>
            <w:vAlign w:val="center"/>
          </w:tcPr>
          <w:p w14:paraId="22166478">
            <w:pPr>
              <w:ind w:firstLine="422"/>
              <w:rPr>
                <w:b/>
                <w:color w:val="auto"/>
              </w:rPr>
            </w:pPr>
            <w:r>
              <w:rPr>
                <w:b/>
                <w:color w:val="auto"/>
              </w:rPr>
              <w:t>2.废水</w:t>
            </w:r>
          </w:p>
          <w:p w14:paraId="60B3DA03">
            <w:pPr>
              <w:ind w:firstLine="420"/>
              <w:rPr>
                <w:color w:val="auto"/>
              </w:rPr>
            </w:pPr>
            <w:r>
              <w:rPr>
                <w:rFonts w:hint="eastAsia"/>
                <w:color w:val="auto"/>
              </w:rPr>
              <w:t>本项目</w:t>
            </w:r>
            <w:r>
              <w:rPr>
                <w:rFonts w:hint="eastAsia"/>
                <w:color w:val="auto"/>
                <w:lang w:val="en-US" w:eastAsia="zh-CN"/>
              </w:rPr>
              <w:t>不新增废水排放</w:t>
            </w:r>
            <w:r>
              <w:rPr>
                <w:rFonts w:hint="eastAsia"/>
                <w:color w:val="auto"/>
              </w:rPr>
              <w:t>。</w:t>
            </w:r>
          </w:p>
          <w:p w14:paraId="79CD7F65">
            <w:pPr>
              <w:ind w:firstLine="422"/>
              <w:rPr>
                <w:b/>
                <w:color w:val="auto"/>
              </w:rPr>
            </w:pPr>
            <w:r>
              <w:rPr>
                <w:b/>
                <w:color w:val="auto"/>
              </w:rPr>
              <w:t>3</w:t>
            </w:r>
            <w:r>
              <w:rPr>
                <w:rFonts w:hint="eastAsia"/>
                <w:b/>
                <w:color w:val="auto"/>
              </w:rPr>
              <w:t>、</w:t>
            </w:r>
            <w:r>
              <w:rPr>
                <w:b/>
                <w:color w:val="auto"/>
              </w:rPr>
              <w:t>噪声</w:t>
            </w:r>
          </w:p>
          <w:p w14:paraId="5B9D48E4">
            <w:pPr>
              <w:ind w:firstLine="422"/>
              <w:rPr>
                <w:b/>
                <w:color w:val="auto"/>
              </w:rPr>
            </w:pPr>
            <w:r>
              <w:rPr>
                <w:b/>
                <w:color w:val="auto"/>
              </w:rPr>
              <w:t>（1）噪声污染防治措施评述</w:t>
            </w:r>
          </w:p>
          <w:p w14:paraId="3C022EC4">
            <w:pPr>
              <w:ind w:firstLine="420"/>
              <w:rPr>
                <w:color w:val="auto"/>
              </w:rPr>
            </w:pPr>
            <w:r>
              <w:rPr>
                <w:rFonts w:hint="eastAsia"/>
                <w:color w:val="auto"/>
              </w:rPr>
              <w:t>本项目</w:t>
            </w:r>
            <w:r>
              <w:rPr>
                <w:color w:val="auto"/>
              </w:rPr>
              <w:t>运行噪声</w:t>
            </w:r>
            <w:r>
              <w:rPr>
                <w:rFonts w:hint="eastAsia"/>
                <w:color w:val="auto"/>
              </w:rPr>
              <w:t>主要</w:t>
            </w:r>
            <w:r>
              <w:rPr>
                <w:color w:val="auto"/>
              </w:rPr>
              <w:t>来源于</w:t>
            </w:r>
            <w:r>
              <w:rPr>
                <w:color w:val="auto"/>
                <w:lang w:val="en-US" w:eastAsia="zh-CN"/>
              </w:rPr>
              <w:t>磁控溅射</w:t>
            </w:r>
            <w:r>
              <w:rPr>
                <w:rFonts w:hint="eastAsia"/>
                <w:color w:val="auto"/>
                <w:lang w:val="en-US" w:eastAsia="zh-CN"/>
              </w:rPr>
              <w:t>生产线</w:t>
            </w:r>
            <w:r>
              <w:rPr>
                <w:color w:val="auto"/>
              </w:rPr>
              <w:t>设备运行时产生的声音，主要采取选用低噪声设备和采用降噪音措施，减震基础或集中隔离方式。</w:t>
            </w:r>
          </w:p>
          <w:p w14:paraId="3AC8EA2C">
            <w:pPr>
              <w:ind w:firstLine="422"/>
              <w:rPr>
                <w:b/>
                <w:color w:val="auto"/>
              </w:rPr>
            </w:pPr>
            <w:r>
              <w:rPr>
                <w:b/>
                <w:color w:val="auto"/>
              </w:rPr>
              <w:t>（2）声环境影响分析</w:t>
            </w:r>
          </w:p>
          <w:p w14:paraId="48CC7313">
            <w:pPr>
              <w:ind w:firstLine="420"/>
              <w:rPr>
                <w:color w:val="auto"/>
              </w:rPr>
            </w:pPr>
            <w:r>
              <w:rPr>
                <w:color w:val="auto"/>
              </w:rPr>
              <w:t>建设项目高噪声设备主要为</w:t>
            </w:r>
            <w:r>
              <w:rPr>
                <w:color w:val="auto"/>
                <w:lang w:val="en-US" w:eastAsia="zh-CN"/>
              </w:rPr>
              <w:t>磁控溅射</w:t>
            </w:r>
            <w:r>
              <w:rPr>
                <w:rFonts w:hint="eastAsia"/>
                <w:color w:val="auto"/>
                <w:lang w:val="en-US" w:eastAsia="zh-CN"/>
              </w:rPr>
              <w:t>生产线，</w:t>
            </w:r>
            <w:r>
              <w:rPr>
                <w:color w:val="auto"/>
              </w:rPr>
              <w:t>设备噪声值为</w:t>
            </w:r>
            <w:r>
              <w:rPr>
                <w:rFonts w:hint="eastAsia"/>
                <w:color w:val="auto"/>
                <w:lang w:val="en-US" w:eastAsia="zh-CN"/>
              </w:rPr>
              <w:t>80</w:t>
            </w:r>
            <w:r>
              <w:rPr>
                <w:color w:val="auto"/>
              </w:rPr>
              <w:t>dB（A）。</w:t>
            </w:r>
          </w:p>
          <w:p w14:paraId="6667789E">
            <w:pPr>
              <w:ind w:firstLine="420"/>
              <w:rPr>
                <w:color w:val="auto"/>
              </w:rPr>
            </w:pPr>
            <w:r>
              <w:rPr>
                <w:color w:val="auto"/>
              </w:rPr>
              <w:t>建设单位拟采取以下降噪措施：</w:t>
            </w:r>
          </w:p>
          <w:p w14:paraId="2A8B21A3">
            <w:pPr>
              <w:ind w:firstLine="420"/>
              <w:rPr>
                <w:color w:val="auto"/>
              </w:rPr>
            </w:pPr>
            <w:r>
              <w:rPr>
                <w:color w:val="auto"/>
              </w:rPr>
              <w:t>1）控制设备噪声</w:t>
            </w:r>
          </w:p>
          <w:p w14:paraId="369634B2">
            <w:pPr>
              <w:ind w:firstLine="420"/>
              <w:rPr>
                <w:color w:val="auto"/>
              </w:rPr>
            </w:pPr>
            <w:r>
              <w:rPr>
                <w:color w:val="auto"/>
              </w:rPr>
              <w:t>在设备选型时选用先进的低噪声设备，在满足工艺设计的前提下，尽量选用满足国际标准的低噪声、低振动型号的设备，降低噪声源强。</w:t>
            </w:r>
          </w:p>
          <w:p w14:paraId="3B705945">
            <w:pPr>
              <w:ind w:firstLine="420"/>
              <w:rPr>
                <w:color w:val="auto"/>
              </w:rPr>
            </w:pPr>
            <w:r>
              <w:rPr>
                <w:color w:val="auto"/>
              </w:rPr>
              <w:t>2）设备减振、隔声、消声器</w:t>
            </w:r>
          </w:p>
          <w:p w14:paraId="601D8647">
            <w:pPr>
              <w:ind w:firstLine="420"/>
              <w:rPr>
                <w:color w:val="auto"/>
              </w:rPr>
            </w:pPr>
            <w:r>
              <w:rPr>
                <w:color w:val="auto"/>
              </w:rPr>
              <w:t>高噪声设备安装减振底座，可降噪约10dB</w:t>
            </w:r>
            <w:r>
              <w:rPr>
                <w:rFonts w:hint="eastAsia"/>
                <w:color w:val="auto"/>
              </w:rPr>
              <w:t>（</w:t>
            </w:r>
            <w:r>
              <w:rPr>
                <w:color w:val="auto"/>
              </w:rPr>
              <w:t>A）左右。</w:t>
            </w:r>
          </w:p>
          <w:p w14:paraId="3057097C">
            <w:pPr>
              <w:ind w:firstLine="420"/>
              <w:rPr>
                <w:color w:val="auto"/>
              </w:rPr>
            </w:pPr>
            <w:r>
              <w:rPr>
                <w:color w:val="auto"/>
              </w:rPr>
              <w:t>3）加强建筑物隔声措施</w:t>
            </w:r>
          </w:p>
          <w:p w14:paraId="1613AA26">
            <w:pPr>
              <w:ind w:firstLine="420"/>
              <w:rPr>
                <w:color w:val="auto"/>
              </w:rPr>
            </w:pPr>
            <w:r>
              <w:rPr>
                <w:color w:val="auto"/>
              </w:rPr>
              <w:t>高噪声设备均安置在室内，合理布置设备的位置，有效利用了建筑隔声，防止噪声的扩散和传播，正常生产时门窗密闭，采取隔声措施，本项目建筑物为钢结构，降噪量约15dB</w:t>
            </w:r>
            <w:r>
              <w:rPr>
                <w:rFonts w:hint="eastAsia"/>
                <w:color w:val="auto"/>
              </w:rPr>
              <w:t>（</w:t>
            </w:r>
            <w:r>
              <w:rPr>
                <w:color w:val="auto"/>
              </w:rPr>
              <w:t>A）左右。</w:t>
            </w:r>
          </w:p>
          <w:p w14:paraId="0B732DF4">
            <w:pPr>
              <w:ind w:firstLine="420"/>
              <w:rPr>
                <w:color w:val="auto"/>
              </w:rPr>
            </w:pPr>
            <w:r>
              <w:rPr>
                <w:color w:val="auto"/>
              </w:rPr>
              <w:t>4）强化生产管理</w:t>
            </w:r>
          </w:p>
          <w:p w14:paraId="5CB69B51">
            <w:pPr>
              <w:ind w:firstLine="420"/>
              <w:rPr>
                <w:color w:val="auto"/>
              </w:rPr>
            </w:pPr>
            <w:r>
              <w:rPr>
                <w:color w:val="auto"/>
              </w:rPr>
              <w:t>确保各类防治措施有效运行，各设备均保持良好运行状态，防止突发噪声。</w:t>
            </w:r>
          </w:p>
          <w:p w14:paraId="6BFD220D">
            <w:pPr>
              <w:ind w:firstLine="422"/>
              <w:rPr>
                <w:b/>
                <w:color w:val="auto"/>
              </w:rPr>
            </w:pPr>
            <w:r>
              <w:rPr>
                <w:b/>
                <w:color w:val="auto"/>
              </w:rPr>
              <w:t>（3）厂界达标情况分析</w:t>
            </w:r>
          </w:p>
          <w:p w14:paraId="69103851">
            <w:pPr>
              <w:ind w:firstLine="420"/>
              <w:rPr>
                <w:color w:val="auto"/>
              </w:rPr>
            </w:pPr>
            <w:r>
              <w:rPr>
                <w:color w:val="auto"/>
              </w:rPr>
              <w:t>根据《环境影响评价技术导则声环境》（HJ2.4-2021）要求，选取预测模式，应用过程中将根据具体情况作必要简化。声环境影响评价中声级的叠加是按能量（声功率或声压平方）相加的（声压级及声功率级的叠加计算均为下式）。</w:t>
            </w:r>
          </w:p>
          <w:p w14:paraId="2E4D7556">
            <w:pPr>
              <w:pStyle w:val="75"/>
              <w:rPr>
                <w:color w:val="auto"/>
              </w:rPr>
            </w:pPr>
            <w:r>
              <w:rPr>
                <w:color w:val="auto"/>
              </w:rPr>
              <w:object>
                <v:shape id="_x0000_i1026" o:spt="75" type="#_x0000_t75" style="height:44.35pt;width:116.3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14:paraId="6C9B2C05">
            <w:pPr>
              <w:ind w:firstLine="420"/>
              <w:rPr>
                <w:color w:val="auto"/>
              </w:rPr>
            </w:pPr>
            <w:r>
              <w:rPr>
                <w:color w:val="auto"/>
              </w:rPr>
              <w:t>式中：</w:t>
            </w:r>
          </w:p>
          <w:p w14:paraId="17F4BC79">
            <w:pPr>
              <w:ind w:firstLine="420"/>
              <w:rPr>
                <w:color w:val="auto"/>
              </w:rPr>
            </w:pPr>
            <w:r>
              <w:rPr>
                <w:color w:val="auto"/>
              </w:rPr>
              <w:t>Lp</w:t>
            </w:r>
            <w:r>
              <w:rPr>
                <w:color w:val="auto"/>
                <w:vertAlign w:val="subscript"/>
              </w:rPr>
              <w:t>t</w:t>
            </w:r>
            <w:r>
              <w:rPr>
                <w:color w:val="auto"/>
              </w:rPr>
              <w:t>—各个噪声源叠加后的总声压级，dB；</w:t>
            </w:r>
          </w:p>
          <w:p w14:paraId="22EF1CCA">
            <w:pPr>
              <w:ind w:firstLine="420"/>
              <w:rPr>
                <w:color w:val="auto"/>
              </w:rPr>
            </w:pPr>
            <w:r>
              <w:rPr>
                <w:color w:val="auto"/>
              </w:rPr>
              <w:t>Lp</w:t>
            </w:r>
            <w:r>
              <w:rPr>
                <w:color w:val="auto"/>
                <w:vertAlign w:val="subscript"/>
              </w:rPr>
              <w:t>i</w:t>
            </w:r>
            <w:r>
              <w:rPr>
                <w:color w:val="auto"/>
              </w:rPr>
              <w:t>—第i个噪声源的声压级，dB；</w:t>
            </w:r>
          </w:p>
          <w:p w14:paraId="4A303904">
            <w:pPr>
              <w:ind w:firstLine="420"/>
              <w:rPr>
                <w:color w:val="auto"/>
              </w:rPr>
            </w:pPr>
            <w:r>
              <w:rPr>
                <w:color w:val="auto"/>
              </w:rPr>
              <w:t>N—噪声源总个数。</w:t>
            </w:r>
          </w:p>
          <w:p w14:paraId="37081ACE">
            <w:pPr>
              <w:ind w:firstLine="420"/>
              <w:rPr>
                <w:color w:val="auto"/>
              </w:rPr>
            </w:pPr>
            <w:r>
              <w:rPr>
                <w:color w:val="auto"/>
              </w:rPr>
              <w:t>如果有N个相同声源叠加，则总声压（功率）级为：</w:t>
            </w:r>
          </w:p>
          <w:p w14:paraId="4CF92E32">
            <w:pPr>
              <w:pStyle w:val="75"/>
              <w:rPr>
                <w:color w:val="auto"/>
              </w:rPr>
            </w:pPr>
            <w:r>
              <w:rPr>
                <w:color w:val="auto"/>
              </w:rPr>
              <w:object>
                <v:shape id="_x0000_i1027" o:spt="75" type="#_x0000_t75" style="height:21.85pt;width:108.85pt;" o:ole="t" filled="f" o:preferrelative="t" stroked="f" coordsize="21600,21600">
                  <v:path/>
                  <v:fill on="f" focussize="0,0"/>
                  <v:stroke on="f" joinstyle="miter"/>
                  <v:imagedata r:id="rId24" o:title=""/>
                  <o:lock v:ext="edit" aspectratio="t"/>
                  <w10:wrap type="none"/>
                  <w10:anchorlock/>
                </v:shape>
                <o:OLEObject Type="Embed" ProgID="Equation.DSMT4" ShapeID="_x0000_i1027" DrawAspect="Content" ObjectID="_1468075727" r:id="rId23">
                  <o:LockedField>false</o:LockedField>
                </o:OLEObject>
              </w:object>
            </w:r>
          </w:p>
          <w:p w14:paraId="0E6E1A72">
            <w:pPr>
              <w:ind w:firstLine="420"/>
              <w:rPr>
                <w:color w:val="auto"/>
              </w:rPr>
            </w:pPr>
            <w:r>
              <w:rPr>
                <w:color w:val="auto"/>
              </w:rPr>
              <w:t>室内声源和室外声源分别按照导则附录B和附录A分别计算：</w:t>
            </w:r>
          </w:p>
          <w:p w14:paraId="30F93891">
            <w:pPr>
              <w:ind w:firstLine="420"/>
              <w:rPr>
                <w:color w:val="auto"/>
              </w:rPr>
            </w:pPr>
            <w:r>
              <w:rPr>
                <w:rFonts w:hint="eastAsia"/>
                <w:color w:val="auto"/>
              </w:rPr>
              <w:t>①</w:t>
            </w:r>
            <w:r>
              <w:rPr>
                <w:color w:val="auto"/>
              </w:rPr>
              <w:t>室内声源</w:t>
            </w:r>
          </w:p>
          <w:p w14:paraId="63FBF282">
            <w:pPr>
              <w:pStyle w:val="75"/>
              <w:rPr>
                <w:color w:val="auto"/>
              </w:rPr>
            </w:pPr>
            <w:r>
              <w:rPr>
                <w:color w:val="auto"/>
              </w:rPr>
              <w:drawing>
                <wp:inline distT="0" distB="0" distL="0" distR="0">
                  <wp:extent cx="1800225" cy="1102360"/>
                  <wp:effectExtent l="0" t="0" r="9525" b="2540"/>
                  <wp:docPr id="109214808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48084" name="图片 1" descr="图示&#10;&#10;描述已自动生成"/>
                          <pic:cNvPicPr>
                            <a:picLocks noChangeAspect="1"/>
                          </pic:cNvPicPr>
                        </pic:nvPicPr>
                        <pic:blipFill>
                          <a:blip r:embed="rId25"/>
                          <a:stretch>
                            <a:fillRect/>
                          </a:stretch>
                        </pic:blipFill>
                        <pic:spPr>
                          <a:xfrm>
                            <a:off x="0" y="0"/>
                            <a:ext cx="1800225" cy="1102360"/>
                          </a:xfrm>
                          <a:prstGeom prst="rect">
                            <a:avLst/>
                          </a:prstGeom>
                        </pic:spPr>
                      </pic:pic>
                    </a:graphicData>
                  </a:graphic>
                </wp:inline>
              </w:drawing>
            </w:r>
          </w:p>
          <w:p w14:paraId="53934B47">
            <w:pPr>
              <w:ind w:firstLine="420"/>
              <w:rPr>
                <w:color w:val="auto"/>
              </w:rPr>
            </w:pPr>
            <w:r>
              <w:rPr>
                <w:color w:val="auto"/>
              </w:rPr>
              <w:t>A.计算某一室内声源靠近围护结构处产生的倍频带声压级。计算公式如下：</w:t>
            </w:r>
          </w:p>
          <w:p w14:paraId="54BBCBC4">
            <w:pPr>
              <w:pStyle w:val="75"/>
              <w:rPr>
                <w:color w:val="auto"/>
              </w:rPr>
            </w:pPr>
            <w:r>
              <w:rPr>
                <w:color w:val="auto"/>
              </w:rPr>
              <w:drawing>
                <wp:inline distT="0" distB="0" distL="114300" distR="114300">
                  <wp:extent cx="1617980" cy="485775"/>
                  <wp:effectExtent l="0" t="0" r="1270" b="952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26"/>
                          <a:stretch>
                            <a:fillRect/>
                          </a:stretch>
                        </pic:blipFill>
                        <pic:spPr>
                          <a:xfrm>
                            <a:off x="0" y="0"/>
                            <a:ext cx="1617980" cy="485775"/>
                          </a:xfrm>
                          <a:prstGeom prst="rect">
                            <a:avLst/>
                          </a:prstGeom>
                          <a:noFill/>
                          <a:ln>
                            <a:noFill/>
                          </a:ln>
                        </pic:spPr>
                      </pic:pic>
                    </a:graphicData>
                  </a:graphic>
                </wp:inline>
              </w:drawing>
            </w:r>
          </w:p>
          <w:p w14:paraId="43850A66">
            <w:pPr>
              <w:ind w:firstLine="420"/>
              <w:rPr>
                <w:color w:val="auto"/>
              </w:rPr>
            </w:pPr>
            <w:r>
              <w:rPr>
                <w:color w:val="auto"/>
              </w:rPr>
              <w:t>式中：</w:t>
            </w:r>
          </w:p>
          <w:p w14:paraId="61ECCFFB">
            <w:pPr>
              <w:ind w:firstLine="420"/>
              <w:rPr>
                <w:color w:val="auto"/>
              </w:rPr>
            </w:pPr>
            <w:r>
              <w:rPr>
                <w:iCs/>
                <w:color w:val="auto"/>
              </w:rPr>
              <w:t>L</w:t>
            </w:r>
            <w:r>
              <w:rPr>
                <w:iCs/>
                <w:color w:val="auto"/>
                <w:vertAlign w:val="subscript"/>
              </w:rPr>
              <w:t>p1</w:t>
            </w:r>
            <w:r>
              <w:rPr>
                <w:color w:val="auto"/>
              </w:rPr>
              <w:t>—靠近开口处（或窗户）室内某倍频带的声压级或A声级，dB；</w:t>
            </w:r>
          </w:p>
          <w:p w14:paraId="54F3C3B9">
            <w:pPr>
              <w:ind w:firstLine="420"/>
              <w:rPr>
                <w:color w:val="auto"/>
              </w:rPr>
            </w:pPr>
            <w:r>
              <w:rPr>
                <w:color w:val="auto"/>
              </w:rPr>
              <w:t>L</w:t>
            </w:r>
            <w:r>
              <w:rPr>
                <w:color w:val="auto"/>
                <w:vertAlign w:val="subscript"/>
              </w:rPr>
              <w:t>w</w:t>
            </w:r>
            <w:r>
              <w:rPr>
                <w:color w:val="auto"/>
              </w:rPr>
              <w:t>—点声源声功率级（A计权或倍频带）；</w:t>
            </w:r>
          </w:p>
          <w:p w14:paraId="26A86D7F">
            <w:pPr>
              <w:ind w:firstLine="420"/>
              <w:rPr>
                <w:color w:val="auto"/>
              </w:rPr>
            </w:pPr>
            <w:r>
              <w:rPr>
                <w:color w:val="auto"/>
              </w:rPr>
              <w:t>Q—指向性因数，通常对无指向性声源，当声源放在房间中心时，Q=1，当放在一面墙的中心时，Q=2；当放在两面墙夹角处时，Q=4，当放在三面墙夹角处时，Q=8；</w:t>
            </w:r>
          </w:p>
          <w:p w14:paraId="267D5A16">
            <w:pPr>
              <w:ind w:firstLine="420"/>
              <w:rPr>
                <w:color w:val="auto"/>
              </w:rPr>
            </w:pPr>
            <w:r>
              <w:rPr>
                <w:color w:val="auto"/>
              </w:rPr>
              <w:t>R—房间常数，R=Sα/</w:t>
            </w:r>
            <w:r>
              <w:rPr>
                <w:rFonts w:hint="eastAsia"/>
                <w:color w:val="auto"/>
              </w:rPr>
              <w:t>（</w:t>
            </w:r>
            <w:r>
              <w:rPr>
                <w:color w:val="auto"/>
              </w:rPr>
              <w:t>1</w:t>
            </w:r>
            <w:r>
              <w:rPr>
                <w:rFonts w:hint="eastAsia" w:ascii="微软雅黑" w:hAnsi="微软雅黑" w:eastAsia="微软雅黑" w:cs="微软雅黑"/>
                <w:color w:val="auto"/>
              </w:rPr>
              <w:t>−</w:t>
            </w:r>
            <w:r>
              <w:rPr>
                <w:rFonts w:hint="eastAsia" w:ascii="等线" w:hAnsi="等线" w:eastAsia="等线" w:cs="等线"/>
                <w:color w:val="auto"/>
              </w:rPr>
              <w:t>α</w:t>
            </w:r>
            <w:r>
              <w:rPr>
                <w:rFonts w:hint="eastAsia" w:eastAsia="等线"/>
                <w:color w:val="auto"/>
              </w:rPr>
              <w:t>）</w:t>
            </w:r>
            <w:r>
              <w:rPr>
                <w:color w:val="auto"/>
              </w:rPr>
              <w:t>，S为房间内表面面积，m</w:t>
            </w:r>
            <w:r>
              <w:rPr>
                <w:color w:val="auto"/>
                <w:vertAlign w:val="superscript"/>
              </w:rPr>
              <w:t>2</w:t>
            </w:r>
            <w:r>
              <w:rPr>
                <w:color w:val="auto"/>
              </w:rPr>
              <w:t>，α为平均吸声系数；</w:t>
            </w:r>
          </w:p>
          <w:p w14:paraId="31F5B344">
            <w:pPr>
              <w:ind w:firstLine="420"/>
              <w:rPr>
                <w:color w:val="auto"/>
              </w:rPr>
            </w:pPr>
            <w:r>
              <w:rPr>
                <w:color w:val="auto"/>
              </w:rPr>
              <w:t>r—声源到靠近围护结构某点处的距离，m。</w:t>
            </w:r>
          </w:p>
          <w:p w14:paraId="39EB172A">
            <w:pPr>
              <w:ind w:firstLine="420"/>
              <w:rPr>
                <w:color w:val="auto"/>
              </w:rPr>
            </w:pPr>
            <w:r>
              <w:rPr>
                <w:color w:val="auto"/>
              </w:rPr>
              <w:t>B.计算出所有室内声源在围护结构处产生的i倍频带叠加声压级。计算公式如下：</w:t>
            </w:r>
          </w:p>
          <w:p w14:paraId="0AE46979">
            <w:pPr>
              <w:pStyle w:val="75"/>
              <w:rPr>
                <w:color w:val="auto"/>
              </w:rPr>
            </w:pPr>
            <w:r>
              <w:rPr>
                <w:color w:val="auto"/>
              </w:rPr>
              <w:drawing>
                <wp:inline distT="0" distB="0" distL="114300" distR="114300">
                  <wp:extent cx="1818005" cy="492760"/>
                  <wp:effectExtent l="0" t="0" r="10795" b="254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27"/>
                          <a:stretch>
                            <a:fillRect/>
                          </a:stretch>
                        </pic:blipFill>
                        <pic:spPr>
                          <a:xfrm>
                            <a:off x="0" y="0"/>
                            <a:ext cx="1818005" cy="492760"/>
                          </a:xfrm>
                          <a:prstGeom prst="rect">
                            <a:avLst/>
                          </a:prstGeom>
                          <a:noFill/>
                          <a:ln>
                            <a:noFill/>
                          </a:ln>
                        </pic:spPr>
                      </pic:pic>
                    </a:graphicData>
                  </a:graphic>
                </wp:inline>
              </w:drawing>
            </w:r>
          </w:p>
          <w:p w14:paraId="77AEF7CF">
            <w:pPr>
              <w:ind w:firstLine="420"/>
              <w:rPr>
                <w:color w:val="auto"/>
              </w:rPr>
            </w:pPr>
            <w:r>
              <w:rPr>
                <w:color w:val="auto"/>
              </w:rPr>
              <w:t>式中：</w:t>
            </w:r>
          </w:p>
          <w:p w14:paraId="0E65AA87">
            <w:pPr>
              <w:ind w:firstLine="420"/>
              <w:rPr>
                <w:color w:val="auto"/>
              </w:rPr>
            </w:pPr>
            <w:r>
              <w:rPr>
                <w:color w:val="auto"/>
              </w:rPr>
              <w:t>L</w:t>
            </w:r>
            <w:r>
              <w:rPr>
                <w:color w:val="auto"/>
                <w:vertAlign w:val="subscript"/>
              </w:rPr>
              <w:t>pli</w:t>
            </w:r>
            <w:r>
              <w:rPr>
                <w:rFonts w:hint="eastAsia"/>
                <w:color w:val="auto"/>
              </w:rPr>
              <w:t>（</w:t>
            </w:r>
            <w:r>
              <w:rPr>
                <w:color w:val="auto"/>
              </w:rPr>
              <w:t>T</w:t>
            </w:r>
            <w:r>
              <w:rPr>
                <w:rFonts w:hint="eastAsia"/>
                <w:color w:val="auto"/>
              </w:rPr>
              <w:t>）</w:t>
            </w:r>
            <w:r>
              <w:rPr>
                <w:color w:val="auto"/>
              </w:rPr>
              <w:t>—靠近围护结构处室内N个声源i倍频带的叠加声压级，dB；</w:t>
            </w:r>
          </w:p>
          <w:p w14:paraId="6D4BA6ED">
            <w:pPr>
              <w:ind w:firstLine="420"/>
              <w:rPr>
                <w:color w:val="auto"/>
              </w:rPr>
            </w:pPr>
            <w:r>
              <w:rPr>
                <w:color w:val="auto"/>
              </w:rPr>
              <w:t>L</w:t>
            </w:r>
            <w:r>
              <w:rPr>
                <w:color w:val="auto"/>
                <w:vertAlign w:val="subscript"/>
              </w:rPr>
              <w:t>plij</w:t>
            </w:r>
            <w:r>
              <w:rPr>
                <w:color w:val="auto"/>
              </w:rPr>
              <w:t>—室内j声源i倍频带的声压级，dB；</w:t>
            </w:r>
          </w:p>
          <w:p w14:paraId="0A4FC08C">
            <w:pPr>
              <w:ind w:firstLine="420"/>
              <w:rPr>
                <w:color w:val="auto"/>
              </w:rPr>
            </w:pPr>
            <w:r>
              <w:rPr>
                <w:color w:val="auto"/>
              </w:rPr>
              <w:t>N—室内声源总数。</w:t>
            </w:r>
          </w:p>
          <w:p w14:paraId="309A6472">
            <w:pPr>
              <w:ind w:firstLine="420"/>
              <w:rPr>
                <w:color w:val="auto"/>
              </w:rPr>
            </w:pPr>
            <w:r>
              <w:rPr>
                <w:color w:val="auto"/>
              </w:rPr>
              <w:t>C.计算出靠近室外维护结构处的声压级。计算公式如下：</w:t>
            </w:r>
          </w:p>
          <w:p w14:paraId="2E0C3BFD">
            <w:pPr>
              <w:pStyle w:val="75"/>
              <w:rPr>
                <w:color w:val="auto"/>
              </w:rPr>
            </w:pPr>
            <w:r>
              <w:rPr>
                <w:color w:val="auto"/>
              </w:rPr>
              <w:drawing>
                <wp:inline distT="0" distB="0" distL="114300" distR="114300">
                  <wp:extent cx="2176780" cy="352425"/>
                  <wp:effectExtent l="0" t="0" r="13970" b="952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28">
                            <a:lum contrast="12000"/>
                          </a:blip>
                          <a:stretch>
                            <a:fillRect/>
                          </a:stretch>
                        </pic:blipFill>
                        <pic:spPr>
                          <a:xfrm>
                            <a:off x="0" y="0"/>
                            <a:ext cx="2176780" cy="352425"/>
                          </a:xfrm>
                          <a:prstGeom prst="rect">
                            <a:avLst/>
                          </a:prstGeom>
                          <a:noFill/>
                          <a:ln>
                            <a:noFill/>
                          </a:ln>
                        </pic:spPr>
                      </pic:pic>
                    </a:graphicData>
                  </a:graphic>
                </wp:inline>
              </w:drawing>
            </w:r>
          </w:p>
          <w:p w14:paraId="266612D5">
            <w:pPr>
              <w:ind w:firstLine="420"/>
              <w:rPr>
                <w:color w:val="auto"/>
              </w:rPr>
            </w:pPr>
            <w:r>
              <w:rPr>
                <w:color w:val="auto"/>
              </w:rPr>
              <w:t>式中：</w:t>
            </w:r>
          </w:p>
          <w:p w14:paraId="34ED3884">
            <w:pPr>
              <w:ind w:firstLine="420"/>
              <w:rPr>
                <w:color w:val="auto"/>
              </w:rPr>
            </w:pPr>
            <w:r>
              <w:rPr>
                <w:color w:val="auto"/>
              </w:rPr>
              <w:t>L</w:t>
            </w:r>
            <w:r>
              <w:rPr>
                <w:color w:val="auto"/>
                <w:vertAlign w:val="subscript"/>
              </w:rPr>
              <w:t>p2i</w:t>
            </w:r>
            <w:r>
              <w:rPr>
                <w:rFonts w:hint="eastAsia"/>
                <w:color w:val="auto"/>
              </w:rPr>
              <w:t>（</w:t>
            </w:r>
            <w:r>
              <w:rPr>
                <w:color w:val="auto"/>
              </w:rPr>
              <w:t>T</w:t>
            </w:r>
            <w:r>
              <w:rPr>
                <w:rFonts w:hint="eastAsia"/>
                <w:color w:val="auto"/>
              </w:rPr>
              <w:t>）</w:t>
            </w:r>
            <w:r>
              <w:rPr>
                <w:color w:val="auto"/>
              </w:rPr>
              <w:t>—靠近围护结构处室外N个声源i倍频带的叠加声压级，dB；</w:t>
            </w:r>
          </w:p>
          <w:p w14:paraId="0B9DF034">
            <w:pPr>
              <w:ind w:firstLine="420"/>
              <w:rPr>
                <w:color w:val="auto"/>
              </w:rPr>
            </w:pPr>
            <w:r>
              <w:rPr>
                <w:color w:val="auto"/>
              </w:rPr>
              <w:t>L</w:t>
            </w:r>
            <w:r>
              <w:rPr>
                <w:color w:val="auto"/>
                <w:vertAlign w:val="subscript"/>
              </w:rPr>
              <w:t>p1i</w:t>
            </w:r>
            <w:r>
              <w:rPr>
                <w:rFonts w:hint="eastAsia"/>
                <w:color w:val="auto"/>
              </w:rPr>
              <w:t>（</w:t>
            </w:r>
            <w:r>
              <w:rPr>
                <w:color w:val="auto"/>
              </w:rPr>
              <w:t>T</w:t>
            </w:r>
            <w:r>
              <w:rPr>
                <w:rFonts w:hint="eastAsia"/>
                <w:color w:val="auto"/>
              </w:rPr>
              <w:t>）</w:t>
            </w:r>
            <w:r>
              <w:rPr>
                <w:color w:val="auto"/>
              </w:rPr>
              <w:t>—靠近围护结构处室内N个声源i倍频带的叠加声压级，dB；</w:t>
            </w:r>
          </w:p>
          <w:p w14:paraId="4514C2F9">
            <w:pPr>
              <w:ind w:firstLine="420"/>
              <w:rPr>
                <w:color w:val="auto"/>
              </w:rPr>
            </w:pPr>
            <w:r>
              <w:rPr>
                <w:color w:val="auto"/>
              </w:rPr>
              <w:t>TL</w:t>
            </w:r>
            <w:r>
              <w:rPr>
                <w:color w:val="auto"/>
                <w:vertAlign w:val="subscript"/>
              </w:rPr>
              <w:t>i</w:t>
            </w:r>
            <w:r>
              <w:rPr>
                <w:color w:val="auto"/>
              </w:rPr>
              <w:t>—围护结构i倍频带的隔声量，dB；</w:t>
            </w:r>
          </w:p>
          <w:p w14:paraId="48889A41">
            <w:pPr>
              <w:ind w:firstLine="420"/>
              <w:rPr>
                <w:color w:val="auto"/>
              </w:rPr>
            </w:pPr>
            <w:r>
              <w:rPr>
                <w:color w:val="auto"/>
              </w:rPr>
              <w:t>D.将室外声源的声压级和透过面积换算成等效的室外声源，计算出中心位置位于透声面积（S）处的等效声源的倍频带声功率级。计算公式如下：</w:t>
            </w:r>
          </w:p>
          <w:p w14:paraId="3B929A9D">
            <w:pPr>
              <w:pStyle w:val="75"/>
              <w:rPr>
                <w:color w:val="auto"/>
              </w:rPr>
            </w:pPr>
            <w:r>
              <w:rPr>
                <w:color w:val="auto"/>
              </w:rPr>
              <w:drawing>
                <wp:inline distT="0" distB="0" distL="114300" distR="114300">
                  <wp:extent cx="1355090" cy="401955"/>
                  <wp:effectExtent l="0" t="0" r="16510" b="1714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29">
                            <a:lum bright="-6000" contrast="12000"/>
                          </a:blip>
                          <a:stretch>
                            <a:fillRect/>
                          </a:stretch>
                        </pic:blipFill>
                        <pic:spPr>
                          <a:xfrm>
                            <a:off x="0" y="0"/>
                            <a:ext cx="1355090" cy="401955"/>
                          </a:xfrm>
                          <a:prstGeom prst="rect">
                            <a:avLst/>
                          </a:prstGeom>
                          <a:noFill/>
                          <a:ln>
                            <a:noFill/>
                          </a:ln>
                        </pic:spPr>
                      </pic:pic>
                    </a:graphicData>
                  </a:graphic>
                </wp:inline>
              </w:drawing>
            </w:r>
          </w:p>
          <w:p w14:paraId="02423B33">
            <w:pPr>
              <w:ind w:firstLine="420"/>
              <w:rPr>
                <w:color w:val="auto"/>
              </w:rPr>
            </w:pPr>
            <w:r>
              <w:rPr>
                <w:color w:val="auto"/>
              </w:rPr>
              <w:t>式中：</w:t>
            </w:r>
          </w:p>
          <w:p w14:paraId="41E5D5EA">
            <w:pPr>
              <w:ind w:firstLine="420"/>
              <w:rPr>
                <w:color w:val="auto"/>
              </w:rPr>
            </w:pPr>
            <w:r>
              <w:rPr>
                <w:color w:val="auto"/>
              </w:rPr>
              <w:t>L</w:t>
            </w:r>
            <w:r>
              <w:rPr>
                <w:color w:val="auto"/>
                <w:vertAlign w:val="subscript"/>
              </w:rPr>
              <w:t>w</w:t>
            </w:r>
            <w:r>
              <w:rPr>
                <w:color w:val="auto"/>
              </w:rPr>
              <w:t>—中心位置位于透声面积（S）处的等效声源的倍频带声功率级，dB；</w:t>
            </w:r>
          </w:p>
          <w:p w14:paraId="294C494E">
            <w:pPr>
              <w:ind w:firstLine="420"/>
              <w:rPr>
                <w:color w:val="auto"/>
              </w:rPr>
            </w:pPr>
            <w:r>
              <w:rPr>
                <w:color w:val="auto"/>
              </w:rPr>
              <w:t>L</w:t>
            </w:r>
            <w:r>
              <w:rPr>
                <w:color w:val="auto"/>
                <w:vertAlign w:val="subscript"/>
              </w:rPr>
              <w:t>p2</w:t>
            </w:r>
            <w:r>
              <w:rPr>
                <w:color w:val="auto"/>
              </w:rPr>
              <w:t>（T）—靠近围护结构处室外声源的声压级，dB；</w:t>
            </w:r>
          </w:p>
          <w:p w14:paraId="6EA4F0E7">
            <w:pPr>
              <w:ind w:firstLine="420"/>
              <w:rPr>
                <w:color w:val="auto"/>
              </w:rPr>
            </w:pPr>
            <w:r>
              <w:rPr>
                <w:color w:val="auto"/>
              </w:rPr>
              <w:t>S—透声面积，m</w:t>
            </w:r>
            <w:r>
              <w:rPr>
                <w:color w:val="auto"/>
                <w:vertAlign w:val="superscript"/>
              </w:rPr>
              <w:t>2</w:t>
            </w:r>
            <w:r>
              <w:rPr>
                <w:color w:val="auto"/>
              </w:rPr>
              <w:t>；</w:t>
            </w:r>
          </w:p>
          <w:p w14:paraId="48BAB744">
            <w:pPr>
              <w:ind w:firstLine="420"/>
              <w:rPr>
                <w:color w:val="auto"/>
              </w:rPr>
            </w:pPr>
            <w:r>
              <w:rPr>
                <w:color w:val="auto"/>
              </w:rPr>
              <w:t>然后按室外声源预测方法计算预测点处的A声级。</w:t>
            </w:r>
          </w:p>
          <w:p w14:paraId="3E159487">
            <w:pPr>
              <w:ind w:firstLine="420"/>
              <w:rPr>
                <w:color w:val="auto"/>
              </w:rPr>
            </w:pPr>
            <w:r>
              <w:rPr>
                <w:rFonts w:hint="eastAsia"/>
                <w:color w:val="auto"/>
              </w:rPr>
              <w:t>②</w:t>
            </w:r>
            <w:r>
              <w:rPr>
                <w:color w:val="auto"/>
              </w:rPr>
              <w:t>室外声源</w:t>
            </w:r>
          </w:p>
          <w:p w14:paraId="5CEFDD4D">
            <w:pPr>
              <w:ind w:firstLine="420"/>
              <w:rPr>
                <w:color w:val="auto"/>
              </w:rPr>
            </w:pPr>
            <w:r>
              <w:rPr>
                <w:color w:val="auto"/>
              </w:rPr>
              <w:t>室外声源在预测点产生的声级计算模型见附录A。项目各噪声源都按点声源处理，根据声长特点，其预测模式为：</w:t>
            </w:r>
          </w:p>
          <w:p w14:paraId="7909C024">
            <w:pPr>
              <w:pStyle w:val="75"/>
              <w:rPr>
                <w:color w:val="auto"/>
              </w:rPr>
            </w:pPr>
            <w:r>
              <w:rPr>
                <w:color w:val="auto"/>
              </w:rPr>
              <w:drawing>
                <wp:inline distT="0" distB="0" distL="114300" distR="114300">
                  <wp:extent cx="3314700" cy="389890"/>
                  <wp:effectExtent l="0" t="0" r="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3314700" cy="389890"/>
                          </a:xfrm>
                          <a:prstGeom prst="rect">
                            <a:avLst/>
                          </a:prstGeom>
                          <a:noFill/>
                          <a:ln>
                            <a:noFill/>
                          </a:ln>
                        </pic:spPr>
                      </pic:pic>
                    </a:graphicData>
                  </a:graphic>
                </wp:inline>
              </w:drawing>
            </w:r>
          </w:p>
          <w:p w14:paraId="061D17DF">
            <w:pPr>
              <w:ind w:firstLine="420"/>
              <w:rPr>
                <w:color w:val="auto"/>
              </w:rPr>
            </w:pPr>
            <w:r>
              <w:rPr>
                <w:color w:val="auto"/>
              </w:rPr>
              <w:t>式中：</w:t>
            </w:r>
          </w:p>
          <w:p w14:paraId="252983FB">
            <w:pPr>
              <w:ind w:firstLine="420"/>
              <w:rPr>
                <w:color w:val="auto"/>
              </w:rPr>
            </w:pPr>
            <w:r>
              <w:rPr>
                <w:color w:val="auto"/>
              </w:rPr>
              <w:t>Lp</w:t>
            </w:r>
            <w:r>
              <w:rPr>
                <w:rFonts w:hint="eastAsia"/>
                <w:color w:val="auto"/>
              </w:rPr>
              <w:t>（</w:t>
            </w:r>
            <w:r>
              <w:rPr>
                <w:color w:val="auto"/>
              </w:rPr>
              <w:t>r</w:t>
            </w:r>
            <w:r>
              <w:rPr>
                <w:rFonts w:hint="eastAsia"/>
                <w:color w:val="auto"/>
              </w:rPr>
              <w:t>）</w:t>
            </w:r>
            <w:r>
              <w:rPr>
                <w:color w:val="auto"/>
              </w:rPr>
              <w:t>——预测点处声压级，dB；</w:t>
            </w:r>
          </w:p>
          <w:p w14:paraId="44B8EFFA">
            <w:pPr>
              <w:ind w:firstLine="420"/>
              <w:rPr>
                <w:color w:val="auto"/>
              </w:rPr>
            </w:pPr>
            <w:r>
              <w:rPr>
                <w:color w:val="auto"/>
              </w:rPr>
              <w:t>Lp</w:t>
            </w:r>
            <w:r>
              <w:rPr>
                <w:rFonts w:hint="eastAsia"/>
                <w:color w:val="auto"/>
              </w:rPr>
              <w:t>（</w:t>
            </w:r>
            <w:r>
              <w:rPr>
                <w:color w:val="auto"/>
              </w:rPr>
              <w:t>r</w:t>
            </w:r>
            <w:r>
              <w:rPr>
                <w:color w:val="auto"/>
                <w:vertAlign w:val="subscript"/>
              </w:rPr>
              <w:t>0</w:t>
            </w:r>
            <w:r>
              <w:rPr>
                <w:rFonts w:hint="eastAsia"/>
                <w:color w:val="auto"/>
              </w:rPr>
              <w:t>）</w:t>
            </w:r>
            <w:r>
              <w:rPr>
                <w:color w:val="auto"/>
              </w:rPr>
              <w:t>——参考位置r</w:t>
            </w:r>
            <w:r>
              <w:rPr>
                <w:color w:val="auto"/>
                <w:vertAlign w:val="subscript"/>
              </w:rPr>
              <w:t>0</w:t>
            </w:r>
            <w:r>
              <w:rPr>
                <w:color w:val="auto"/>
              </w:rPr>
              <w:t>处的声压级，dB；</w:t>
            </w:r>
          </w:p>
          <w:p w14:paraId="05DB21B7">
            <w:pPr>
              <w:ind w:firstLine="420"/>
              <w:rPr>
                <w:color w:val="auto"/>
              </w:rPr>
            </w:pPr>
            <w:r>
              <w:rPr>
                <w:color w:val="auto"/>
              </w:rPr>
              <w:t>D</w:t>
            </w:r>
            <w:r>
              <w:rPr>
                <w:color w:val="auto"/>
                <w:vertAlign w:val="subscript"/>
              </w:rPr>
              <w:t>C</w:t>
            </w:r>
            <w:r>
              <w:rPr>
                <w:color w:val="auto"/>
              </w:rPr>
              <w:t>——指向性校正，它描述点声源的等效连续声压级与产生声功率级Lw的全向点声源在规定方向的声级的偏差程度，dB；</w:t>
            </w:r>
          </w:p>
          <w:p w14:paraId="42A91F6E">
            <w:pPr>
              <w:ind w:firstLine="420"/>
              <w:rPr>
                <w:color w:val="auto"/>
              </w:rPr>
            </w:pPr>
            <w:r>
              <w:rPr>
                <w:color w:val="auto"/>
              </w:rPr>
              <w:t>A</w:t>
            </w:r>
            <w:r>
              <w:rPr>
                <w:color w:val="auto"/>
                <w:vertAlign w:val="subscript"/>
              </w:rPr>
              <w:t>div</w:t>
            </w:r>
            <w:r>
              <w:rPr>
                <w:color w:val="auto"/>
              </w:rPr>
              <w:t>——几何发散引起的衰减，dB；</w:t>
            </w:r>
          </w:p>
          <w:p w14:paraId="6D279068">
            <w:pPr>
              <w:ind w:firstLine="420"/>
              <w:rPr>
                <w:color w:val="auto"/>
              </w:rPr>
            </w:pPr>
            <w:r>
              <w:rPr>
                <w:color w:val="auto"/>
              </w:rPr>
              <w:t>A</w:t>
            </w:r>
            <w:r>
              <w:rPr>
                <w:color w:val="auto"/>
                <w:vertAlign w:val="subscript"/>
              </w:rPr>
              <w:t>atm</w:t>
            </w:r>
            <w:r>
              <w:rPr>
                <w:color w:val="auto"/>
              </w:rPr>
              <w:t>——大气吸收引起的衰减，dB；</w:t>
            </w:r>
          </w:p>
          <w:p w14:paraId="21DBD0A2">
            <w:pPr>
              <w:ind w:firstLine="420"/>
              <w:rPr>
                <w:color w:val="auto"/>
              </w:rPr>
            </w:pPr>
            <w:r>
              <w:rPr>
                <w:color w:val="auto"/>
              </w:rPr>
              <w:t>A</w:t>
            </w:r>
            <w:r>
              <w:rPr>
                <w:color w:val="auto"/>
                <w:vertAlign w:val="subscript"/>
              </w:rPr>
              <w:t>gr</w:t>
            </w:r>
            <w:r>
              <w:rPr>
                <w:color w:val="auto"/>
              </w:rPr>
              <w:t>——地面效应引起的衰减，dB；</w:t>
            </w:r>
          </w:p>
          <w:p w14:paraId="08DF8B3B">
            <w:pPr>
              <w:ind w:firstLine="420"/>
              <w:rPr>
                <w:color w:val="auto"/>
              </w:rPr>
            </w:pPr>
            <w:r>
              <w:rPr>
                <w:color w:val="auto"/>
              </w:rPr>
              <w:t>A</w:t>
            </w:r>
            <w:r>
              <w:rPr>
                <w:color w:val="auto"/>
                <w:vertAlign w:val="subscript"/>
              </w:rPr>
              <w:t>bar</w:t>
            </w:r>
            <w:r>
              <w:rPr>
                <w:color w:val="auto"/>
              </w:rPr>
              <w:t>——障碍物屏蔽引起的衰减，dB；</w:t>
            </w:r>
          </w:p>
          <w:p w14:paraId="02ED08A4">
            <w:pPr>
              <w:ind w:firstLine="420"/>
              <w:rPr>
                <w:color w:val="auto"/>
              </w:rPr>
            </w:pPr>
            <w:r>
              <w:rPr>
                <w:color w:val="auto"/>
              </w:rPr>
              <w:t>A</w:t>
            </w:r>
            <w:r>
              <w:rPr>
                <w:color w:val="auto"/>
                <w:vertAlign w:val="subscript"/>
              </w:rPr>
              <w:t>misc</w:t>
            </w:r>
            <w:r>
              <w:rPr>
                <w:color w:val="auto"/>
              </w:rPr>
              <w:t>——其他多方面效应引起的衰减，dB。</w:t>
            </w:r>
          </w:p>
          <w:p w14:paraId="5A712383">
            <w:pPr>
              <w:ind w:firstLine="420"/>
              <w:rPr>
                <w:color w:val="auto"/>
              </w:rPr>
            </w:pPr>
            <w:r>
              <w:rPr>
                <w:color w:val="auto"/>
              </w:rPr>
              <w:t>项目中噪声源都按点声源处理，无指向性点声源几何发散衰减的基本公式是：</w:t>
            </w:r>
          </w:p>
          <w:p w14:paraId="416C51AD">
            <w:pPr>
              <w:pStyle w:val="75"/>
              <w:rPr>
                <w:color w:val="auto"/>
              </w:rPr>
            </w:pPr>
            <w:r>
              <w:rPr>
                <w:color w:val="auto"/>
              </w:rPr>
              <w:drawing>
                <wp:inline distT="0" distB="0" distL="114300" distR="114300">
                  <wp:extent cx="2352675" cy="443230"/>
                  <wp:effectExtent l="0" t="0" r="9525" b="1397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31"/>
                          <a:stretch>
                            <a:fillRect/>
                          </a:stretch>
                        </pic:blipFill>
                        <pic:spPr>
                          <a:xfrm>
                            <a:off x="0" y="0"/>
                            <a:ext cx="2352675" cy="443230"/>
                          </a:xfrm>
                          <a:prstGeom prst="rect">
                            <a:avLst/>
                          </a:prstGeom>
                          <a:noFill/>
                          <a:ln>
                            <a:noFill/>
                          </a:ln>
                        </pic:spPr>
                      </pic:pic>
                    </a:graphicData>
                  </a:graphic>
                </wp:inline>
              </w:drawing>
            </w:r>
          </w:p>
          <w:p w14:paraId="738638B4">
            <w:pPr>
              <w:ind w:firstLine="420"/>
              <w:rPr>
                <w:color w:val="auto"/>
              </w:rPr>
            </w:pPr>
            <w:r>
              <w:rPr>
                <w:color w:val="auto"/>
              </w:rPr>
              <w:t>式中：</w:t>
            </w:r>
          </w:p>
          <w:p w14:paraId="7F3A4FF1">
            <w:pPr>
              <w:ind w:firstLine="420"/>
              <w:rPr>
                <w:color w:val="auto"/>
              </w:rPr>
            </w:pPr>
            <w:r>
              <w:rPr>
                <w:color w:val="auto"/>
              </w:rPr>
              <w:t>L</w:t>
            </w:r>
            <w:r>
              <w:rPr>
                <w:color w:val="auto"/>
                <w:vertAlign w:val="subscript"/>
              </w:rPr>
              <w:t>p</w:t>
            </w:r>
            <w:r>
              <w:rPr>
                <w:rFonts w:hint="eastAsia"/>
                <w:color w:val="auto"/>
              </w:rPr>
              <w:t>（</w:t>
            </w:r>
            <w:r>
              <w:rPr>
                <w:color w:val="auto"/>
              </w:rPr>
              <w:t>r</w:t>
            </w:r>
            <w:r>
              <w:rPr>
                <w:rFonts w:hint="eastAsia"/>
                <w:color w:val="auto"/>
              </w:rPr>
              <w:t>）</w:t>
            </w:r>
            <w:r>
              <w:rPr>
                <w:color w:val="auto"/>
              </w:rPr>
              <w:t>——预测点处声压级，dB；</w:t>
            </w:r>
          </w:p>
          <w:p w14:paraId="7B19C8CF">
            <w:pPr>
              <w:ind w:firstLine="420"/>
              <w:rPr>
                <w:color w:val="auto"/>
              </w:rPr>
            </w:pPr>
            <w:r>
              <w:rPr>
                <w:color w:val="auto"/>
              </w:rPr>
              <w:t>L</w:t>
            </w:r>
            <w:r>
              <w:rPr>
                <w:color w:val="auto"/>
                <w:vertAlign w:val="subscript"/>
              </w:rPr>
              <w:t>p</w:t>
            </w:r>
            <w:r>
              <w:rPr>
                <w:rFonts w:hint="eastAsia"/>
                <w:color w:val="auto"/>
              </w:rPr>
              <w:t>（</w:t>
            </w:r>
            <w:r>
              <w:rPr>
                <w:color w:val="auto"/>
              </w:rPr>
              <w:t>r</w:t>
            </w:r>
            <w:r>
              <w:rPr>
                <w:color w:val="auto"/>
                <w:vertAlign w:val="subscript"/>
              </w:rPr>
              <w:t>0</w:t>
            </w:r>
            <w:r>
              <w:rPr>
                <w:rFonts w:hint="eastAsia"/>
                <w:color w:val="auto"/>
              </w:rPr>
              <w:t>）</w:t>
            </w:r>
            <w:r>
              <w:rPr>
                <w:color w:val="auto"/>
              </w:rPr>
              <w:t>——参考位置r</w:t>
            </w:r>
            <w:r>
              <w:rPr>
                <w:color w:val="auto"/>
                <w:vertAlign w:val="subscript"/>
              </w:rPr>
              <w:t>0</w:t>
            </w:r>
            <w:r>
              <w:rPr>
                <w:color w:val="auto"/>
              </w:rPr>
              <w:t>处的声压级，dB；</w:t>
            </w:r>
          </w:p>
          <w:p w14:paraId="27399B92">
            <w:pPr>
              <w:ind w:firstLine="420"/>
              <w:rPr>
                <w:color w:val="auto"/>
              </w:rPr>
            </w:pPr>
            <w:r>
              <w:rPr>
                <w:color w:val="auto"/>
              </w:rPr>
              <w:t>r——预测点距声源的距离；</w:t>
            </w:r>
          </w:p>
          <w:p w14:paraId="6811F8F1">
            <w:pPr>
              <w:ind w:firstLine="420"/>
              <w:rPr>
                <w:color w:val="auto"/>
              </w:rPr>
            </w:pPr>
            <w:r>
              <w:rPr>
                <w:color w:val="auto"/>
              </w:rPr>
              <w:t>r</w:t>
            </w:r>
            <w:r>
              <w:rPr>
                <w:color w:val="auto"/>
                <w:vertAlign w:val="subscript"/>
              </w:rPr>
              <w:t>0</w:t>
            </w:r>
            <w:r>
              <w:rPr>
                <w:color w:val="auto"/>
              </w:rPr>
              <w:t>——参考位置距声源的距离。</w:t>
            </w:r>
          </w:p>
          <w:p w14:paraId="14882BA4">
            <w:pPr>
              <w:ind w:firstLine="420"/>
              <w:rPr>
                <w:color w:val="auto"/>
              </w:rPr>
            </w:pPr>
            <w:r>
              <w:rPr>
                <w:rFonts w:hint="eastAsia"/>
                <w:color w:val="auto"/>
              </w:rPr>
              <w:t>③</w:t>
            </w:r>
            <w:r>
              <w:rPr>
                <w:color w:val="auto"/>
              </w:rPr>
              <w:t>噪声贡献值计算公式</w:t>
            </w:r>
          </w:p>
          <w:p w14:paraId="46FEF03E">
            <w:pPr>
              <w:pStyle w:val="75"/>
              <w:rPr>
                <w:color w:val="auto"/>
              </w:rPr>
            </w:pPr>
            <w:r>
              <w:rPr>
                <w:color w:val="auto"/>
              </w:rPr>
              <w:drawing>
                <wp:inline distT="0" distB="0" distL="114300" distR="114300">
                  <wp:extent cx="2708275" cy="658495"/>
                  <wp:effectExtent l="0" t="0" r="15875" b="8255"/>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32"/>
                          <a:stretch>
                            <a:fillRect/>
                          </a:stretch>
                        </pic:blipFill>
                        <pic:spPr>
                          <a:xfrm>
                            <a:off x="0" y="0"/>
                            <a:ext cx="2708275" cy="658495"/>
                          </a:xfrm>
                          <a:prstGeom prst="rect">
                            <a:avLst/>
                          </a:prstGeom>
                          <a:noFill/>
                          <a:ln>
                            <a:noFill/>
                          </a:ln>
                        </pic:spPr>
                      </pic:pic>
                    </a:graphicData>
                  </a:graphic>
                </wp:inline>
              </w:drawing>
            </w:r>
          </w:p>
          <w:p w14:paraId="3D53672C">
            <w:pPr>
              <w:ind w:firstLine="420"/>
              <w:rPr>
                <w:color w:val="auto"/>
              </w:rPr>
            </w:pPr>
            <w:r>
              <w:rPr>
                <w:color w:val="auto"/>
              </w:rPr>
              <w:t>式中：</w:t>
            </w:r>
          </w:p>
          <w:p w14:paraId="43A9C4FF">
            <w:pPr>
              <w:ind w:firstLine="420"/>
              <w:rPr>
                <w:color w:val="auto"/>
              </w:rPr>
            </w:pPr>
            <w:r>
              <w:rPr>
                <w:color w:val="auto"/>
              </w:rPr>
              <w:t>L</w:t>
            </w:r>
            <w:r>
              <w:rPr>
                <w:color w:val="auto"/>
                <w:vertAlign w:val="subscript"/>
              </w:rPr>
              <w:t>eqg</w:t>
            </w:r>
            <w:r>
              <w:rPr>
                <w:color w:val="auto"/>
              </w:rPr>
              <w:t>——建设项目声源在预测点产生的噪声贡献值，dB；</w:t>
            </w:r>
          </w:p>
          <w:p w14:paraId="62F74573">
            <w:pPr>
              <w:ind w:firstLine="420"/>
              <w:rPr>
                <w:color w:val="auto"/>
              </w:rPr>
            </w:pPr>
            <w:r>
              <w:rPr>
                <w:color w:val="auto"/>
              </w:rPr>
              <w:t>T——用于计算等效声级的时间，s；</w:t>
            </w:r>
          </w:p>
          <w:p w14:paraId="43302C50">
            <w:pPr>
              <w:ind w:firstLine="420"/>
              <w:rPr>
                <w:color w:val="auto"/>
              </w:rPr>
            </w:pPr>
            <w:r>
              <w:rPr>
                <w:color w:val="auto"/>
              </w:rPr>
              <w:t>N——室外声源个数；</w:t>
            </w:r>
          </w:p>
          <w:p w14:paraId="2A20C33E">
            <w:pPr>
              <w:ind w:firstLine="420"/>
              <w:rPr>
                <w:color w:val="auto"/>
              </w:rPr>
            </w:pPr>
            <w:r>
              <w:rPr>
                <w:color w:val="auto"/>
              </w:rPr>
              <w:t>t</w:t>
            </w:r>
            <w:r>
              <w:rPr>
                <w:color w:val="auto"/>
                <w:vertAlign w:val="subscript"/>
              </w:rPr>
              <w:t>i</w:t>
            </w:r>
            <w:r>
              <w:rPr>
                <w:color w:val="auto"/>
              </w:rPr>
              <w:t>——在T时间内i声源工作时间，s；</w:t>
            </w:r>
          </w:p>
          <w:p w14:paraId="45EEF49E">
            <w:pPr>
              <w:ind w:firstLine="420"/>
              <w:rPr>
                <w:color w:val="auto"/>
              </w:rPr>
            </w:pPr>
            <w:r>
              <w:rPr>
                <w:color w:val="auto"/>
              </w:rPr>
              <w:t>M——等效室外声源个；</w:t>
            </w:r>
          </w:p>
          <w:p w14:paraId="7B2B3C18">
            <w:pPr>
              <w:ind w:firstLine="420"/>
              <w:rPr>
                <w:color w:val="auto"/>
              </w:rPr>
            </w:pPr>
            <w:r>
              <w:rPr>
                <w:color w:val="auto"/>
              </w:rPr>
              <w:t>t</w:t>
            </w:r>
            <w:r>
              <w:rPr>
                <w:color w:val="auto"/>
                <w:vertAlign w:val="subscript"/>
              </w:rPr>
              <w:t>j</w:t>
            </w:r>
            <w:r>
              <w:rPr>
                <w:color w:val="auto"/>
              </w:rPr>
              <w:t>——在T时间内j声源工作时间，s。</w:t>
            </w:r>
          </w:p>
          <w:p w14:paraId="0CBBDA6B">
            <w:pPr>
              <w:pStyle w:val="75"/>
              <w:jc w:val="both"/>
              <w:rPr>
                <w:color w:val="auto"/>
              </w:rPr>
            </w:pPr>
          </w:p>
        </w:tc>
      </w:tr>
    </w:tbl>
    <w:p w14:paraId="18A305CF">
      <w:pPr>
        <w:ind w:firstLine="420"/>
        <w:rPr>
          <w:color w:val="auto"/>
        </w:rPr>
        <w:sectPr>
          <w:pgSz w:w="11907" w:h="16840"/>
          <w:pgMar w:top="1418" w:right="1418" w:bottom="1418" w:left="1418" w:header="851" w:footer="851" w:gutter="284"/>
          <w:pgBorders>
            <w:top w:val="none" w:sz="0" w:space="0"/>
            <w:left w:val="none" w:sz="0" w:space="0"/>
            <w:bottom w:val="none" w:sz="0" w:space="0"/>
            <w:right w:val="none" w:sz="0" w:space="0"/>
          </w:pgBorders>
          <w:cols w:space="720" w:num="1"/>
          <w:docGrid w:linePitch="312" w:charSpace="0"/>
        </w:sectPr>
      </w:pPr>
    </w:p>
    <w:tbl>
      <w:tblPr>
        <w:tblStyle w:val="30"/>
        <w:tblW w:w="527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419"/>
        <w:gridCol w:w="14434"/>
      </w:tblGrid>
      <w:tr w14:paraId="533021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41" w:type="pct"/>
            <w:tcMar>
              <w:left w:w="28" w:type="dxa"/>
              <w:right w:w="28" w:type="dxa"/>
            </w:tcMar>
            <w:vAlign w:val="center"/>
          </w:tcPr>
          <w:p w14:paraId="6B7FCB03">
            <w:pPr>
              <w:pStyle w:val="75"/>
              <w:rPr>
                <w:color w:val="auto"/>
              </w:rPr>
            </w:pPr>
            <w:r>
              <w:rPr>
                <w:color w:val="auto"/>
              </w:rPr>
              <w:t>运营</w:t>
            </w:r>
          </w:p>
          <w:p w14:paraId="209C2675">
            <w:pPr>
              <w:pStyle w:val="75"/>
              <w:rPr>
                <w:color w:val="auto"/>
              </w:rPr>
            </w:pPr>
            <w:r>
              <w:rPr>
                <w:color w:val="auto"/>
              </w:rPr>
              <w:t>期环</w:t>
            </w:r>
          </w:p>
          <w:p w14:paraId="217C0D6E">
            <w:pPr>
              <w:pStyle w:val="75"/>
              <w:rPr>
                <w:color w:val="auto"/>
              </w:rPr>
            </w:pPr>
            <w:r>
              <w:rPr>
                <w:color w:val="auto"/>
              </w:rPr>
              <w:t>境影</w:t>
            </w:r>
          </w:p>
          <w:p w14:paraId="2F1BEDE8">
            <w:pPr>
              <w:pStyle w:val="75"/>
              <w:rPr>
                <w:color w:val="auto"/>
              </w:rPr>
            </w:pPr>
            <w:r>
              <w:rPr>
                <w:color w:val="auto"/>
              </w:rPr>
              <w:t>响和</w:t>
            </w:r>
          </w:p>
          <w:p w14:paraId="5D82B8EB">
            <w:pPr>
              <w:pStyle w:val="75"/>
              <w:rPr>
                <w:color w:val="auto"/>
              </w:rPr>
            </w:pPr>
            <w:r>
              <w:rPr>
                <w:color w:val="auto"/>
              </w:rPr>
              <w:t>保护</w:t>
            </w:r>
          </w:p>
          <w:p w14:paraId="7AFCEED4">
            <w:pPr>
              <w:pStyle w:val="75"/>
              <w:rPr>
                <w:color w:val="auto"/>
              </w:rPr>
            </w:pPr>
            <w:r>
              <w:rPr>
                <w:color w:val="auto"/>
              </w:rPr>
              <w:t>措施</w:t>
            </w:r>
          </w:p>
        </w:tc>
        <w:tc>
          <w:tcPr>
            <w:tcW w:w="4859" w:type="pct"/>
            <w:vAlign w:val="center"/>
          </w:tcPr>
          <w:p w14:paraId="27280210">
            <w:pPr>
              <w:ind w:firstLine="420"/>
              <w:rPr>
                <w:color w:val="auto"/>
              </w:rPr>
            </w:pPr>
            <w:bookmarkStart w:id="13" w:name="_Hlk150939000"/>
            <w:r>
              <w:rPr>
                <w:rFonts w:hint="eastAsia"/>
                <w:color w:val="auto"/>
              </w:rPr>
              <w:t>本项目</w:t>
            </w:r>
            <w:r>
              <w:rPr>
                <w:rFonts w:hint="eastAsia"/>
                <w:color w:val="auto"/>
                <w:lang w:val="en-US" w:eastAsia="zh-CN"/>
              </w:rPr>
              <w:t>不</w:t>
            </w:r>
            <w:r>
              <w:rPr>
                <w:rFonts w:hint="eastAsia"/>
                <w:color w:val="auto"/>
              </w:rPr>
              <w:t>新增室外噪声源</w:t>
            </w:r>
            <w:r>
              <w:rPr>
                <w:rFonts w:hint="eastAsia"/>
                <w:color w:val="auto"/>
                <w:lang w:eastAsia="zh-CN"/>
              </w:rPr>
              <w:t>。</w:t>
            </w:r>
            <w:r>
              <w:rPr>
                <w:rFonts w:hint="eastAsia"/>
                <w:color w:val="auto"/>
              </w:rPr>
              <w:t>新增</w:t>
            </w:r>
            <w:r>
              <w:rPr>
                <w:color w:val="auto"/>
                <w:lang w:val="en-US" w:eastAsia="zh-CN"/>
              </w:rPr>
              <w:t>磁控溅射</w:t>
            </w:r>
            <w:r>
              <w:rPr>
                <w:rFonts w:hint="eastAsia"/>
                <w:color w:val="auto"/>
                <w:lang w:val="en-US" w:eastAsia="zh-CN"/>
              </w:rPr>
              <w:t>生产线及气体传输系统为室内</w:t>
            </w:r>
            <w:r>
              <w:rPr>
                <w:rFonts w:hint="eastAsia"/>
                <w:color w:val="auto"/>
              </w:rPr>
              <w:t>噪声源。</w:t>
            </w:r>
          </w:p>
          <w:p w14:paraId="44E3E51F">
            <w:pPr>
              <w:spacing w:line="240" w:lineRule="auto"/>
              <w:ind w:firstLine="422"/>
              <w:jc w:val="center"/>
              <w:rPr>
                <w:rFonts w:cs="Times New Roman"/>
                <w:b/>
                <w:color w:val="auto"/>
              </w:rPr>
            </w:pPr>
            <w:r>
              <w:rPr>
                <w:rFonts w:cs="Times New Roman"/>
                <w:b/>
                <w:color w:val="auto"/>
              </w:rPr>
              <w:t>表4-</w:t>
            </w:r>
            <w:r>
              <w:rPr>
                <w:rFonts w:hint="eastAsia" w:cs="Times New Roman"/>
                <w:b/>
                <w:color w:val="auto"/>
                <w:lang w:val="en-US" w:eastAsia="zh-CN"/>
              </w:rPr>
              <w:t>1</w:t>
            </w:r>
            <w:r>
              <w:rPr>
                <w:rFonts w:hint="eastAsia" w:cs="Times New Roman"/>
                <w:b/>
                <w:color w:val="auto"/>
              </w:rPr>
              <w:t xml:space="preserve"> </w:t>
            </w:r>
            <w:r>
              <w:rPr>
                <w:rFonts w:cs="Times New Roman"/>
                <w:b/>
                <w:color w:val="auto"/>
              </w:rPr>
              <w:t>工业企业噪声源强调查清单（室内声源）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397"/>
              <w:gridCol w:w="397"/>
              <w:gridCol w:w="976"/>
              <w:gridCol w:w="708"/>
              <w:gridCol w:w="576"/>
              <w:gridCol w:w="636"/>
              <w:gridCol w:w="397"/>
              <w:gridCol w:w="397"/>
              <w:gridCol w:w="397"/>
              <w:gridCol w:w="397"/>
              <w:gridCol w:w="770"/>
              <w:gridCol w:w="770"/>
              <w:gridCol w:w="770"/>
              <w:gridCol w:w="780"/>
              <w:gridCol w:w="486"/>
              <w:gridCol w:w="397"/>
              <w:gridCol w:w="397"/>
              <w:gridCol w:w="397"/>
              <w:gridCol w:w="397"/>
              <w:gridCol w:w="771"/>
              <w:gridCol w:w="771"/>
              <w:gridCol w:w="771"/>
              <w:gridCol w:w="771"/>
              <w:gridCol w:w="397"/>
            </w:tblGrid>
            <w:tr w14:paraId="6C597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 w:type="pct"/>
                  <w:vMerge w:val="restart"/>
                  <w:tcBorders>
                    <w:tl2br w:val="nil"/>
                    <w:tr2bl w:val="nil"/>
                  </w:tcBorders>
                  <w:shd w:val="clear" w:color="auto" w:fill="D7D7D7" w:themeFill="background1" w:themeFillShade="D8"/>
                  <w:vAlign w:val="center"/>
                </w:tcPr>
                <w:p w14:paraId="200035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序号</w:t>
                  </w:r>
                </w:p>
              </w:tc>
              <w:tc>
                <w:tcPr>
                  <w:tcW w:w="116" w:type="pct"/>
                  <w:vMerge w:val="restart"/>
                  <w:tcBorders>
                    <w:tl2br w:val="nil"/>
                    <w:tr2bl w:val="nil"/>
                  </w:tcBorders>
                  <w:shd w:val="clear" w:color="auto" w:fill="D7D7D7" w:themeFill="background1" w:themeFillShade="D8"/>
                  <w:vAlign w:val="center"/>
                </w:tcPr>
                <w:p w14:paraId="6FDBCC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建筑物名称</w:t>
                  </w:r>
                </w:p>
              </w:tc>
              <w:tc>
                <w:tcPr>
                  <w:tcW w:w="116" w:type="pct"/>
                  <w:vMerge w:val="restart"/>
                  <w:tcBorders>
                    <w:tl2br w:val="nil"/>
                    <w:tr2bl w:val="nil"/>
                  </w:tcBorders>
                  <w:shd w:val="clear" w:color="auto" w:fill="D7D7D7" w:themeFill="background1" w:themeFillShade="D8"/>
                  <w:vAlign w:val="center"/>
                </w:tcPr>
                <w:p w14:paraId="0361DF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声源名称</w:t>
                  </w:r>
                </w:p>
              </w:tc>
              <w:tc>
                <w:tcPr>
                  <w:tcW w:w="286" w:type="pct"/>
                  <w:vMerge w:val="restart"/>
                  <w:tcBorders>
                    <w:tl2br w:val="nil"/>
                    <w:tr2bl w:val="nil"/>
                  </w:tcBorders>
                  <w:shd w:val="clear" w:color="auto" w:fill="D7D7D7" w:themeFill="background1" w:themeFillShade="D8"/>
                  <w:vAlign w:val="center"/>
                </w:tcPr>
                <w:p w14:paraId="7E0F63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型号</w:t>
                  </w:r>
                </w:p>
              </w:tc>
              <w:tc>
                <w:tcPr>
                  <w:tcW w:w="208" w:type="pct"/>
                  <w:tcBorders>
                    <w:tl2br w:val="nil"/>
                    <w:tr2bl w:val="nil"/>
                  </w:tcBorders>
                  <w:shd w:val="clear" w:color="auto" w:fill="D7D7D7" w:themeFill="background1" w:themeFillShade="D8"/>
                  <w:vAlign w:val="center"/>
                </w:tcPr>
                <w:p w14:paraId="6C2B7F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声源源强</w:t>
                  </w:r>
                </w:p>
              </w:tc>
              <w:tc>
                <w:tcPr>
                  <w:tcW w:w="169" w:type="pct"/>
                  <w:vMerge w:val="restart"/>
                  <w:tcBorders>
                    <w:tl2br w:val="nil"/>
                    <w:tr2bl w:val="nil"/>
                  </w:tcBorders>
                  <w:shd w:val="clear" w:color="auto" w:fill="D7D7D7" w:themeFill="background1" w:themeFillShade="D8"/>
                  <w:vAlign w:val="center"/>
                </w:tcPr>
                <w:p w14:paraId="1754B9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声源控制措施</w:t>
                  </w:r>
                </w:p>
              </w:tc>
              <w:tc>
                <w:tcPr>
                  <w:tcW w:w="186" w:type="pct"/>
                  <w:tcBorders>
                    <w:tl2br w:val="nil"/>
                    <w:tr2bl w:val="nil"/>
                  </w:tcBorders>
                  <w:shd w:val="clear" w:color="auto" w:fill="D7D7D7" w:themeFill="background1" w:themeFillShade="D8"/>
                  <w:vAlign w:val="center"/>
                </w:tcPr>
                <w:p w14:paraId="54ABEB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空间相对位置</w:t>
                  </w:r>
                  <w:r>
                    <w:rPr>
                      <w:rStyle w:val="172"/>
                      <w:rFonts w:hint="default" w:ascii="Times New Roman" w:hAnsi="Times New Roman" w:eastAsia="宋体" w:cs="Times New Roman"/>
                      <w:b/>
                      <w:bCs/>
                      <w:color w:val="auto"/>
                      <w:sz w:val="18"/>
                      <w:szCs w:val="18"/>
                      <w:lang w:bidi="ar"/>
                    </w:rPr>
                    <w:t>/m</w:t>
                  </w:r>
                </w:p>
              </w:tc>
              <w:tc>
                <w:tcPr>
                  <w:tcW w:w="466" w:type="pct"/>
                  <w:gridSpan w:val="4"/>
                  <w:tcBorders>
                    <w:tl2br w:val="nil"/>
                    <w:tr2bl w:val="nil"/>
                  </w:tcBorders>
                  <w:shd w:val="clear" w:color="auto" w:fill="D7D7D7" w:themeFill="background1" w:themeFillShade="D8"/>
                  <w:vAlign w:val="center"/>
                </w:tcPr>
                <w:p w14:paraId="2FD69CC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距室内边界距离</w:t>
                  </w:r>
                  <w:r>
                    <w:rPr>
                      <w:rStyle w:val="172"/>
                      <w:rFonts w:hint="default" w:ascii="Times New Roman" w:hAnsi="Times New Roman" w:eastAsia="宋体" w:cs="Times New Roman"/>
                      <w:b/>
                      <w:bCs/>
                      <w:color w:val="auto"/>
                      <w:sz w:val="18"/>
                      <w:szCs w:val="18"/>
                      <w:lang w:bidi="ar"/>
                    </w:rPr>
                    <w:t>/m</w:t>
                  </w:r>
                </w:p>
              </w:tc>
              <w:tc>
                <w:tcPr>
                  <w:tcW w:w="1303" w:type="pct"/>
                  <w:gridSpan w:val="4"/>
                  <w:tcBorders>
                    <w:tl2br w:val="nil"/>
                    <w:tr2bl w:val="nil"/>
                  </w:tcBorders>
                  <w:shd w:val="clear" w:color="auto" w:fill="D7D7D7" w:themeFill="background1" w:themeFillShade="D8"/>
                  <w:vAlign w:val="center"/>
                </w:tcPr>
                <w:p w14:paraId="1A5B26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室内边界声级</w:t>
                  </w:r>
                  <w:r>
                    <w:rPr>
                      <w:rStyle w:val="172"/>
                      <w:rFonts w:hint="default" w:ascii="Times New Roman" w:hAnsi="Times New Roman" w:eastAsia="宋体" w:cs="Times New Roman"/>
                      <w:b/>
                      <w:bCs/>
                      <w:color w:val="auto"/>
                      <w:sz w:val="18"/>
                      <w:szCs w:val="18"/>
                      <w:lang w:bidi="ar"/>
                    </w:rPr>
                    <w:t>/dB</w:t>
                  </w:r>
                  <w:r>
                    <w:rPr>
                      <w:rStyle w:val="173"/>
                      <w:rFonts w:hint="default" w:ascii="Times New Roman" w:hAnsi="Times New Roman" w:eastAsia="宋体" w:cs="Times New Roman"/>
                      <w:b/>
                      <w:bCs/>
                      <w:color w:val="auto"/>
                      <w:sz w:val="18"/>
                      <w:szCs w:val="18"/>
                      <w:lang w:bidi="ar"/>
                    </w:rPr>
                    <w:t>（</w:t>
                  </w:r>
                  <w:r>
                    <w:rPr>
                      <w:rStyle w:val="172"/>
                      <w:rFonts w:hint="default" w:ascii="Times New Roman" w:hAnsi="Times New Roman" w:eastAsia="宋体" w:cs="Times New Roman"/>
                      <w:b/>
                      <w:bCs/>
                      <w:color w:val="auto"/>
                      <w:sz w:val="18"/>
                      <w:szCs w:val="18"/>
                      <w:lang w:bidi="ar"/>
                    </w:rPr>
                    <w:t>A</w:t>
                  </w:r>
                  <w:r>
                    <w:rPr>
                      <w:rStyle w:val="173"/>
                      <w:rFonts w:hint="default" w:ascii="Times New Roman" w:hAnsi="Times New Roman" w:eastAsia="宋体" w:cs="Times New Roman"/>
                      <w:b/>
                      <w:bCs/>
                      <w:color w:val="auto"/>
                      <w:sz w:val="18"/>
                      <w:szCs w:val="18"/>
                      <w:lang w:bidi="ar"/>
                    </w:rPr>
                    <w:t>）</w:t>
                  </w:r>
                </w:p>
              </w:tc>
              <w:tc>
                <w:tcPr>
                  <w:tcW w:w="142" w:type="pct"/>
                  <w:vMerge w:val="restart"/>
                  <w:tcBorders>
                    <w:tl2br w:val="nil"/>
                    <w:tr2bl w:val="nil"/>
                  </w:tcBorders>
                  <w:shd w:val="clear" w:color="auto" w:fill="D7D7D7" w:themeFill="background1" w:themeFillShade="D8"/>
                  <w:vAlign w:val="center"/>
                </w:tcPr>
                <w:p w14:paraId="0830EC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运行时段</w:t>
                  </w:r>
                </w:p>
              </w:tc>
              <w:tc>
                <w:tcPr>
                  <w:tcW w:w="466" w:type="pct"/>
                  <w:gridSpan w:val="4"/>
                  <w:tcBorders>
                    <w:tl2br w:val="nil"/>
                    <w:tr2bl w:val="nil"/>
                  </w:tcBorders>
                  <w:shd w:val="clear" w:color="auto" w:fill="D7D7D7" w:themeFill="background1" w:themeFillShade="D8"/>
                  <w:vAlign w:val="center"/>
                </w:tcPr>
                <w:p w14:paraId="3A6AFF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bookmarkStart w:id="14" w:name="RANGE!T3"/>
                  <w:r>
                    <w:rPr>
                      <w:rFonts w:hint="default" w:ascii="Times New Roman" w:hAnsi="Times New Roman" w:eastAsia="宋体" w:cs="Times New Roman"/>
                      <w:b/>
                      <w:bCs/>
                      <w:color w:val="auto"/>
                      <w:kern w:val="0"/>
                      <w:sz w:val="18"/>
                      <w:szCs w:val="18"/>
                      <w:lang w:bidi="ar"/>
                    </w:rPr>
                    <w:t>建筑物插入损失</w:t>
                  </w:r>
                  <w:r>
                    <w:rPr>
                      <w:rStyle w:val="172"/>
                      <w:rFonts w:hint="default" w:ascii="Times New Roman" w:hAnsi="Times New Roman" w:eastAsia="宋体" w:cs="Times New Roman"/>
                      <w:b/>
                      <w:bCs/>
                      <w:color w:val="auto"/>
                      <w:sz w:val="18"/>
                      <w:szCs w:val="18"/>
                      <w:lang w:bidi="ar"/>
                    </w:rPr>
                    <w:t>/dB</w:t>
                  </w:r>
                  <w:r>
                    <w:rPr>
                      <w:rStyle w:val="173"/>
                      <w:rFonts w:hint="default" w:ascii="Times New Roman" w:hAnsi="Times New Roman" w:eastAsia="宋体" w:cs="Times New Roman"/>
                      <w:b/>
                      <w:bCs/>
                      <w:color w:val="auto"/>
                      <w:sz w:val="18"/>
                      <w:szCs w:val="18"/>
                      <w:lang w:bidi="ar"/>
                    </w:rPr>
                    <w:t>（</w:t>
                  </w:r>
                  <w:r>
                    <w:rPr>
                      <w:rStyle w:val="172"/>
                      <w:rFonts w:hint="default" w:ascii="Times New Roman" w:hAnsi="Times New Roman" w:eastAsia="宋体" w:cs="Times New Roman"/>
                      <w:b/>
                      <w:bCs/>
                      <w:color w:val="auto"/>
                      <w:sz w:val="18"/>
                      <w:szCs w:val="18"/>
                      <w:lang w:bidi="ar"/>
                    </w:rPr>
                    <w:t>A</w:t>
                  </w:r>
                  <w:r>
                    <w:rPr>
                      <w:rStyle w:val="173"/>
                      <w:rFonts w:hint="default" w:ascii="Times New Roman" w:hAnsi="Times New Roman" w:eastAsia="宋体" w:cs="Times New Roman"/>
                      <w:b/>
                      <w:bCs/>
                      <w:color w:val="auto"/>
                      <w:sz w:val="18"/>
                      <w:szCs w:val="18"/>
                      <w:lang w:bidi="ar"/>
                    </w:rPr>
                    <w:t>）</w:t>
                  </w:r>
                  <w:bookmarkEnd w:id="14"/>
                </w:p>
              </w:tc>
              <w:tc>
                <w:tcPr>
                  <w:tcW w:w="1419" w:type="pct"/>
                  <w:gridSpan w:val="5"/>
                  <w:tcBorders>
                    <w:tl2br w:val="nil"/>
                    <w:tr2bl w:val="nil"/>
                  </w:tcBorders>
                  <w:shd w:val="clear" w:color="auto" w:fill="D7D7D7" w:themeFill="background1" w:themeFillShade="D8"/>
                  <w:vAlign w:val="center"/>
                </w:tcPr>
                <w:p w14:paraId="139194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建筑物外噪声声压级</w:t>
                  </w:r>
                  <w:r>
                    <w:rPr>
                      <w:rStyle w:val="172"/>
                      <w:rFonts w:hint="default" w:ascii="Times New Roman" w:hAnsi="Times New Roman" w:eastAsia="宋体" w:cs="Times New Roman"/>
                      <w:b/>
                      <w:bCs/>
                      <w:color w:val="auto"/>
                      <w:sz w:val="18"/>
                      <w:szCs w:val="18"/>
                      <w:lang w:bidi="ar"/>
                    </w:rPr>
                    <w:t>/dB</w:t>
                  </w:r>
                  <w:r>
                    <w:rPr>
                      <w:rStyle w:val="173"/>
                      <w:rFonts w:hint="default" w:ascii="Times New Roman" w:hAnsi="Times New Roman" w:eastAsia="宋体" w:cs="Times New Roman"/>
                      <w:b/>
                      <w:bCs/>
                      <w:color w:val="auto"/>
                      <w:sz w:val="18"/>
                      <w:szCs w:val="18"/>
                      <w:lang w:bidi="ar"/>
                    </w:rPr>
                    <w:t>（</w:t>
                  </w:r>
                  <w:r>
                    <w:rPr>
                      <w:rStyle w:val="172"/>
                      <w:rFonts w:hint="default" w:ascii="Times New Roman" w:hAnsi="Times New Roman" w:eastAsia="宋体" w:cs="Times New Roman"/>
                      <w:b/>
                      <w:bCs/>
                      <w:color w:val="auto"/>
                      <w:sz w:val="18"/>
                      <w:szCs w:val="18"/>
                      <w:lang w:bidi="ar"/>
                    </w:rPr>
                    <w:t>A</w:t>
                  </w:r>
                  <w:r>
                    <w:rPr>
                      <w:rStyle w:val="173"/>
                      <w:rFonts w:hint="default" w:ascii="Times New Roman" w:hAnsi="Times New Roman" w:eastAsia="宋体" w:cs="Times New Roman"/>
                      <w:b/>
                      <w:bCs/>
                      <w:color w:val="auto"/>
                      <w:sz w:val="18"/>
                      <w:szCs w:val="18"/>
                      <w:lang w:bidi="ar"/>
                    </w:rPr>
                    <w:t>）</w:t>
                  </w:r>
                </w:p>
              </w:tc>
            </w:tr>
            <w:tr w14:paraId="69142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 w:type="pct"/>
                  <w:vMerge w:val="continue"/>
                  <w:tcBorders>
                    <w:tl2br w:val="nil"/>
                    <w:tr2bl w:val="nil"/>
                  </w:tcBorders>
                  <w:shd w:val="clear" w:color="auto" w:fill="D7D7D7" w:themeFill="background1" w:themeFillShade="D8"/>
                  <w:vAlign w:val="center"/>
                </w:tcPr>
                <w:p w14:paraId="6AA70F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18"/>
                      <w:szCs w:val="18"/>
                    </w:rPr>
                  </w:pPr>
                </w:p>
              </w:tc>
              <w:tc>
                <w:tcPr>
                  <w:tcW w:w="116" w:type="pct"/>
                  <w:vMerge w:val="continue"/>
                  <w:tcBorders>
                    <w:tl2br w:val="nil"/>
                    <w:tr2bl w:val="nil"/>
                  </w:tcBorders>
                  <w:shd w:val="clear" w:color="auto" w:fill="D7D7D7" w:themeFill="background1" w:themeFillShade="D8"/>
                  <w:vAlign w:val="center"/>
                </w:tcPr>
                <w:p w14:paraId="5C20556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18"/>
                      <w:szCs w:val="18"/>
                    </w:rPr>
                  </w:pPr>
                </w:p>
              </w:tc>
              <w:tc>
                <w:tcPr>
                  <w:tcW w:w="116" w:type="pct"/>
                  <w:vMerge w:val="continue"/>
                  <w:tcBorders>
                    <w:tl2br w:val="nil"/>
                    <w:tr2bl w:val="nil"/>
                  </w:tcBorders>
                  <w:shd w:val="clear" w:color="auto" w:fill="D7D7D7" w:themeFill="background1" w:themeFillShade="D8"/>
                  <w:vAlign w:val="center"/>
                </w:tcPr>
                <w:p w14:paraId="0ADC51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18"/>
                      <w:szCs w:val="18"/>
                    </w:rPr>
                  </w:pPr>
                </w:p>
              </w:tc>
              <w:tc>
                <w:tcPr>
                  <w:tcW w:w="286" w:type="pct"/>
                  <w:vMerge w:val="continue"/>
                  <w:tcBorders>
                    <w:tl2br w:val="nil"/>
                    <w:tr2bl w:val="nil"/>
                  </w:tcBorders>
                  <w:shd w:val="clear" w:color="auto" w:fill="D7D7D7" w:themeFill="background1" w:themeFillShade="D8"/>
                  <w:vAlign w:val="center"/>
                </w:tcPr>
                <w:p w14:paraId="37E373B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18"/>
                      <w:szCs w:val="18"/>
                    </w:rPr>
                  </w:pPr>
                </w:p>
              </w:tc>
              <w:tc>
                <w:tcPr>
                  <w:tcW w:w="208" w:type="pct"/>
                  <w:tcBorders>
                    <w:tl2br w:val="nil"/>
                    <w:tr2bl w:val="nil"/>
                  </w:tcBorders>
                  <w:shd w:val="clear" w:color="auto" w:fill="D7D7D7" w:themeFill="background1" w:themeFillShade="D8"/>
                  <w:vAlign w:val="center"/>
                </w:tcPr>
                <w:p w14:paraId="7B2256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声功率级</w:t>
                  </w:r>
                  <w:r>
                    <w:rPr>
                      <w:rStyle w:val="172"/>
                      <w:rFonts w:hint="default" w:ascii="Times New Roman" w:hAnsi="Times New Roman" w:eastAsia="宋体" w:cs="Times New Roman"/>
                      <w:b/>
                      <w:bCs/>
                      <w:color w:val="auto"/>
                      <w:sz w:val="18"/>
                      <w:szCs w:val="18"/>
                      <w:lang w:bidi="ar"/>
                    </w:rPr>
                    <w:t>/dB</w:t>
                  </w:r>
                  <w:r>
                    <w:rPr>
                      <w:rStyle w:val="173"/>
                      <w:rFonts w:hint="default" w:ascii="Times New Roman" w:hAnsi="Times New Roman" w:eastAsia="宋体" w:cs="Times New Roman"/>
                      <w:b/>
                      <w:bCs/>
                      <w:color w:val="auto"/>
                      <w:sz w:val="18"/>
                      <w:szCs w:val="18"/>
                      <w:lang w:bidi="ar"/>
                    </w:rPr>
                    <w:t>（</w:t>
                  </w:r>
                  <w:r>
                    <w:rPr>
                      <w:rStyle w:val="172"/>
                      <w:rFonts w:hint="default" w:ascii="Times New Roman" w:hAnsi="Times New Roman" w:eastAsia="宋体" w:cs="Times New Roman"/>
                      <w:b/>
                      <w:bCs/>
                      <w:color w:val="auto"/>
                      <w:sz w:val="18"/>
                      <w:szCs w:val="18"/>
                      <w:lang w:bidi="ar"/>
                    </w:rPr>
                    <w:t>A</w:t>
                  </w:r>
                  <w:r>
                    <w:rPr>
                      <w:rStyle w:val="173"/>
                      <w:rFonts w:hint="default" w:ascii="Times New Roman" w:hAnsi="Times New Roman" w:eastAsia="宋体" w:cs="Times New Roman"/>
                      <w:b/>
                      <w:bCs/>
                      <w:color w:val="auto"/>
                      <w:sz w:val="18"/>
                      <w:szCs w:val="18"/>
                      <w:lang w:bidi="ar"/>
                    </w:rPr>
                    <w:t>）</w:t>
                  </w:r>
                </w:p>
              </w:tc>
              <w:tc>
                <w:tcPr>
                  <w:tcW w:w="169" w:type="pct"/>
                  <w:vMerge w:val="continue"/>
                  <w:tcBorders>
                    <w:tl2br w:val="nil"/>
                    <w:tr2bl w:val="nil"/>
                  </w:tcBorders>
                  <w:shd w:val="clear" w:color="auto" w:fill="D7D7D7" w:themeFill="background1" w:themeFillShade="D8"/>
                  <w:vAlign w:val="center"/>
                </w:tcPr>
                <w:p w14:paraId="68ACD0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18"/>
                      <w:szCs w:val="18"/>
                    </w:rPr>
                  </w:pPr>
                </w:p>
              </w:tc>
              <w:tc>
                <w:tcPr>
                  <w:tcW w:w="186" w:type="pct"/>
                  <w:tcBorders>
                    <w:tl2br w:val="nil"/>
                    <w:tr2bl w:val="nil"/>
                  </w:tcBorders>
                  <w:shd w:val="clear" w:color="auto" w:fill="D7D7D7" w:themeFill="background1" w:themeFillShade="D8"/>
                  <w:vAlign w:val="center"/>
                </w:tcPr>
                <w:p w14:paraId="40404D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X</w:t>
                  </w:r>
                  <w:r>
                    <w:rPr>
                      <w:rStyle w:val="174"/>
                      <w:rFonts w:hint="default" w:ascii="Times New Roman" w:hAnsi="Times New Roman" w:eastAsia="宋体" w:cs="Times New Roman"/>
                      <w:b/>
                      <w:bCs/>
                      <w:color w:val="auto"/>
                      <w:sz w:val="18"/>
                      <w:szCs w:val="18"/>
                      <w:lang w:bidi="ar"/>
                    </w:rPr>
                    <w:t>，</w:t>
                  </w:r>
                  <w:r>
                    <w:rPr>
                      <w:rStyle w:val="172"/>
                      <w:rFonts w:hint="default" w:ascii="Times New Roman" w:hAnsi="Times New Roman" w:eastAsia="宋体" w:cs="Times New Roman"/>
                      <w:b/>
                      <w:bCs/>
                      <w:color w:val="auto"/>
                      <w:sz w:val="18"/>
                      <w:szCs w:val="18"/>
                      <w:lang w:bidi="ar"/>
                    </w:rPr>
                    <w:t>Y</w:t>
                  </w:r>
                  <w:r>
                    <w:rPr>
                      <w:rStyle w:val="174"/>
                      <w:rFonts w:hint="default" w:ascii="Times New Roman" w:hAnsi="Times New Roman" w:eastAsia="宋体" w:cs="Times New Roman"/>
                      <w:b/>
                      <w:bCs/>
                      <w:color w:val="auto"/>
                      <w:sz w:val="18"/>
                      <w:szCs w:val="18"/>
                      <w:lang w:bidi="ar"/>
                    </w:rPr>
                    <w:t>，</w:t>
                  </w:r>
                  <w:r>
                    <w:rPr>
                      <w:rStyle w:val="172"/>
                      <w:rFonts w:hint="default" w:ascii="Times New Roman" w:hAnsi="Times New Roman" w:eastAsia="宋体" w:cs="Times New Roman"/>
                      <w:b/>
                      <w:bCs/>
                      <w:color w:val="auto"/>
                      <w:sz w:val="18"/>
                      <w:szCs w:val="18"/>
                      <w:lang w:bidi="ar"/>
                    </w:rPr>
                    <w:t>Z</w:t>
                  </w:r>
                </w:p>
              </w:tc>
              <w:tc>
                <w:tcPr>
                  <w:tcW w:w="116" w:type="pct"/>
                  <w:tcBorders>
                    <w:tl2br w:val="nil"/>
                    <w:tr2bl w:val="nil"/>
                  </w:tcBorders>
                  <w:shd w:val="clear" w:color="auto" w:fill="D7D7D7" w:themeFill="background1" w:themeFillShade="D8"/>
                  <w:vAlign w:val="center"/>
                </w:tcPr>
                <w:p w14:paraId="3B28B6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东</w:t>
                  </w:r>
                </w:p>
              </w:tc>
              <w:tc>
                <w:tcPr>
                  <w:tcW w:w="116" w:type="pct"/>
                  <w:tcBorders>
                    <w:tl2br w:val="nil"/>
                    <w:tr2bl w:val="nil"/>
                  </w:tcBorders>
                  <w:shd w:val="clear" w:color="auto" w:fill="D7D7D7" w:themeFill="background1" w:themeFillShade="D8"/>
                  <w:vAlign w:val="center"/>
                </w:tcPr>
                <w:p w14:paraId="5BAAC0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南</w:t>
                  </w:r>
                </w:p>
              </w:tc>
              <w:tc>
                <w:tcPr>
                  <w:tcW w:w="116" w:type="pct"/>
                  <w:tcBorders>
                    <w:tl2br w:val="nil"/>
                    <w:tr2bl w:val="nil"/>
                  </w:tcBorders>
                  <w:shd w:val="clear" w:color="auto" w:fill="D7D7D7" w:themeFill="background1" w:themeFillShade="D8"/>
                  <w:vAlign w:val="center"/>
                </w:tcPr>
                <w:p w14:paraId="30EB7F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西</w:t>
                  </w:r>
                </w:p>
              </w:tc>
              <w:tc>
                <w:tcPr>
                  <w:tcW w:w="116" w:type="pct"/>
                  <w:tcBorders>
                    <w:tl2br w:val="nil"/>
                    <w:tr2bl w:val="nil"/>
                  </w:tcBorders>
                  <w:shd w:val="clear" w:color="auto" w:fill="D7D7D7" w:themeFill="background1" w:themeFillShade="D8"/>
                  <w:vAlign w:val="center"/>
                </w:tcPr>
                <w:p w14:paraId="34A04B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北</w:t>
                  </w:r>
                </w:p>
              </w:tc>
              <w:tc>
                <w:tcPr>
                  <w:tcW w:w="325" w:type="pct"/>
                  <w:tcBorders>
                    <w:tl2br w:val="nil"/>
                    <w:tr2bl w:val="nil"/>
                  </w:tcBorders>
                  <w:shd w:val="clear" w:color="auto" w:fill="D7D7D7" w:themeFill="background1" w:themeFillShade="D8"/>
                  <w:vAlign w:val="center"/>
                </w:tcPr>
                <w:p w14:paraId="2D2A80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东</w:t>
                  </w:r>
                </w:p>
              </w:tc>
              <w:tc>
                <w:tcPr>
                  <w:tcW w:w="325" w:type="pct"/>
                  <w:tcBorders>
                    <w:tl2br w:val="nil"/>
                    <w:tr2bl w:val="nil"/>
                  </w:tcBorders>
                  <w:shd w:val="clear" w:color="auto" w:fill="D7D7D7" w:themeFill="background1" w:themeFillShade="D8"/>
                  <w:vAlign w:val="center"/>
                </w:tcPr>
                <w:p w14:paraId="5B2992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南</w:t>
                  </w:r>
                </w:p>
              </w:tc>
              <w:tc>
                <w:tcPr>
                  <w:tcW w:w="325" w:type="pct"/>
                  <w:tcBorders>
                    <w:tl2br w:val="nil"/>
                    <w:tr2bl w:val="nil"/>
                  </w:tcBorders>
                  <w:shd w:val="clear" w:color="auto" w:fill="D7D7D7" w:themeFill="background1" w:themeFillShade="D8"/>
                  <w:vAlign w:val="center"/>
                </w:tcPr>
                <w:p w14:paraId="095575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西</w:t>
                  </w:r>
                </w:p>
              </w:tc>
              <w:tc>
                <w:tcPr>
                  <w:tcW w:w="325" w:type="pct"/>
                  <w:tcBorders>
                    <w:tl2br w:val="nil"/>
                    <w:tr2bl w:val="nil"/>
                  </w:tcBorders>
                  <w:shd w:val="clear" w:color="auto" w:fill="D7D7D7" w:themeFill="background1" w:themeFillShade="D8"/>
                  <w:vAlign w:val="center"/>
                </w:tcPr>
                <w:p w14:paraId="0C081F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北</w:t>
                  </w:r>
                </w:p>
              </w:tc>
              <w:tc>
                <w:tcPr>
                  <w:tcW w:w="142" w:type="pct"/>
                  <w:vMerge w:val="continue"/>
                  <w:tcBorders>
                    <w:tl2br w:val="nil"/>
                    <w:tr2bl w:val="nil"/>
                  </w:tcBorders>
                  <w:shd w:val="clear" w:color="auto" w:fill="D7D7D7" w:themeFill="background1" w:themeFillShade="D8"/>
                  <w:vAlign w:val="center"/>
                </w:tcPr>
                <w:p w14:paraId="0676AD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18"/>
                      <w:szCs w:val="18"/>
                    </w:rPr>
                  </w:pPr>
                </w:p>
              </w:tc>
              <w:tc>
                <w:tcPr>
                  <w:tcW w:w="116" w:type="pct"/>
                  <w:tcBorders>
                    <w:tl2br w:val="nil"/>
                    <w:tr2bl w:val="nil"/>
                  </w:tcBorders>
                  <w:shd w:val="clear" w:color="auto" w:fill="D7D7D7" w:themeFill="background1" w:themeFillShade="D8"/>
                  <w:vAlign w:val="center"/>
                </w:tcPr>
                <w:p w14:paraId="0648D6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东</w:t>
                  </w:r>
                </w:p>
              </w:tc>
              <w:tc>
                <w:tcPr>
                  <w:tcW w:w="116" w:type="pct"/>
                  <w:tcBorders>
                    <w:tl2br w:val="nil"/>
                    <w:tr2bl w:val="nil"/>
                  </w:tcBorders>
                  <w:shd w:val="clear" w:color="auto" w:fill="D7D7D7" w:themeFill="background1" w:themeFillShade="D8"/>
                  <w:vAlign w:val="center"/>
                </w:tcPr>
                <w:p w14:paraId="5AEA3D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南</w:t>
                  </w:r>
                </w:p>
              </w:tc>
              <w:tc>
                <w:tcPr>
                  <w:tcW w:w="116" w:type="pct"/>
                  <w:tcBorders>
                    <w:tl2br w:val="nil"/>
                    <w:tr2bl w:val="nil"/>
                  </w:tcBorders>
                  <w:shd w:val="clear" w:color="auto" w:fill="D7D7D7" w:themeFill="background1" w:themeFillShade="D8"/>
                  <w:vAlign w:val="center"/>
                </w:tcPr>
                <w:p w14:paraId="4568BC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西</w:t>
                  </w:r>
                </w:p>
              </w:tc>
              <w:tc>
                <w:tcPr>
                  <w:tcW w:w="116" w:type="pct"/>
                  <w:tcBorders>
                    <w:tl2br w:val="nil"/>
                    <w:tr2bl w:val="nil"/>
                  </w:tcBorders>
                  <w:shd w:val="clear" w:color="auto" w:fill="D7D7D7" w:themeFill="background1" w:themeFillShade="D8"/>
                  <w:vAlign w:val="center"/>
                </w:tcPr>
                <w:p w14:paraId="18EDF2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北</w:t>
                  </w:r>
                </w:p>
              </w:tc>
              <w:tc>
                <w:tcPr>
                  <w:tcW w:w="325" w:type="pct"/>
                  <w:tcBorders>
                    <w:tl2br w:val="nil"/>
                    <w:tr2bl w:val="nil"/>
                  </w:tcBorders>
                  <w:shd w:val="clear" w:color="auto" w:fill="D7D7D7" w:themeFill="background1" w:themeFillShade="D8"/>
                  <w:vAlign w:val="center"/>
                </w:tcPr>
                <w:p w14:paraId="69DF63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东</w:t>
                  </w:r>
                </w:p>
              </w:tc>
              <w:tc>
                <w:tcPr>
                  <w:tcW w:w="325" w:type="pct"/>
                  <w:tcBorders>
                    <w:tl2br w:val="nil"/>
                    <w:tr2bl w:val="nil"/>
                  </w:tcBorders>
                  <w:shd w:val="clear" w:color="auto" w:fill="D7D7D7" w:themeFill="background1" w:themeFillShade="D8"/>
                  <w:vAlign w:val="center"/>
                </w:tcPr>
                <w:p w14:paraId="3878CD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南</w:t>
                  </w:r>
                </w:p>
              </w:tc>
              <w:tc>
                <w:tcPr>
                  <w:tcW w:w="325" w:type="pct"/>
                  <w:tcBorders>
                    <w:tl2br w:val="nil"/>
                    <w:tr2bl w:val="nil"/>
                  </w:tcBorders>
                  <w:shd w:val="clear" w:color="auto" w:fill="D7D7D7" w:themeFill="background1" w:themeFillShade="D8"/>
                  <w:vAlign w:val="center"/>
                </w:tcPr>
                <w:p w14:paraId="4296BD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西</w:t>
                  </w:r>
                </w:p>
              </w:tc>
              <w:tc>
                <w:tcPr>
                  <w:tcW w:w="325" w:type="pct"/>
                  <w:tcBorders>
                    <w:tl2br w:val="nil"/>
                    <w:tr2bl w:val="nil"/>
                  </w:tcBorders>
                  <w:shd w:val="clear" w:color="auto" w:fill="D7D7D7" w:themeFill="background1" w:themeFillShade="D8"/>
                  <w:vAlign w:val="center"/>
                </w:tcPr>
                <w:p w14:paraId="626825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北</w:t>
                  </w:r>
                </w:p>
              </w:tc>
              <w:tc>
                <w:tcPr>
                  <w:tcW w:w="116" w:type="pct"/>
                  <w:tcBorders>
                    <w:tl2br w:val="nil"/>
                    <w:tr2bl w:val="nil"/>
                  </w:tcBorders>
                  <w:shd w:val="clear" w:color="auto" w:fill="D7D7D7" w:themeFill="background1" w:themeFillShade="D8"/>
                  <w:vAlign w:val="center"/>
                </w:tcPr>
                <w:p w14:paraId="63AE0B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建筑物外距离</w:t>
                  </w:r>
                </w:p>
              </w:tc>
            </w:tr>
            <w:tr w14:paraId="54515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 w:type="pct"/>
                  <w:tcBorders>
                    <w:tl2br w:val="nil"/>
                    <w:tr2bl w:val="nil"/>
                  </w:tcBorders>
                  <w:shd w:val="clear" w:color="000000" w:fill="FFFFFF"/>
                  <w:vAlign w:val="center"/>
                </w:tcPr>
                <w:p w14:paraId="4B9C0A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c>
                <w:tcPr>
                  <w:tcW w:w="116" w:type="pct"/>
                  <w:vMerge w:val="restart"/>
                  <w:tcBorders>
                    <w:tl2br w:val="nil"/>
                    <w:tr2bl w:val="nil"/>
                  </w:tcBorders>
                  <w:shd w:val="clear" w:color="000000" w:fill="FFFFFF"/>
                  <w:vAlign w:val="center"/>
                </w:tcPr>
                <w:p w14:paraId="6B06A5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生产车间</w:t>
                  </w:r>
                </w:p>
              </w:tc>
              <w:tc>
                <w:tcPr>
                  <w:tcW w:w="116" w:type="pct"/>
                  <w:tcBorders>
                    <w:tl2br w:val="nil"/>
                    <w:tr2bl w:val="nil"/>
                  </w:tcBorders>
                  <w:shd w:val="clear" w:color="000000" w:fill="FFFFFF"/>
                  <w:vAlign w:val="center"/>
                </w:tcPr>
                <w:p w14:paraId="60EFBD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磁控溅射线</w:t>
                  </w:r>
                </w:p>
              </w:tc>
              <w:tc>
                <w:tcPr>
                  <w:tcW w:w="286" w:type="pct"/>
                  <w:tcBorders>
                    <w:tl2br w:val="nil"/>
                    <w:tr2bl w:val="nil"/>
                  </w:tcBorders>
                  <w:shd w:val="clear" w:color="000000" w:fill="FFFFFF"/>
                  <w:vAlign w:val="center"/>
                </w:tcPr>
                <w:p w14:paraId="25B7D8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QZWL-19</w:t>
                  </w:r>
                </w:p>
                <w:p w14:paraId="3DD5B0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00</w:t>
                  </w:r>
                </w:p>
              </w:tc>
              <w:tc>
                <w:tcPr>
                  <w:tcW w:w="208" w:type="pct"/>
                  <w:tcBorders>
                    <w:tl2br w:val="nil"/>
                    <w:tr2bl w:val="nil"/>
                  </w:tcBorders>
                  <w:shd w:val="clear" w:color="000000" w:fill="FFFFFF"/>
                  <w:vAlign w:val="center"/>
                </w:tcPr>
                <w:p w14:paraId="29FBD0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80</w:t>
                  </w:r>
                </w:p>
              </w:tc>
              <w:tc>
                <w:tcPr>
                  <w:tcW w:w="169" w:type="pct"/>
                  <w:vMerge w:val="restart"/>
                  <w:tcBorders>
                    <w:tl2br w:val="nil"/>
                    <w:tr2bl w:val="nil"/>
                  </w:tcBorders>
                  <w:shd w:val="clear" w:color="000000" w:fill="FFFFFF"/>
                  <w:vAlign w:val="center"/>
                </w:tcPr>
                <w:p w14:paraId="08F071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减振底座、建筑隔声、吸声、门窗紧闭</w:t>
                  </w:r>
                </w:p>
              </w:tc>
              <w:tc>
                <w:tcPr>
                  <w:tcW w:w="186" w:type="pct"/>
                  <w:tcBorders>
                    <w:tl2br w:val="nil"/>
                    <w:tr2bl w:val="nil"/>
                  </w:tcBorders>
                  <w:shd w:val="clear" w:color="000000" w:fill="FFFFFF"/>
                  <w:vAlign w:val="center"/>
                </w:tcPr>
                <w:p w14:paraId="20A0D6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-16，22，0</w:t>
                  </w:r>
                </w:p>
              </w:tc>
              <w:tc>
                <w:tcPr>
                  <w:tcW w:w="116" w:type="pct"/>
                  <w:tcBorders>
                    <w:tl2br w:val="nil"/>
                    <w:tr2bl w:val="nil"/>
                  </w:tcBorders>
                  <w:shd w:val="clear" w:color="000000" w:fill="FFFFFF"/>
                  <w:vAlign w:val="center"/>
                </w:tcPr>
                <w:p w14:paraId="5C0DF0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10</w:t>
                  </w:r>
                </w:p>
              </w:tc>
              <w:tc>
                <w:tcPr>
                  <w:tcW w:w="116" w:type="pct"/>
                  <w:tcBorders>
                    <w:tl2br w:val="nil"/>
                    <w:tr2bl w:val="nil"/>
                  </w:tcBorders>
                  <w:shd w:val="clear" w:color="000000" w:fill="FFFFFF"/>
                  <w:vAlign w:val="center"/>
                </w:tcPr>
                <w:p w14:paraId="0AF502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28</w:t>
                  </w:r>
                </w:p>
              </w:tc>
              <w:tc>
                <w:tcPr>
                  <w:tcW w:w="116" w:type="pct"/>
                  <w:tcBorders>
                    <w:tl2br w:val="nil"/>
                    <w:tr2bl w:val="nil"/>
                  </w:tcBorders>
                  <w:shd w:val="clear" w:color="000000" w:fill="FFFFFF"/>
                  <w:vAlign w:val="center"/>
                </w:tcPr>
                <w:p w14:paraId="4F1932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15</w:t>
                  </w:r>
                </w:p>
              </w:tc>
              <w:tc>
                <w:tcPr>
                  <w:tcW w:w="116" w:type="pct"/>
                  <w:tcBorders>
                    <w:tl2br w:val="nil"/>
                    <w:tr2bl w:val="nil"/>
                  </w:tcBorders>
                  <w:shd w:val="clear" w:color="000000" w:fill="FFFFFF"/>
                  <w:vAlign w:val="center"/>
                </w:tcPr>
                <w:p w14:paraId="5EB4E9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20</w:t>
                  </w:r>
                </w:p>
              </w:tc>
              <w:tc>
                <w:tcPr>
                  <w:tcW w:w="325" w:type="pct"/>
                  <w:tcBorders>
                    <w:tl2br w:val="nil"/>
                    <w:tr2bl w:val="nil"/>
                  </w:tcBorders>
                  <w:shd w:val="clear" w:color="000000" w:fill="FFFFFF"/>
                  <w:vAlign w:val="center"/>
                </w:tcPr>
                <w:p w14:paraId="2F5FF8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等线" w:cs="Times New Roman"/>
                      <w:i w:val="0"/>
                      <w:iCs w:val="0"/>
                      <w:color w:val="auto"/>
                      <w:kern w:val="0"/>
                      <w:sz w:val="21"/>
                      <w:szCs w:val="21"/>
                      <w:u w:val="none"/>
                      <w:lang w:val="en-US" w:eastAsia="zh-CN" w:bidi="ar"/>
                    </w:rPr>
                    <w:t xml:space="preserve">44.01 </w:t>
                  </w:r>
                </w:p>
              </w:tc>
              <w:tc>
                <w:tcPr>
                  <w:tcW w:w="325" w:type="pct"/>
                  <w:tcBorders>
                    <w:tl2br w:val="nil"/>
                    <w:tr2bl w:val="nil"/>
                  </w:tcBorders>
                  <w:shd w:val="clear" w:color="000000" w:fill="FFFFFF"/>
                  <w:vAlign w:val="center"/>
                </w:tcPr>
                <w:p w14:paraId="5C0C74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等线" w:cs="Times New Roman"/>
                      <w:i w:val="0"/>
                      <w:iCs w:val="0"/>
                      <w:color w:val="auto"/>
                      <w:kern w:val="0"/>
                      <w:sz w:val="21"/>
                      <w:szCs w:val="21"/>
                      <w:u w:val="none"/>
                      <w:lang w:val="en-US" w:eastAsia="zh-CN" w:bidi="ar"/>
                    </w:rPr>
                    <w:t xml:space="preserve">35.06 </w:t>
                  </w:r>
                </w:p>
              </w:tc>
              <w:tc>
                <w:tcPr>
                  <w:tcW w:w="325" w:type="pct"/>
                  <w:tcBorders>
                    <w:tl2br w:val="nil"/>
                    <w:tr2bl w:val="nil"/>
                  </w:tcBorders>
                  <w:shd w:val="clear" w:color="000000" w:fill="FFFFFF"/>
                  <w:vAlign w:val="center"/>
                </w:tcPr>
                <w:p w14:paraId="6DBEFB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等线" w:cs="Times New Roman"/>
                      <w:i w:val="0"/>
                      <w:iCs w:val="0"/>
                      <w:color w:val="auto"/>
                      <w:kern w:val="0"/>
                      <w:sz w:val="21"/>
                      <w:szCs w:val="21"/>
                      <w:u w:val="none"/>
                      <w:lang w:val="en-US" w:eastAsia="zh-CN" w:bidi="ar"/>
                    </w:rPr>
                    <w:t xml:space="preserve">40.49 </w:t>
                  </w:r>
                </w:p>
              </w:tc>
              <w:tc>
                <w:tcPr>
                  <w:tcW w:w="325" w:type="pct"/>
                  <w:tcBorders>
                    <w:tl2br w:val="nil"/>
                    <w:tr2bl w:val="nil"/>
                  </w:tcBorders>
                  <w:shd w:val="clear" w:color="000000" w:fill="FFFFFF"/>
                  <w:vAlign w:val="center"/>
                </w:tcPr>
                <w:p w14:paraId="2B2F20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等线" w:cs="Times New Roman"/>
                      <w:i w:val="0"/>
                      <w:iCs w:val="0"/>
                      <w:color w:val="auto"/>
                      <w:kern w:val="0"/>
                      <w:sz w:val="21"/>
                      <w:szCs w:val="21"/>
                      <w:u w:val="none"/>
                      <w:lang w:val="en-US" w:eastAsia="zh-CN" w:bidi="ar"/>
                    </w:rPr>
                    <w:t xml:space="preserve">37.99 </w:t>
                  </w:r>
                </w:p>
              </w:tc>
              <w:tc>
                <w:tcPr>
                  <w:tcW w:w="142" w:type="pct"/>
                  <w:tcBorders>
                    <w:tl2br w:val="nil"/>
                    <w:tr2bl w:val="nil"/>
                  </w:tcBorders>
                  <w:shd w:val="clear" w:color="000000" w:fill="FFFFFF"/>
                  <w:vAlign w:val="center"/>
                </w:tcPr>
                <w:p w14:paraId="782331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24h</w:t>
                  </w:r>
                </w:p>
              </w:tc>
              <w:tc>
                <w:tcPr>
                  <w:tcW w:w="116" w:type="pct"/>
                  <w:tcBorders>
                    <w:tl2br w:val="nil"/>
                    <w:tr2bl w:val="nil"/>
                  </w:tcBorders>
                  <w:shd w:val="clear" w:color="000000" w:fill="FFFFFF"/>
                  <w:vAlign w:val="center"/>
                </w:tcPr>
                <w:p w14:paraId="1E9604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c>
                <w:tcPr>
                  <w:tcW w:w="116" w:type="pct"/>
                  <w:tcBorders>
                    <w:tl2br w:val="nil"/>
                    <w:tr2bl w:val="nil"/>
                  </w:tcBorders>
                  <w:shd w:val="clear" w:color="000000" w:fill="FFFFFF"/>
                  <w:vAlign w:val="center"/>
                </w:tcPr>
                <w:p w14:paraId="41069D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c>
                <w:tcPr>
                  <w:tcW w:w="116" w:type="pct"/>
                  <w:tcBorders>
                    <w:tl2br w:val="nil"/>
                    <w:tr2bl w:val="nil"/>
                  </w:tcBorders>
                  <w:shd w:val="clear" w:color="000000" w:fill="FFFFFF"/>
                  <w:vAlign w:val="center"/>
                </w:tcPr>
                <w:p w14:paraId="46CF19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c>
                <w:tcPr>
                  <w:tcW w:w="116" w:type="pct"/>
                  <w:tcBorders>
                    <w:tl2br w:val="nil"/>
                    <w:tr2bl w:val="nil"/>
                  </w:tcBorders>
                  <w:shd w:val="clear" w:color="000000" w:fill="FFFFFF"/>
                  <w:vAlign w:val="center"/>
                </w:tcPr>
                <w:p w14:paraId="3A82F6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c>
                <w:tcPr>
                  <w:tcW w:w="325" w:type="pct"/>
                  <w:tcBorders>
                    <w:tl2br w:val="nil"/>
                    <w:tr2bl w:val="nil"/>
                  </w:tcBorders>
                  <w:shd w:val="clear" w:color="000000" w:fill="FFFFFF"/>
                  <w:vAlign w:val="center"/>
                </w:tcPr>
                <w:p w14:paraId="6BF88C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等线" w:cs="Times New Roman"/>
                      <w:i w:val="0"/>
                      <w:iCs w:val="0"/>
                      <w:color w:val="auto"/>
                      <w:kern w:val="0"/>
                      <w:sz w:val="21"/>
                      <w:szCs w:val="21"/>
                      <w:u w:val="none"/>
                      <w:lang w:val="en-US" w:eastAsia="zh-CN" w:bidi="ar"/>
                    </w:rPr>
                    <w:t xml:space="preserve">24.01 </w:t>
                  </w:r>
                </w:p>
              </w:tc>
              <w:tc>
                <w:tcPr>
                  <w:tcW w:w="325" w:type="pct"/>
                  <w:tcBorders>
                    <w:tl2br w:val="nil"/>
                    <w:tr2bl w:val="nil"/>
                  </w:tcBorders>
                  <w:shd w:val="clear" w:color="000000" w:fill="FFFFFF"/>
                  <w:vAlign w:val="center"/>
                </w:tcPr>
                <w:p w14:paraId="3980FE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等线" w:cs="Times New Roman"/>
                      <w:i w:val="0"/>
                      <w:iCs w:val="0"/>
                      <w:color w:val="auto"/>
                      <w:kern w:val="0"/>
                      <w:sz w:val="21"/>
                      <w:szCs w:val="21"/>
                      <w:u w:val="none"/>
                      <w:lang w:val="en-US" w:eastAsia="zh-CN" w:bidi="ar"/>
                    </w:rPr>
                    <w:t xml:space="preserve">15.06 </w:t>
                  </w:r>
                </w:p>
              </w:tc>
              <w:tc>
                <w:tcPr>
                  <w:tcW w:w="325" w:type="pct"/>
                  <w:tcBorders>
                    <w:tl2br w:val="nil"/>
                    <w:tr2bl w:val="nil"/>
                  </w:tcBorders>
                  <w:shd w:val="clear" w:color="000000" w:fill="FFFFFF"/>
                  <w:vAlign w:val="center"/>
                </w:tcPr>
                <w:p w14:paraId="60618D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等线" w:cs="Times New Roman"/>
                      <w:i w:val="0"/>
                      <w:iCs w:val="0"/>
                      <w:color w:val="auto"/>
                      <w:kern w:val="0"/>
                      <w:sz w:val="21"/>
                      <w:szCs w:val="21"/>
                      <w:u w:val="none"/>
                      <w:lang w:val="en-US" w:eastAsia="zh-CN" w:bidi="ar"/>
                    </w:rPr>
                    <w:t xml:space="preserve">20.49 </w:t>
                  </w:r>
                </w:p>
              </w:tc>
              <w:tc>
                <w:tcPr>
                  <w:tcW w:w="325" w:type="pct"/>
                  <w:tcBorders>
                    <w:tl2br w:val="nil"/>
                    <w:tr2bl w:val="nil"/>
                  </w:tcBorders>
                  <w:shd w:val="clear" w:color="000000" w:fill="FFFFFF"/>
                  <w:vAlign w:val="center"/>
                </w:tcPr>
                <w:p w14:paraId="345B9B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等线" w:cs="Times New Roman"/>
                      <w:i w:val="0"/>
                      <w:iCs w:val="0"/>
                      <w:color w:val="auto"/>
                      <w:kern w:val="0"/>
                      <w:sz w:val="21"/>
                      <w:szCs w:val="21"/>
                      <w:u w:val="none"/>
                      <w:lang w:val="en-US" w:eastAsia="zh-CN" w:bidi="ar"/>
                    </w:rPr>
                    <w:t xml:space="preserve">17.99 </w:t>
                  </w:r>
                </w:p>
              </w:tc>
              <w:tc>
                <w:tcPr>
                  <w:tcW w:w="116" w:type="pct"/>
                  <w:tcBorders>
                    <w:tl2br w:val="nil"/>
                    <w:tr2bl w:val="nil"/>
                  </w:tcBorders>
                  <w:shd w:val="clear" w:color="000000" w:fill="FFFFFF"/>
                  <w:vAlign w:val="center"/>
                </w:tcPr>
                <w:p w14:paraId="01EACC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36D8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6" w:type="pct"/>
                  <w:tcBorders>
                    <w:tl2br w:val="nil"/>
                    <w:tr2bl w:val="nil"/>
                  </w:tcBorders>
                  <w:shd w:val="clear" w:color="000000" w:fill="FFFFFF"/>
                  <w:vAlign w:val="center"/>
                </w:tcPr>
                <w:p w14:paraId="486BFC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2</w:t>
                  </w:r>
                </w:p>
              </w:tc>
              <w:tc>
                <w:tcPr>
                  <w:tcW w:w="116" w:type="pct"/>
                  <w:vMerge w:val="continue"/>
                  <w:tcBorders>
                    <w:tl2br w:val="nil"/>
                    <w:tr2bl w:val="nil"/>
                  </w:tcBorders>
                  <w:shd w:val="clear" w:color="000000" w:fill="FFFFFF"/>
                  <w:vAlign w:val="center"/>
                </w:tcPr>
                <w:p w14:paraId="264E24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116" w:type="pct"/>
                  <w:tcBorders>
                    <w:tl2br w:val="nil"/>
                    <w:tr2bl w:val="nil"/>
                  </w:tcBorders>
                  <w:shd w:val="clear" w:color="000000" w:fill="FFFFFF"/>
                  <w:vAlign w:val="center"/>
                </w:tcPr>
                <w:p w14:paraId="11D652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气体传输系统</w:t>
                  </w:r>
                </w:p>
              </w:tc>
              <w:tc>
                <w:tcPr>
                  <w:tcW w:w="286" w:type="pct"/>
                  <w:tcBorders>
                    <w:tl2br w:val="nil"/>
                    <w:tr2bl w:val="nil"/>
                  </w:tcBorders>
                  <w:shd w:val="clear" w:color="000000" w:fill="FFFFFF"/>
                  <w:vAlign w:val="center"/>
                </w:tcPr>
                <w:p w14:paraId="70B0A4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208" w:type="pct"/>
                  <w:tcBorders>
                    <w:tl2br w:val="nil"/>
                    <w:tr2bl w:val="nil"/>
                  </w:tcBorders>
                  <w:shd w:val="clear" w:color="000000" w:fill="FFFFFF"/>
                  <w:vAlign w:val="center"/>
                </w:tcPr>
                <w:p w14:paraId="31D4FF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75</w:t>
                  </w:r>
                </w:p>
              </w:tc>
              <w:tc>
                <w:tcPr>
                  <w:tcW w:w="169" w:type="pct"/>
                  <w:vMerge w:val="continue"/>
                  <w:tcBorders>
                    <w:tl2br w:val="nil"/>
                    <w:tr2bl w:val="nil"/>
                  </w:tcBorders>
                  <w:shd w:val="clear" w:color="000000" w:fill="FFFFFF"/>
                  <w:vAlign w:val="center"/>
                </w:tcPr>
                <w:p w14:paraId="123C5A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p>
              </w:tc>
              <w:tc>
                <w:tcPr>
                  <w:tcW w:w="186" w:type="pct"/>
                  <w:tcBorders>
                    <w:tl2br w:val="nil"/>
                    <w:tr2bl w:val="nil"/>
                  </w:tcBorders>
                  <w:shd w:val="clear" w:color="000000" w:fill="FFFFFF"/>
                  <w:vAlign w:val="center"/>
                </w:tcPr>
                <w:p w14:paraId="7FAC2C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r>
                    <w:rPr>
                      <w:rFonts w:hint="eastAsia" w:cs="Times New Roman"/>
                      <w:color w:val="auto"/>
                      <w:sz w:val="18"/>
                      <w:szCs w:val="18"/>
                      <w:lang w:val="en-US" w:eastAsia="zh-CN"/>
                    </w:rPr>
                    <w:t>8</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15</w:t>
                  </w:r>
                  <w:r>
                    <w:rPr>
                      <w:rFonts w:hint="default" w:ascii="Times New Roman" w:hAnsi="Times New Roman" w:eastAsia="宋体" w:cs="Times New Roman"/>
                      <w:color w:val="auto"/>
                      <w:sz w:val="18"/>
                      <w:szCs w:val="18"/>
                    </w:rPr>
                    <w:t>，0</w:t>
                  </w:r>
                </w:p>
              </w:tc>
              <w:tc>
                <w:tcPr>
                  <w:tcW w:w="116" w:type="pct"/>
                  <w:tcBorders>
                    <w:tl2br w:val="nil"/>
                    <w:tr2bl w:val="nil"/>
                  </w:tcBorders>
                  <w:shd w:val="clear" w:color="000000" w:fill="FFFFFF"/>
                  <w:vAlign w:val="center"/>
                </w:tcPr>
                <w:p w14:paraId="54956D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8</w:t>
                  </w:r>
                </w:p>
              </w:tc>
              <w:tc>
                <w:tcPr>
                  <w:tcW w:w="116" w:type="pct"/>
                  <w:tcBorders>
                    <w:tl2br w:val="nil"/>
                    <w:tr2bl w:val="nil"/>
                  </w:tcBorders>
                  <w:shd w:val="clear" w:color="000000" w:fill="FFFFFF"/>
                  <w:vAlign w:val="center"/>
                </w:tcPr>
                <w:p w14:paraId="197EBF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35</w:t>
                  </w:r>
                </w:p>
              </w:tc>
              <w:tc>
                <w:tcPr>
                  <w:tcW w:w="116" w:type="pct"/>
                  <w:tcBorders>
                    <w:tl2br w:val="nil"/>
                    <w:tr2bl w:val="nil"/>
                  </w:tcBorders>
                  <w:shd w:val="clear" w:color="000000" w:fill="FFFFFF"/>
                  <w:vAlign w:val="center"/>
                </w:tcPr>
                <w:p w14:paraId="365A4E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17</w:t>
                  </w:r>
                </w:p>
              </w:tc>
              <w:tc>
                <w:tcPr>
                  <w:tcW w:w="116" w:type="pct"/>
                  <w:tcBorders>
                    <w:tl2br w:val="nil"/>
                    <w:tr2bl w:val="nil"/>
                  </w:tcBorders>
                  <w:shd w:val="clear" w:color="000000" w:fill="FFFFFF"/>
                  <w:vAlign w:val="center"/>
                </w:tcPr>
                <w:p w14:paraId="05DA53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13</w:t>
                  </w:r>
                </w:p>
              </w:tc>
              <w:tc>
                <w:tcPr>
                  <w:tcW w:w="325" w:type="pct"/>
                  <w:tcBorders>
                    <w:tl2br w:val="nil"/>
                    <w:tr2bl w:val="nil"/>
                  </w:tcBorders>
                  <w:shd w:val="clear" w:color="000000" w:fill="FFFFFF"/>
                  <w:vAlign w:val="center"/>
                </w:tcPr>
                <w:p w14:paraId="69F071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等线" w:cs="Times New Roman"/>
                      <w:i w:val="0"/>
                      <w:iCs w:val="0"/>
                      <w:color w:val="auto"/>
                      <w:kern w:val="0"/>
                      <w:sz w:val="21"/>
                      <w:szCs w:val="21"/>
                      <w:u w:val="none"/>
                      <w:lang w:val="en-US" w:eastAsia="zh-CN" w:bidi="ar"/>
                    </w:rPr>
                    <w:t xml:space="preserve">45.95 </w:t>
                  </w:r>
                </w:p>
              </w:tc>
              <w:tc>
                <w:tcPr>
                  <w:tcW w:w="325" w:type="pct"/>
                  <w:tcBorders>
                    <w:tl2br w:val="nil"/>
                    <w:tr2bl w:val="nil"/>
                  </w:tcBorders>
                  <w:shd w:val="clear" w:color="000000" w:fill="FFFFFF"/>
                  <w:vAlign w:val="center"/>
                </w:tcPr>
                <w:p w14:paraId="7D6DCB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等线" w:cs="Times New Roman"/>
                      <w:i w:val="0"/>
                      <w:iCs w:val="0"/>
                      <w:color w:val="auto"/>
                      <w:kern w:val="0"/>
                      <w:sz w:val="21"/>
                      <w:szCs w:val="21"/>
                      <w:u w:val="none"/>
                      <w:lang w:val="en-US" w:eastAsia="zh-CN" w:bidi="ar"/>
                    </w:rPr>
                    <w:t xml:space="preserve">33.13 </w:t>
                  </w:r>
                </w:p>
              </w:tc>
              <w:tc>
                <w:tcPr>
                  <w:tcW w:w="325" w:type="pct"/>
                  <w:tcBorders>
                    <w:tl2br w:val="nil"/>
                    <w:tr2bl w:val="nil"/>
                  </w:tcBorders>
                  <w:shd w:val="clear" w:color="000000" w:fill="FFFFFF"/>
                  <w:vAlign w:val="center"/>
                </w:tcPr>
                <w:p w14:paraId="155261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等线" w:cs="Times New Roman"/>
                      <w:i w:val="0"/>
                      <w:iCs w:val="0"/>
                      <w:color w:val="auto"/>
                      <w:kern w:val="0"/>
                      <w:sz w:val="21"/>
                      <w:szCs w:val="21"/>
                      <w:u w:val="none"/>
                      <w:lang w:val="en-US" w:eastAsia="zh-CN" w:bidi="ar"/>
                    </w:rPr>
                    <w:t xml:space="preserve">39.40 </w:t>
                  </w:r>
                </w:p>
              </w:tc>
              <w:tc>
                <w:tcPr>
                  <w:tcW w:w="325" w:type="pct"/>
                  <w:tcBorders>
                    <w:tl2br w:val="nil"/>
                    <w:tr2bl w:val="nil"/>
                  </w:tcBorders>
                  <w:shd w:val="clear" w:color="000000" w:fill="FFFFFF"/>
                  <w:vAlign w:val="center"/>
                </w:tcPr>
                <w:p w14:paraId="2721DA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等线" w:cs="Times New Roman"/>
                      <w:i w:val="0"/>
                      <w:iCs w:val="0"/>
                      <w:color w:val="auto"/>
                      <w:kern w:val="0"/>
                      <w:sz w:val="21"/>
                      <w:szCs w:val="21"/>
                      <w:u w:val="none"/>
                      <w:lang w:val="en-US" w:eastAsia="zh-CN" w:bidi="ar"/>
                    </w:rPr>
                    <w:t xml:space="preserve">41.73 </w:t>
                  </w:r>
                </w:p>
              </w:tc>
              <w:tc>
                <w:tcPr>
                  <w:tcW w:w="142" w:type="pct"/>
                  <w:tcBorders>
                    <w:tl2br w:val="nil"/>
                    <w:tr2bl w:val="nil"/>
                  </w:tcBorders>
                  <w:shd w:val="clear" w:color="000000" w:fill="FFFFFF"/>
                  <w:vAlign w:val="center"/>
                </w:tcPr>
                <w:p w14:paraId="0EBCC6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24h</w:t>
                  </w:r>
                </w:p>
              </w:tc>
              <w:tc>
                <w:tcPr>
                  <w:tcW w:w="116" w:type="pct"/>
                  <w:tcBorders>
                    <w:tl2br w:val="nil"/>
                    <w:tr2bl w:val="nil"/>
                  </w:tcBorders>
                  <w:shd w:val="clear" w:color="000000" w:fill="FFFFFF"/>
                  <w:vAlign w:val="center"/>
                </w:tcPr>
                <w:p w14:paraId="050DBD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c>
                <w:tcPr>
                  <w:tcW w:w="116" w:type="pct"/>
                  <w:tcBorders>
                    <w:tl2br w:val="nil"/>
                    <w:tr2bl w:val="nil"/>
                  </w:tcBorders>
                  <w:shd w:val="clear" w:color="000000" w:fill="FFFFFF"/>
                  <w:vAlign w:val="center"/>
                </w:tcPr>
                <w:p w14:paraId="2E150B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c>
                <w:tcPr>
                  <w:tcW w:w="116" w:type="pct"/>
                  <w:tcBorders>
                    <w:tl2br w:val="nil"/>
                    <w:tr2bl w:val="nil"/>
                  </w:tcBorders>
                  <w:shd w:val="clear" w:color="000000" w:fill="FFFFFF"/>
                  <w:vAlign w:val="center"/>
                </w:tcPr>
                <w:p w14:paraId="414B83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c>
                <w:tcPr>
                  <w:tcW w:w="116" w:type="pct"/>
                  <w:tcBorders>
                    <w:tl2br w:val="nil"/>
                    <w:tr2bl w:val="nil"/>
                  </w:tcBorders>
                  <w:shd w:val="clear" w:color="000000" w:fill="FFFFFF"/>
                  <w:vAlign w:val="center"/>
                </w:tcPr>
                <w:p w14:paraId="7C9D6E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c>
                <w:tcPr>
                  <w:tcW w:w="325" w:type="pct"/>
                  <w:tcBorders>
                    <w:tl2br w:val="nil"/>
                    <w:tr2bl w:val="nil"/>
                  </w:tcBorders>
                  <w:shd w:val="clear" w:color="000000" w:fill="FFFFFF"/>
                  <w:vAlign w:val="center"/>
                </w:tcPr>
                <w:p w14:paraId="7D0625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等线" w:cs="Times New Roman"/>
                      <w:i w:val="0"/>
                      <w:iCs w:val="0"/>
                      <w:color w:val="auto"/>
                      <w:kern w:val="0"/>
                      <w:sz w:val="21"/>
                      <w:szCs w:val="21"/>
                      <w:u w:val="none"/>
                      <w:lang w:val="en-US" w:eastAsia="zh-CN" w:bidi="ar"/>
                    </w:rPr>
                    <w:t xml:space="preserve">25.95 </w:t>
                  </w:r>
                </w:p>
              </w:tc>
              <w:tc>
                <w:tcPr>
                  <w:tcW w:w="325" w:type="pct"/>
                  <w:tcBorders>
                    <w:tl2br w:val="nil"/>
                    <w:tr2bl w:val="nil"/>
                  </w:tcBorders>
                  <w:shd w:val="clear" w:color="000000" w:fill="FFFFFF"/>
                  <w:vAlign w:val="center"/>
                </w:tcPr>
                <w:p w14:paraId="104006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等线" w:cs="Times New Roman"/>
                      <w:i w:val="0"/>
                      <w:iCs w:val="0"/>
                      <w:color w:val="auto"/>
                      <w:kern w:val="0"/>
                      <w:sz w:val="21"/>
                      <w:szCs w:val="21"/>
                      <w:u w:val="none"/>
                      <w:lang w:val="en-US" w:eastAsia="zh-CN" w:bidi="ar"/>
                    </w:rPr>
                    <w:t xml:space="preserve">13.13 </w:t>
                  </w:r>
                </w:p>
              </w:tc>
              <w:tc>
                <w:tcPr>
                  <w:tcW w:w="325" w:type="pct"/>
                  <w:tcBorders>
                    <w:tl2br w:val="nil"/>
                    <w:tr2bl w:val="nil"/>
                  </w:tcBorders>
                  <w:shd w:val="clear" w:color="000000" w:fill="FFFFFF"/>
                  <w:vAlign w:val="center"/>
                </w:tcPr>
                <w:p w14:paraId="4E90EB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等线" w:cs="Times New Roman"/>
                      <w:i w:val="0"/>
                      <w:iCs w:val="0"/>
                      <w:color w:val="auto"/>
                      <w:kern w:val="0"/>
                      <w:sz w:val="21"/>
                      <w:szCs w:val="21"/>
                      <w:u w:val="none"/>
                      <w:lang w:val="en-US" w:eastAsia="zh-CN" w:bidi="ar"/>
                    </w:rPr>
                    <w:t xml:space="preserve">19.40 </w:t>
                  </w:r>
                </w:p>
              </w:tc>
              <w:tc>
                <w:tcPr>
                  <w:tcW w:w="325" w:type="pct"/>
                  <w:tcBorders>
                    <w:tl2br w:val="nil"/>
                    <w:tr2bl w:val="nil"/>
                  </w:tcBorders>
                  <w:shd w:val="clear" w:color="000000" w:fill="FFFFFF"/>
                  <w:vAlign w:val="center"/>
                </w:tcPr>
                <w:p w14:paraId="72CCD6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等线" w:cs="Times New Roman"/>
                      <w:i w:val="0"/>
                      <w:iCs w:val="0"/>
                      <w:color w:val="auto"/>
                      <w:kern w:val="0"/>
                      <w:sz w:val="21"/>
                      <w:szCs w:val="21"/>
                      <w:u w:val="none"/>
                      <w:lang w:val="en-US" w:eastAsia="zh-CN" w:bidi="ar"/>
                    </w:rPr>
                    <w:t xml:space="preserve">21.73 </w:t>
                  </w:r>
                </w:p>
              </w:tc>
              <w:tc>
                <w:tcPr>
                  <w:tcW w:w="116" w:type="pct"/>
                  <w:tcBorders>
                    <w:tl2br w:val="nil"/>
                    <w:tr2bl w:val="nil"/>
                  </w:tcBorders>
                  <w:shd w:val="clear" w:color="000000" w:fill="FFFFFF"/>
                  <w:vAlign w:val="center"/>
                </w:tcPr>
                <w:p w14:paraId="61EEA5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r>
          </w:tbl>
          <w:p w14:paraId="2DDEB8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rPr>
            </w:pPr>
            <w:r>
              <w:rPr>
                <w:b/>
                <w:bCs/>
                <w:color w:val="auto"/>
              </w:rPr>
              <w:t>注：</w:t>
            </w:r>
            <w:r>
              <w:rPr>
                <w:rFonts w:hint="eastAsia"/>
                <w:b/>
                <w:bCs/>
                <w:color w:val="auto"/>
              </w:rPr>
              <w:t>表中坐标以车间中心（121.421035，32.112011）为坐标原点，正东向为X轴正方向，正北向为Y轴正方向。</w:t>
            </w:r>
          </w:p>
          <w:bookmarkEnd w:id="13"/>
          <w:p w14:paraId="59C7F267">
            <w:pPr>
              <w:pStyle w:val="75"/>
              <w:rPr>
                <w:color w:val="auto"/>
              </w:rPr>
            </w:pPr>
          </w:p>
          <w:p w14:paraId="66AB42D7">
            <w:pPr>
              <w:pStyle w:val="75"/>
              <w:rPr>
                <w:color w:val="auto"/>
              </w:rPr>
            </w:pPr>
          </w:p>
        </w:tc>
      </w:tr>
    </w:tbl>
    <w:p w14:paraId="7C52A140">
      <w:pPr>
        <w:ind w:firstLine="420"/>
        <w:rPr>
          <w:color w:val="auto"/>
        </w:rPr>
        <w:sectPr>
          <w:pgSz w:w="16838" w:h="11906" w:orient="landscape"/>
          <w:pgMar w:top="1418" w:right="1418" w:bottom="1418" w:left="1418" w:header="851" w:footer="850" w:gutter="284"/>
          <w:pgBorders>
            <w:top w:val="none" w:sz="0" w:space="0"/>
            <w:left w:val="none" w:sz="0" w:space="0"/>
            <w:bottom w:val="none" w:sz="0" w:space="0"/>
            <w:right w:val="none" w:sz="0" w:space="0"/>
          </w:pgBorders>
          <w:cols w:space="0" w:num="1"/>
          <w:docGrid w:linePitch="312" w:charSpace="0"/>
        </w:sectPr>
      </w:pPr>
    </w:p>
    <w:tbl>
      <w:tblPr>
        <w:tblStyle w:val="30"/>
        <w:tblW w:w="940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8883"/>
      </w:tblGrid>
      <w:tr w14:paraId="5699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5" w:type="dxa"/>
          </w:tcPr>
          <w:p w14:paraId="1CF7F611">
            <w:pPr>
              <w:pStyle w:val="75"/>
              <w:rPr>
                <w:color w:val="auto"/>
              </w:rPr>
            </w:pPr>
          </w:p>
        </w:tc>
        <w:tc>
          <w:tcPr>
            <w:tcW w:w="8883" w:type="dxa"/>
          </w:tcPr>
          <w:p w14:paraId="480DB6BE">
            <w:pPr>
              <w:spacing w:line="240" w:lineRule="auto"/>
              <w:ind w:firstLine="422"/>
              <w:jc w:val="center"/>
              <w:rPr>
                <w:rFonts w:cs="Times New Roman"/>
                <w:b/>
                <w:color w:val="auto"/>
                <w:sz w:val="21"/>
                <w:szCs w:val="21"/>
              </w:rPr>
            </w:pPr>
            <w:bookmarkStart w:id="15" w:name="_Hlk150939748"/>
            <w:r>
              <w:rPr>
                <w:rFonts w:cs="Times New Roman"/>
                <w:b/>
                <w:color w:val="auto"/>
                <w:sz w:val="21"/>
                <w:szCs w:val="21"/>
              </w:rPr>
              <w:t>表4-</w:t>
            </w:r>
            <w:r>
              <w:rPr>
                <w:rFonts w:hint="eastAsia" w:cs="Times New Roman"/>
                <w:b/>
                <w:color w:val="auto"/>
                <w:sz w:val="21"/>
                <w:szCs w:val="21"/>
                <w:lang w:val="en-US" w:eastAsia="zh-CN"/>
              </w:rPr>
              <w:t>2</w:t>
            </w:r>
            <w:r>
              <w:rPr>
                <w:rFonts w:hint="eastAsia" w:cs="Times New Roman"/>
                <w:b/>
                <w:color w:val="auto"/>
                <w:sz w:val="21"/>
                <w:szCs w:val="21"/>
              </w:rPr>
              <w:t xml:space="preserve">  </w:t>
            </w:r>
            <w:r>
              <w:rPr>
                <w:rFonts w:cs="Times New Roman"/>
                <w:b/>
                <w:color w:val="auto"/>
                <w:sz w:val="21"/>
                <w:szCs w:val="21"/>
              </w:rPr>
              <w:t>噪声预测结果一览表</w:t>
            </w:r>
            <w:r>
              <w:rPr>
                <w:rFonts w:hint="eastAsia" w:cs="Times New Roman"/>
                <w:b/>
                <w:color w:val="auto"/>
                <w:sz w:val="21"/>
                <w:szCs w:val="21"/>
                <w:lang w:val="en-US" w:eastAsia="zh-CN"/>
              </w:rPr>
              <w:t xml:space="preserve"> </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1759"/>
              <w:gridCol w:w="536"/>
              <w:gridCol w:w="615"/>
              <w:gridCol w:w="1109"/>
              <w:gridCol w:w="1109"/>
              <w:gridCol w:w="1109"/>
              <w:gridCol w:w="603"/>
              <w:gridCol w:w="611"/>
              <w:gridCol w:w="608"/>
            </w:tblGrid>
            <w:tr w14:paraId="78F7A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vMerge w:val="restart"/>
                  <w:tcBorders>
                    <w:tl2br w:val="nil"/>
                    <w:tr2bl w:val="nil"/>
                  </w:tcBorders>
                  <w:shd w:val="clear" w:color="auto" w:fill="D7D7D7" w:themeFill="background1" w:themeFillShade="D8"/>
                  <w:vAlign w:val="center"/>
                </w:tcPr>
                <w:p w14:paraId="67B2BEAB">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预测方位</w:t>
                  </w:r>
                </w:p>
              </w:tc>
              <w:tc>
                <w:tcPr>
                  <w:tcW w:w="1015" w:type="pct"/>
                  <w:tcBorders>
                    <w:tl2br w:val="nil"/>
                    <w:tr2bl w:val="nil"/>
                  </w:tcBorders>
                  <w:shd w:val="clear" w:color="auto" w:fill="D7D7D7" w:themeFill="background1" w:themeFillShade="D8"/>
                  <w:vAlign w:val="center"/>
                </w:tcPr>
                <w:p w14:paraId="2B1A0EB4">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最大值点空间相对位置/m</w:t>
                  </w:r>
                </w:p>
              </w:tc>
              <w:tc>
                <w:tcPr>
                  <w:tcW w:w="664" w:type="pct"/>
                  <w:gridSpan w:val="2"/>
                  <w:tcBorders>
                    <w:tl2br w:val="nil"/>
                    <w:tr2bl w:val="nil"/>
                  </w:tcBorders>
                  <w:shd w:val="clear" w:color="auto" w:fill="D7D7D7" w:themeFill="background1" w:themeFillShade="D8"/>
                  <w:vAlign w:val="center"/>
                </w:tcPr>
                <w:p w14:paraId="5938B842">
                  <w:pPr>
                    <w:widowControl/>
                    <w:spacing w:line="240" w:lineRule="auto"/>
                    <w:ind w:firstLine="0" w:firstLineChars="0"/>
                    <w:jc w:val="center"/>
                    <w:textAlignment w:val="center"/>
                    <w:rPr>
                      <w:rFonts w:hint="eastAsia" w:ascii="Times New Roman" w:hAnsi="Times New Roman" w:eastAsia="宋体" w:cs="Times New Roman"/>
                      <w:b/>
                      <w:bCs/>
                      <w:color w:val="auto"/>
                      <w:kern w:val="0"/>
                      <w:sz w:val="18"/>
                      <w:szCs w:val="18"/>
                      <w:lang w:val="en-US" w:eastAsia="zh-CN" w:bidi="ar"/>
                    </w:rPr>
                  </w:pPr>
                  <w:r>
                    <w:rPr>
                      <w:rFonts w:hint="eastAsia" w:ascii="Times New Roman" w:hAnsi="Times New Roman" w:eastAsia="宋体" w:cs="Times New Roman"/>
                      <w:b/>
                      <w:bCs/>
                      <w:color w:val="auto"/>
                      <w:kern w:val="0"/>
                      <w:sz w:val="18"/>
                      <w:szCs w:val="18"/>
                      <w:lang w:val="en-US" w:eastAsia="zh-CN" w:bidi="ar"/>
                    </w:rPr>
                    <w:t>现状值</w:t>
                  </w:r>
                  <w:r>
                    <w:rPr>
                      <w:rFonts w:hint="default" w:ascii="Times New Roman" w:hAnsi="Times New Roman" w:eastAsia="宋体" w:cs="Times New Roman"/>
                      <w:b/>
                      <w:bCs/>
                      <w:color w:val="auto"/>
                      <w:kern w:val="0"/>
                      <w:sz w:val="18"/>
                      <w:szCs w:val="18"/>
                      <w:lang w:bidi="ar"/>
                    </w:rPr>
                    <w:t>dB（A）</w:t>
                  </w:r>
                </w:p>
              </w:tc>
              <w:tc>
                <w:tcPr>
                  <w:tcW w:w="640" w:type="pct"/>
                  <w:vMerge w:val="restart"/>
                  <w:tcBorders>
                    <w:tl2br w:val="nil"/>
                    <w:tr2bl w:val="nil"/>
                  </w:tcBorders>
                  <w:shd w:val="clear" w:color="auto" w:fill="D7D7D7" w:themeFill="background1" w:themeFillShade="D8"/>
                  <w:vAlign w:val="center"/>
                </w:tcPr>
                <w:p w14:paraId="5892564F">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贡献值dB（A）</w:t>
                  </w:r>
                </w:p>
              </w:tc>
              <w:tc>
                <w:tcPr>
                  <w:tcW w:w="1280" w:type="pct"/>
                  <w:gridSpan w:val="2"/>
                  <w:tcBorders>
                    <w:tl2br w:val="nil"/>
                    <w:tr2bl w:val="nil"/>
                  </w:tcBorders>
                  <w:shd w:val="clear" w:color="auto" w:fill="D7D7D7" w:themeFill="background1" w:themeFillShade="D8"/>
                  <w:vAlign w:val="center"/>
                </w:tcPr>
                <w:p w14:paraId="199B9F0D">
                  <w:pPr>
                    <w:widowControl/>
                    <w:spacing w:line="240" w:lineRule="auto"/>
                    <w:ind w:firstLine="0" w:firstLineChars="0"/>
                    <w:jc w:val="center"/>
                    <w:textAlignment w:val="center"/>
                    <w:rPr>
                      <w:rFonts w:hint="eastAsia" w:ascii="Times New Roman" w:hAnsi="Times New Roman" w:eastAsia="宋体" w:cs="Times New Roman"/>
                      <w:b/>
                      <w:bCs/>
                      <w:color w:val="auto"/>
                      <w:kern w:val="0"/>
                      <w:sz w:val="18"/>
                      <w:szCs w:val="18"/>
                      <w:lang w:val="en-US" w:eastAsia="zh-CN" w:bidi="ar"/>
                    </w:rPr>
                  </w:pPr>
                  <w:r>
                    <w:rPr>
                      <w:rFonts w:hint="eastAsia" w:ascii="Times New Roman" w:hAnsi="Times New Roman" w:eastAsia="宋体" w:cs="Times New Roman"/>
                      <w:b/>
                      <w:bCs/>
                      <w:color w:val="auto"/>
                      <w:kern w:val="0"/>
                      <w:sz w:val="18"/>
                      <w:szCs w:val="18"/>
                      <w:lang w:val="en-US" w:eastAsia="zh-CN" w:bidi="ar"/>
                    </w:rPr>
                    <w:t>叠加影响后</w:t>
                  </w:r>
                  <w:r>
                    <w:rPr>
                      <w:rFonts w:hint="default" w:ascii="Times New Roman" w:hAnsi="Times New Roman" w:eastAsia="宋体" w:cs="Times New Roman"/>
                      <w:b/>
                      <w:bCs/>
                      <w:color w:val="auto"/>
                      <w:kern w:val="0"/>
                      <w:sz w:val="18"/>
                      <w:szCs w:val="18"/>
                      <w:lang w:bidi="ar"/>
                    </w:rPr>
                    <w:t>dB（A）</w:t>
                  </w:r>
                </w:p>
              </w:tc>
              <w:tc>
                <w:tcPr>
                  <w:tcW w:w="700" w:type="pct"/>
                  <w:gridSpan w:val="2"/>
                  <w:tcBorders>
                    <w:tl2br w:val="nil"/>
                    <w:tr2bl w:val="nil"/>
                  </w:tcBorders>
                  <w:shd w:val="clear" w:color="auto" w:fill="D7D7D7" w:themeFill="background1" w:themeFillShade="D8"/>
                  <w:vAlign w:val="center"/>
                </w:tcPr>
                <w:p w14:paraId="0FDE52E4">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标准限值dB（A）</w:t>
                  </w:r>
                </w:p>
              </w:tc>
              <w:tc>
                <w:tcPr>
                  <w:tcW w:w="350" w:type="pct"/>
                  <w:vMerge w:val="restart"/>
                  <w:tcBorders>
                    <w:tl2br w:val="nil"/>
                    <w:tr2bl w:val="nil"/>
                  </w:tcBorders>
                  <w:shd w:val="clear" w:color="auto" w:fill="D7D7D7" w:themeFill="background1" w:themeFillShade="D8"/>
                  <w:vAlign w:val="center"/>
                </w:tcPr>
                <w:p w14:paraId="1F659E96">
                  <w:pPr>
                    <w:widowControl/>
                    <w:spacing w:line="240" w:lineRule="auto"/>
                    <w:ind w:firstLine="0" w:firstLineChars="0"/>
                    <w:jc w:val="center"/>
                    <w:textAlignment w:val="center"/>
                    <w:rPr>
                      <w:rFonts w:hint="default" w:ascii="Times New Roman" w:hAnsi="Times New Roman" w:eastAsia="宋体" w:cs="Times New Roman"/>
                      <w:b/>
                      <w:bCs/>
                      <w:color w:val="auto"/>
                      <w:kern w:val="0"/>
                      <w:sz w:val="18"/>
                      <w:szCs w:val="18"/>
                      <w:lang w:bidi="ar"/>
                    </w:rPr>
                  </w:pPr>
                  <w:r>
                    <w:rPr>
                      <w:rFonts w:hint="default" w:ascii="Times New Roman" w:hAnsi="Times New Roman" w:eastAsia="宋体" w:cs="Times New Roman"/>
                      <w:b/>
                      <w:bCs/>
                      <w:color w:val="auto"/>
                      <w:kern w:val="0"/>
                      <w:sz w:val="18"/>
                      <w:szCs w:val="18"/>
                      <w:lang w:bidi="ar"/>
                    </w:rPr>
                    <w:t>达标情况</w:t>
                  </w:r>
                </w:p>
                <w:p w14:paraId="368A53E1">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p>
              </w:tc>
            </w:tr>
            <w:tr w14:paraId="59BB6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vMerge w:val="continue"/>
                  <w:tcBorders>
                    <w:tl2br w:val="nil"/>
                    <w:tr2bl w:val="nil"/>
                  </w:tcBorders>
                  <w:shd w:val="clear" w:color="auto" w:fill="D7D7D7" w:themeFill="background1" w:themeFillShade="D8"/>
                  <w:vAlign w:val="center"/>
                </w:tcPr>
                <w:p w14:paraId="286FD127">
                  <w:pPr>
                    <w:widowControl/>
                    <w:spacing w:line="240" w:lineRule="auto"/>
                    <w:ind w:firstLine="0" w:firstLineChars="0"/>
                    <w:jc w:val="center"/>
                    <w:rPr>
                      <w:rFonts w:hint="default" w:ascii="Times New Roman" w:hAnsi="Times New Roman" w:eastAsia="宋体" w:cs="Times New Roman"/>
                      <w:b/>
                      <w:bCs/>
                      <w:color w:val="auto"/>
                      <w:sz w:val="18"/>
                      <w:szCs w:val="18"/>
                    </w:rPr>
                  </w:pPr>
                </w:p>
              </w:tc>
              <w:tc>
                <w:tcPr>
                  <w:tcW w:w="1015" w:type="pct"/>
                  <w:tcBorders>
                    <w:tl2br w:val="nil"/>
                    <w:tr2bl w:val="nil"/>
                  </w:tcBorders>
                  <w:shd w:val="clear" w:color="auto" w:fill="D7D7D7" w:themeFill="background1" w:themeFillShade="D8"/>
                  <w:vAlign w:val="center"/>
                </w:tcPr>
                <w:p w14:paraId="72D072D3">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X，Y</w:t>
                  </w:r>
                </w:p>
              </w:tc>
              <w:tc>
                <w:tcPr>
                  <w:tcW w:w="309" w:type="pct"/>
                  <w:tcBorders>
                    <w:tl2br w:val="nil"/>
                    <w:tr2bl w:val="nil"/>
                  </w:tcBorders>
                  <w:shd w:val="clear" w:color="auto" w:fill="D7D7D7" w:themeFill="background1" w:themeFillShade="D8"/>
                  <w:vAlign w:val="center"/>
                </w:tcPr>
                <w:p w14:paraId="27D80A81">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昼间</w:t>
                  </w:r>
                </w:p>
              </w:tc>
              <w:tc>
                <w:tcPr>
                  <w:tcW w:w="354" w:type="pct"/>
                  <w:tcBorders>
                    <w:tl2br w:val="nil"/>
                    <w:tr2bl w:val="nil"/>
                  </w:tcBorders>
                  <w:shd w:val="clear" w:color="auto" w:fill="D7D7D7" w:themeFill="background1" w:themeFillShade="D8"/>
                  <w:vAlign w:val="center"/>
                </w:tcPr>
                <w:p w14:paraId="209DAD34">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val="en-US" w:eastAsia="zh-CN" w:bidi="ar"/>
                    </w:rPr>
                    <w:t>夜间</w:t>
                  </w:r>
                </w:p>
              </w:tc>
              <w:tc>
                <w:tcPr>
                  <w:tcW w:w="640" w:type="pct"/>
                  <w:vMerge w:val="continue"/>
                  <w:tcBorders>
                    <w:tl2br w:val="nil"/>
                    <w:tr2bl w:val="nil"/>
                  </w:tcBorders>
                  <w:shd w:val="clear" w:color="auto" w:fill="D7D7D7" w:themeFill="background1" w:themeFillShade="D8"/>
                  <w:vAlign w:val="center"/>
                </w:tcPr>
                <w:p w14:paraId="232F23F3">
                  <w:pPr>
                    <w:widowControl/>
                    <w:spacing w:line="240" w:lineRule="auto"/>
                    <w:ind w:firstLine="0" w:firstLineChars="0"/>
                    <w:jc w:val="center"/>
                    <w:rPr>
                      <w:rFonts w:hint="default" w:ascii="Times New Roman" w:hAnsi="Times New Roman" w:eastAsia="宋体" w:cs="Times New Roman"/>
                      <w:b/>
                      <w:bCs/>
                      <w:color w:val="auto"/>
                      <w:sz w:val="18"/>
                      <w:szCs w:val="18"/>
                    </w:rPr>
                  </w:pPr>
                </w:p>
              </w:tc>
              <w:tc>
                <w:tcPr>
                  <w:tcW w:w="640" w:type="pct"/>
                  <w:tcBorders>
                    <w:tl2br w:val="nil"/>
                    <w:tr2bl w:val="nil"/>
                  </w:tcBorders>
                  <w:shd w:val="clear" w:color="auto" w:fill="D7D7D7" w:themeFill="background1" w:themeFillShade="D8"/>
                  <w:vAlign w:val="center"/>
                </w:tcPr>
                <w:p w14:paraId="2B450B65">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昼间</w:t>
                  </w:r>
                </w:p>
              </w:tc>
              <w:tc>
                <w:tcPr>
                  <w:tcW w:w="640" w:type="pct"/>
                  <w:tcBorders>
                    <w:tl2br w:val="nil"/>
                    <w:tr2bl w:val="nil"/>
                  </w:tcBorders>
                  <w:shd w:val="clear" w:color="auto" w:fill="D7D7D7" w:themeFill="background1" w:themeFillShade="D8"/>
                  <w:vAlign w:val="center"/>
                </w:tcPr>
                <w:p w14:paraId="40C4D737">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val="en-US" w:eastAsia="zh-CN" w:bidi="ar"/>
                    </w:rPr>
                    <w:t>夜间</w:t>
                  </w:r>
                </w:p>
              </w:tc>
              <w:tc>
                <w:tcPr>
                  <w:tcW w:w="348" w:type="pct"/>
                  <w:tcBorders>
                    <w:tl2br w:val="nil"/>
                    <w:tr2bl w:val="nil"/>
                  </w:tcBorders>
                  <w:shd w:val="clear" w:color="auto" w:fill="D7D7D7" w:themeFill="background1" w:themeFillShade="D8"/>
                  <w:vAlign w:val="center"/>
                </w:tcPr>
                <w:p w14:paraId="7F1F870C">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kern w:val="0"/>
                      <w:sz w:val="18"/>
                      <w:szCs w:val="18"/>
                      <w:lang w:bidi="ar"/>
                    </w:rPr>
                    <w:t>昼间</w:t>
                  </w:r>
                </w:p>
              </w:tc>
              <w:tc>
                <w:tcPr>
                  <w:tcW w:w="352" w:type="pct"/>
                  <w:tcBorders>
                    <w:tl2br w:val="nil"/>
                    <w:tr2bl w:val="nil"/>
                  </w:tcBorders>
                  <w:shd w:val="clear" w:color="auto" w:fill="D7D7D7" w:themeFill="background1" w:themeFillShade="D8"/>
                  <w:vAlign w:val="center"/>
                </w:tcPr>
                <w:p w14:paraId="0A6EA0D6">
                  <w:pPr>
                    <w:widowControl/>
                    <w:spacing w:line="240" w:lineRule="auto"/>
                    <w:ind w:firstLine="0" w:firstLineChars="0"/>
                    <w:jc w:val="center"/>
                    <w:textAlignment w:val="center"/>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夜间</w:t>
                  </w:r>
                </w:p>
              </w:tc>
              <w:tc>
                <w:tcPr>
                  <w:tcW w:w="350" w:type="pct"/>
                  <w:vMerge w:val="continue"/>
                  <w:tcBorders>
                    <w:tl2br w:val="nil"/>
                    <w:tr2bl w:val="nil"/>
                  </w:tcBorders>
                  <w:shd w:val="clear" w:color="auto" w:fill="D7D7D7" w:themeFill="background1" w:themeFillShade="D8"/>
                  <w:vAlign w:val="center"/>
                </w:tcPr>
                <w:p w14:paraId="67121732">
                  <w:pPr>
                    <w:widowControl/>
                    <w:spacing w:line="240" w:lineRule="auto"/>
                    <w:ind w:firstLine="0" w:firstLineChars="0"/>
                    <w:jc w:val="center"/>
                    <w:textAlignment w:val="center"/>
                    <w:rPr>
                      <w:rFonts w:hint="default" w:ascii="Times New Roman" w:hAnsi="Times New Roman" w:eastAsia="宋体" w:cs="Times New Roman"/>
                      <w:b/>
                      <w:bCs/>
                      <w:color w:val="auto"/>
                      <w:sz w:val="18"/>
                      <w:szCs w:val="18"/>
                    </w:rPr>
                  </w:pPr>
                </w:p>
              </w:tc>
            </w:tr>
            <w:tr w14:paraId="2EA03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tcBorders>
                    <w:tl2br w:val="nil"/>
                    <w:tr2bl w:val="nil"/>
                  </w:tcBorders>
                  <w:shd w:val="clear" w:color="000000" w:fill="FFFFFF"/>
                  <w:vAlign w:val="center"/>
                </w:tcPr>
                <w:p w14:paraId="0793EF3F">
                  <w:pPr>
                    <w:widowControl/>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北侧厂界</w:t>
                  </w:r>
                </w:p>
              </w:tc>
              <w:tc>
                <w:tcPr>
                  <w:tcW w:w="1015" w:type="pct"/>
                  <w:tcBorders>
                    <w:tl2br w:val="nil"/>
                    <w:tr2bl w:val="nil"/>
                  </w:tcBorders>
                  <w:shd w:val="clear" w:color="000000" w:fill="FFFFFF"/>
                  <w:vAlign w:val="center"/>
                </w:tcPr>
                <w:p w14:paraId="19AB23D2">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-35，47</w:t>
                  </w:r>
                </w:p>
              </w:tc>
              <w:tc>
                <w:tcPr>
                  <w:tcW w:w="309" w:type="pct"/>
                  <w:tcBorders>
                    <w:tl2br w:val="nil"/>
                    <w:tr2bl w:val="nil"/>
                  </w:tcBorders>
                  <w:shd w:val="clear" w:color="000000" w:fill="FFFFFF"/>
                  <w:vAlign w:val="center"/>
                </w:tcPr>
                <w:p w14:paraId="21161F37">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60</w:t>
                  </w:r>
                </w:p>
              </w:tc>
              <w:tc>
                <w:tcPr>
                  <w:tcW w:w="354" w:type="pct"/>
                  <w:tcBorders>
                    <w:tl2br w:val="nil"/>
                    <w:tr2bl w:val="nil"/>
                  </w:tcBorders>
                  <w:shd w:val="clear" w:color="000000" w:fill="FFFFFF"/>
                  <w:vAlign w:val="center"/>
                </w:tcPr>
                <w:p w14:paraId="314EA27B">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44</w:t>
                  </w:r>
                </w:p>
              </w:tc>
              <w:tc>
                <w:tcPr>
                  <w:tcW w:w="640" w:type="pct"/>
                  <w:tcBorders>
                    <w:tl2br w:val="nil"/>
                    <w:tr2bl w:val="nil"/>
                  </w:tcBorders>
                  <w:shd w:val="clear" w:color="000000" w:fill="FFFFFF"/>
                  <w:vAlign w:val="center"/>
                </w:tcPr>
                <w:p w14:paraId="5458E3DD">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23.26 </w:t>
                  </w:r>
                </w:p>
              </w:tc>
              <w:tc>
                <w:tcPr>
                  <w:tcW w:w="640" w:type="pct"/>
                  <w:tcBorders>
                    <w:tl2br w:val="nil"/>
                    <w:tr2bl w:val="nil"/>
                  </w:tcBorders>
                  <w:shd w:val="clear" w:color="000000" w:fill="FFFFFF"/>
                  <w:vAlign w:val="center"/>
                </w:tcPr>
                <w:p w14:paraId="0685F047">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60.00 </w:t>
                  </w:r>
                </w:p>
              </w:tc>
              <w:tc>
                <w:tcPr>
                  <w:tcW w:w="640" w:type="pct"/>
                  <w:tcBorders>
                    <w:tl2br w:val="nil"/>
                    <w:tr2bl w:val="nil"/>
                  </w:tcBorders>
                  <w:shd w:val="clear" w:color="000000" w:fill="FFFFFF"/>
                  <w:vAlign w:val="center"/>
                </w:tcPr>
                <w:p w14:paraId="1BA4ACBE">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44.04 </w:t>
                  </w:r>
                </w:p>
              </w:tc>
              <w:tc>
                <w:tcPr>
                  <w:tcW w:w="348" w:type="pct"/>
                  <w:tcBorders>
                    <w:tl2br w:val="nil"/>
                    <w:tr2bl w:val="nil"/>
                  </w:tcBorders>
                  <w:shd w:val="clear" w:color="000000" w:fill="FFFFFF"/>
                  <w:vAlign w:val="center"/>
                </w:tcPr>
                <w:p w14:paraId="3A17D6F3">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65</w:t>
                  </w:r>
                </w:p>
              </w:tc>
              <w:tc>
                <w:tcPr>
                  <w:tcW w:w="352" w:type="pct"/>
                  <w:tcBorders>
                    <w:tl2br w:val="nil"/>
                    <w:tr2bl w:val="nil"/>
                  </w:tcBorders>
                  <w:shd w:val="clear" w:color="000000" w:fill="FFFFFF"/>
                  <w:vAlign w:val="center"/>
                </w:tcPr>
                <w:p w14:paraId="6821CDFB">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55</w:t>
                  </w:r>
                </w:p>
              </w:tc>
              <w:tc>
                <w:tcPr>
                  <w:tcW w:w="350" w:type="pct"/>
                  <w:tcBorders>
                    <w:tl2br w:val="nil"/>
                    <w:tr2bl w:val="nil"/>
                  </w:tcBorders>
                  <w:shd w:val="clear" w:color="000000" w:fill="FFFFFF"/>
                  <w:vAlign w:val="center"/>
                </w:tcPr>
                <w:p w14:paraId="3CD579DD">
                  <w:pPr>
                    <w:widowControl/>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达标</w:t>
                  </w:r>
                </w:p>
              </w:tc>
            </w:tr>
            <w:tr w14:paraId="0B01A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tcBorders>
                    <w:tl2br w:val="nil"/>
                    <w:tr2bl w:val="nil"/>
                  </w:tcBorders>
                  <w:shd w:val="clear" w:color="000000" w:fill="FFFFFF"/>
                  <w:vAlign w:val="center"/>
                </w:tcPr>
                <w:p w14:paraId="61FDE86A">
                  <w:pPr>
                    <w:widowControl/>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东侧厂界</w:t>
                  </w:r>
                </w:p>
              </w:tc>
              <w:tc>
                <w:tcPr>
                  <w:tcW w:w="1015" w:type="pct"/>
                  <w:tcBorders>
                    <w:tl2br w:val="nil"/>
                    <w:tr2bl w:val="nil"/>
                  </w:tcBorders>
                  <w:shd w:val="clear" w:color="000000" w:fill="FFFFFF"/>
                  <w:vAlign w:val="center"/>
                </w:tcPr>
                <w:p w14:paraId="3685E506">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102，45</w:t>
                  </w:r>
                </w:p>
              </w:tc>
              <w:tc>
                <w:tcPr>
                  <w:tcW w:w="309" w:type="pct"/>
                  <w:tcBorders>
                    <w:tl2br w:val="nil"/>
                    <w:tr2bl w:val="nil"/>
                  </w:tcBorders>
                  <w:shd w:val="clear" w:color="000000" w:fill="FFFFFF"/>
                  <w:vAlign w:val="center"/>
                </w:tcPr>
                <w:p w14:paraId="6A0DB340">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57</w:t>
                  </w:r>
                </w:p>
              </w:tc>
              <w:tc>
                <w:tcPr>
                  <w:tcW w:w="354" w:type="pct"/>
                  <w:tcBorders>
                    <w:tl2br w:val="nil"/>
                    <w:tr2bl w:val="nil"/>
                  </w:tcBorders>
                  <w:shd w:val="clear" w:color="000000" w:fill="FFFFFF"/>
                  <w:vAlign w:val="center"/>
                </w:tcPr>
                <w:p w14:paraId="2C76FA1F">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44.5</w:t>
                  </w:r>
                </w:p>
              </w:tc>
              <w:tc>
                <w:tcPr>
                  <w:tcW w:w="640" w:type="pct"/>
                  <w:tcBorders>
                    <w:tl2br w:val="nil"/>
                    <w:tr2bl w:val="nil"/>
                  </w:tcBorders>
                  <w:shd w:val="clear" w:color="000000" w:fill="FFFFFF"/>
                  <w:vAlign w:val="center"/>
                </w:tcPr>
                <w:p w14:paraId="64A9AAAD">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28.09 </w:t>
                  </w:r>
                </w:p>
              </w:tc>
              <w:tc>
                <w:tcPr>
                  <w:tcW w:w="640" w:type="pct"/>
                  <w:tcBorders>
                    <w:tl2br w:val="nil"/>
                    <w:tr2bl w:val="nil"/>
                  </w:tcBorders>
                  <w:shd w:val="clear" w:color="000000" w:fill="FFFFFF"/>
                  <w:vAlign w:val="center"/>
                </w:tcPr>
                <w:p w14:paraId="613FE788">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57.01 </w:t>
                  </w:r>
                </w:p>
              </w:tc>
              <w:tc>
                <w:tcPr>
                  <w:tcW w:w="640" w:type="pct"/>
                  <w:tcBorders>
                    <w:tl2br w:val="nil"/>
                    <w:tr2bl w:val="nil"/>
                  </w:tcBorders>
                  <w:shd w:val="clear" w:color="000000" w:fill="FFFFFF"/>
                  <w:vAlign w:val="center"/>
                </w:tcPr>
                <w:p w14:paraId="13677A49">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44.60 </w:t>
                  </w:r>
                </w:p>
              </w:tc>
              <w:tc>
                <w:tcPr>
                  <w:tcW w:w="348" w:type="pct"/>
                  <w:tcBorders>
                    <w:tl2br w:val="nil"/>
                    <w:tr2bl w:val="nil"/>
                  </w:tcBorders>
                  <w:shd w:val="clear" w:color="000000" w:fill="FFFFFF"/>
                  <w:vAlign w:val="center"/>
                </w:tcPr>
                <w:p w14:paraId="01CE2016">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65</w:t>
                  </w:r>
                </w:p>
              </w:tc>
              <w:tc>
                <w:tcPr>
                  <w:tcW w:w="352" w:type="pct"/>
                  <w:tcBorders>
                    <w:tl2br w:val="nil"/>
                    <w:tr2bl w:val="nil"/>
                  </w:tcBorders>
                  <w:shd w:val="clear" w:color="000000" w:fill="FFFFFF"/>
                  <w:vAlign w:val="center"/>
                </w:tcPr>
                <w:p w14:paraId="48F5680A">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55</w:t>
                  </w:r>
                </w:p>
              </w:tc>
              <w:tc>
                <w:tcPr>
                  <w:tcW w:w="350" w:type="pct"/>
                  <w:tcBorders>
                    <w:tl2br w:val="nil"/>
                    <w:tr2bl w:val="nil"/>
                  </w:tcBorders>
                  <w:shd w:val="clear" w:color="000000" w:fill="FFFFFF"/>
                  <w:vAlign w:val="center"/>
                </w:tcPr>
                <w:p w14:paraId="08D1B3F5">
                  <w:pPr>
                    <w:widowControl/>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达标</w:t>
                  </w:r>
                </w:p>
              </w:tc>
            </w:tr>
            <w:tr w14:paraId="0A531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tcBorders>
                    <w:tl2br w:val="nil"/>
                    <w:tr2bl w:val="nil"/>
                  </w:tcBorders>
                  <w:shd w:val="clear" w:color="000000" w:fill="FFFFFF"/>
                  <w:vAlign w:val="center"/>
                </w:tcPr>
                <w:p w14:paraId="1E19EE44">
                  <w:pPr>
                    <w:widowControl/>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南侧厂界</w:t>
                  </w:r>
                </w:p>
              </w:tc>
              <w:tc>
                <w:tcPr>
                  <w:tcW w:w="1015" w:type="pct"/>
                  <w:tcBorders>
                    <w:tl2br w:val="nil"/>
                    <w:tr2bl w:val="nil"/>
                  </w:tcBorders>
                  <w:shd w:val="clear" w:color="000000" w:fill="FFFFFF"/>
                  <w:vAlign w:val="center"/>
                </w:tcPr>
                <w:p w14:paraId="390F6F6A">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14，-36</w:t>
                  </w:r>
                </w:p>
              </w:tc>
              <w:tc>
                <w:tcPr>
                  <w:tcW w:w="309" w:type="pct"/>
                  <w:tcBorders>
                    <w:tl2br w:val="nil"/>
                    <w:tr2bl w:val="nil"/>
                  </w:tcBorders>
                  <w:shd w:val="clear" w:color="000000" w:fill="FFFFFF"/>
                  <w:vAlign w:val="center"/>
                </w:tcPr>
                <w:p w14:paraId="0A166D92">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57</w:t>
                  </w:r>
                </w:p>
              </w:tc>
              <w:tc>
                <w:tcPr>
                  <w:tcW w:w="354" w:type="pct"/>
                  <w:tcBorders>
                    <w:tl2br w:val="nil"/>
                    <w:tr2bl w:val="nil"/>
                  </w:tcBorders>
                  <w:shd w:val="clear" w:color="000000" w:fill="FFFFFF"/>
                  <w:vAlign w:val="center"/>
                </w:tcPr>
                <w:p w14:paraId="392F4481">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44.5</w:t>
                  </w:r>
                </w:p>
              </w:tc>
              <w:tc>
                <w:tcPr>
                  <w:tcW w:w="640" w:type="pct"/>
                  <w:tcBorders>
                    <w:tl2br w:val="nil"/>
                    <w:tr2bl w:val="nil"/>
                  </w:tcBorders>
                  <w:shd w:val="clear" w:color="000000" w:fill="FFFFFF"/>
                  <w:vAlign w:val="center"/>
                </w:tcPr>
                <w:p w14:paraId="60C9C6AF">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17.21 </w:t>
                  </w:r>
                </w:p>
              </w:tc>
              <w:tc>
                <w:tcPr>
                  <w:tcW w:w="640" w:type="pct"/>
                  <w:tcBorders>
                    <w:tl2br w:val="nil"/>
                    <w:tr2bl w:val="nil"/>
                  </w:tcBorders>
                  <w:shd w:val="clear" w:color="000000" w:fill="FFFFFF"/>
                  <w:vAlign w:val="center"/>
                </w:tcPr>
                <w:p w14:paraId="131B64C3">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57.00 </w:t>
                  </w:r>
                </w:p>
              </w:tc>
              <w:tc>
                <w:tcPr>
                  <w:tcW w:w="640" w:type="pct"/>
                  <w:tcBorders>
                    <w:tl2br w:val="nil"/>
                    <w:tr2bl w:val="nil"/>
                  </w:tcBorders>
                  <w:shd w:val="clear" w:color="000000" w:fill="FFFFFF"/>
                  <w:vAlign w:val="center"/>
                </w:tcPr>
                <w:p w14:paraId="71CD5C55">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44.51 </w:t>
                  </w:r>
                </w:p>
              </w:tc>
              <w:tc>
                <w:tcPr>
                  <w:tcW w:w="348" w:type="pct"/>
                  <w:tcBorders>
                    <w:tl2br w:val="nil"/>
                    <w:tr2bl w:val="nil"/>
                  </w:tcBorders>
                  <w:shd w:val="clear" w:color="000000" w:fill="FFFFFF"/>
                  <w:vAlign w:val="center"/>
                </w:tcPr>
                <w:p w14:paraId="2132CD11">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65</w:t>
                  </w:r>
                </w:p>
              </w:tc>
              <w:tc>
                <w:tcPr>
                  <w:tcW w:w="352" w:type="pct"/>
                  <w:tcBorders>
                    <w:tl2br w:val="nil"/>
                    <w:tr2bl w:val="nil"/>
                  </w:tcBorders>
                  <w:shd w:val="clear" w:color="000000" w:fill="FFFFFF"/>
                  <w:vAlign w:val="center"/>
                </w:tcPr>
                <w:p w14:paraId="01B5EA85">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55</w:t>
                  </w:r>
                </w:p>
              </w:tc>
              <w:tc>
                <w:tcPr>
                  <w:tcW w:w="350" w:type="pct"/>
                  <w:tcBorders>
                    <w:tl2br w:val="nil"/>
                    <w:tr2bl w:val="nil"/>
                  </w:tcBorders>
                  <w:shd w:val="clear" w:color="000000" w:fill="FFFFFF"/>
                  <w:vAlign w:val="center"/>
                </w:tcPr>
                <w:p w14:paraId="76ED0292">
                  <w:pPr>
                    <w:widowControl/>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达标</w:t>
                  </w:r>
                </w:p>
              </w:tc>
            </w:tr>
            <w:tr w14:paraId="6E41E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tcBorders>
                    <w:tl2br w:val="nil"/>
                    <w:tr2bl w:val="nil"/>
                  </w:tcBorders>
                  <w:shd w:val="clear" w:color="000000" w:fill="FFFFFF"/>
                  <w:vAlign w:val="center"/>
                </w:tcPr>
                <w:p w14:paraId="7782EEE5">
                  <w:pPr>
                    <w:widowControl/>
                    <w:spacing w:line="240" w:lineRule="auto"/>
                    <w:ind w:firstLine="0" w:firstLineChars="0"/>
                    <w:jc w:val="center"/>
                    <w:textAlignment w:val="bottom"/>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西侧厂界</w:t>
                  </w:r>
                </w:p>
              </w:tc>
              <w:tc>
                <w:tcPr>
                  <w:tcW w:w="1015" w:type="pct"/>
                  <w:tcBorders>
                    <w:tl2br w:val="nil"/>
                    <w:tr2bl w:val="nil"/>
                  </w:tcBorders>
                  <w:shd w:val="clear" w:color="000000" w:fill="FFFFFF"/>
                  <w:vAlign w:val="center"/>
                </w:tcPr>
                <w:p w14:paraId="4D5F5269">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-88，-28</w:t>
                  </w:r>
                </w:p>
              </w:tc>
              <w:tc>
                <w:tcPr>
                  <w:tcW w:w="309" w:type="pct"/>
                  <w:tcBorders>
                    <w:tl2br w:val="nil"/>
                    <w:tr2bl w:val="nil"/>
                  </w:tcBorders>
                  <w:shd w:val="clear" w:color="000000" w:fill="FFFFFF"/>
                  <w:vAlign w:val="center"/>
                </w:tcPr>
                <w:p w14:paraId="1D8077CD">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60</w:t>
                  </w:r>
                </w:p>
              </w:tc>
              <w:tc>
                <w:tcPr>
                  <w:tcW w:w="354" w:type="pct"/>
                  <w:tcBorders>
                    <w:tl2br w:val="nil"/>
                    <w:tr2bl w:val="nil"/>
                  </w:tcBorders>
                  <w:shd w:val="clear" w:color="000000" w:fill="FFFFFF"/>
                  <w:vAlign w:val="center"/>
                </w:tcPr>
                <w:p w14:paraId="54C120F5">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44.5</w:t>
                  </w:r>
                </w:p>
              </w:tc>
              <w:tc>
                <w:tcPr>
                  <w:tcW w:w="640" w:type="pct"/>
                  <w:tcBorders>
                    <w:tl2br w:val="nil"/>
                    <w:tr2bl w:val="nil"/>
                  </w:tcBorders>
                  <w:shd w:val="clear" w:color="000000" w:fill="FFFFFF"/>
                  <w:vAlign w:val="center"/>
                </w:tcPr>
                <w:p w14:paraId="00E64ACC">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22.99 </w:t>
                  </w:r>
                </w:p>
              </w:tc>
              <w:tc>
                <w:tcPr>
                  <w:tcW w:w="640" w:type="pct"/>
                  <w:tcBorders>
                    <w:tl2br w:val="nil"/>
                    <w:tr2bl w:val="nil"/>
                  </w:tcBorders>
                  <w:shd w:val="clear" w:color="000000" w:fill="FFFFFF"/>
                  <w:vAlign w:val="center"/>
                </w:tcPr>
                <w:p w14:paraId="2EE07ED5">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60.00 </w:t>
                  </w:r>
                </w:p>
              </w:tc>
              <w:tc>
                <w:tcPr>
                  <w:tcW w:w="640" w:type="pct"/>
                  <w:tcBorders>
                    <w:tl2br w:val="nil"/>
                    <w:tr2bl w:val="nil"/>
                  </w:tcBorders>
                  <w:shd w:val="clear" w:color="000000" w:fill="FFFFFF"/>
                  <w:vAlign w:val="center"/>
                </w:tcPr>
                <w:p w14:paraId="10102A27">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44.53 </w:t>
                  </w:r>
                </w:p>
              </w:tc>
              <w:tc>
                <w:tcPr>
                  <w:tcW w:w="348" w:type="pct"/>
                  <w:tcBorders>
                    <w:tl2br w:val="nil"/>
                    <w:tr2bl w:val="nil"/>
                  </w:tcBorders>
                  <w:shd w:val="clear" w:color="000000" w:fill="FFFFFF"/>
                  <w:vAlign w:val="center"/>
                </w:tcPr>
                <w:p w14:paraId="1C9FB504">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65</w:t>
                  </w:r>
                </w:p>
              </w:tc>
              <w:tc>
                <w:tcPr>
                  <w:tcW w:w="352" w:type="pct"/>
                  <w:tcBorders>
                    <w:tl2br w:val="nil"/>
                    <w:tr2bl w:val="nil"/>
                  </w:tcBorders>
                  <w:shd w:val="clear" w:color="000000" w:fill="FFFFFF"/>
                  <w:vAlign w:val="center"/>
                </w:tcPr>
                <w:p w14:paraId="50DB791C">
                  <w:pPr>
                    <w:widowControl/>
                    <w:spacing w:line="240" w:lineRule="auto"/>
                    <w:ind w:firstLine="0" w:firstLineChars="0"/>
                    <w:jc w:val="center"/>
                    <w:textAlignment w:val="bottom"/>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55</w:t>
                  </w:r>
                </w:p>
              </w:tc>
              <w:tc>
                <w:tcPr>
                  <w:tcW w:w="350" w:type="pct"/>
                  <w:tcBorders>
                    <w:tl2br w:val="nil"/>
                    <w:tr2bl w:val="nil"/>
                  </w:tcBorders>
                  <w:shd w:val="clear" w:color="000000" w:fill="FFFFFF"/>
                  <w:vAlign w:val="center"/>
                </w:tcPr>
                <w:p w14:paraId="36703B32">
                  <w:pPr>
                    <w:widowControl/>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达标</w:t>
                  </w:r>
                </w:p>
              </w:tc>
            </w:tr>
          </w:tbl>
          <w:p w14:paraId="6FA7B254">
            <w:pPr>
              <w:ind w:firstLine="422"/>
              <w:rPr>
                <w:b/>
                <w:color w:val="auto"/>
              </w:rPr>
            </w:pPr>
            <w:r>
              <w:rPr>
                <w:b/>
                <w:color w:val="auto"/>
              </w:rPr>
              <w:t>（4）预测结果</w:t>
            </w:r>
          </w:p>
          <w:p w14:paraId="0656C9F9">
            <w:pPr>
              <w:ind w:firstLine="420"/>
              <w:rPr>
                <w:color w:val="auto"/>
              </w:rPr>
            </w:pPr>
            <w:r>
              <w:rPr>
                <w:color w:val="auto"/>
              </w:rPr>
              <w:t>由表4-</w:t>
            </w:r>
            <w:r>
              <w:rPr>
                <w:rFonts w:hint="eastAsia"/>
                <w:color w:val="auto"/>
                <w:lang w:val="en-US" w:eastAsia="zh-CN"/>
              </w:rPr>
              <w:t>2</w:t>
            </w:r>
            <w:r>
              <w:rPr>
                <w:color w:val="auto"/>
              </w:rPr>
              <w:t>可知，</w:t>
            </w:r>
            <w:r>
              <w:rPr>
                <w:rFonts w:hint="eastAsia"/>
                <w:color w:val="auto"/>
              </w:rPr>
              <w:t>本项目实施后噪声</w:t>
            </w:r>
            <w:r>
              <w:rPr>
                <w:color w:val="auto"/>
              </w:rPr>
              <w:t>能够满足《工业企业厂界环境噪声排放标准》（GB12348-2008）中3类标准。</w:t>
            </w:r>
          </w:p>
          <w:bookmarkEnd w:id="15"/>
          <w:p w14:paraId="4A8EFF91">
            <w:pPr>
              <w:ind w:firstLine="422"/>
              <w:rPr>
                <w:b/>
                <w:color w:val="auto"/>
              </w:rPr>
            </w:pPr>
            <w:r>
              <w:rPr>
                <w:b/>
                <w:color w:val="auto"/>
              </w:rPr>
              <w:t>（5）噪声监测计划</w:t>
            </w:r>
          </w:p>
          <w:p w14:paraId="6AEF3AA9">
            <w:pPr>
              <w:ind w:firstLine="420"/>
              <w:rPr>
                <w:color w:val="auto"/>
              </w:rPr>
            </w:pPr>
            <w:r>
              <w:rPr>
                <w:color w:val="auto"/>
              </w:rPr>
              <w:t>根据《排污单位自行监测技术指南总则》（HJ819-2017），厂界噪声最低监测频次为季度，厂界噪声监测频次为一季度开展一次，并在噪声监测点附近醒目处设置环境保护图形标志牌。</w:t>
            </w:r>
          </w:p>
          <w:p w14:paraId="76AA4F31">
            <w:pPr>
              <w:spacing w:line="240" w:lineRule="auto"/>
              <w:ind w:firstLine="422"/>
              <w:jc w:val="center"/>
              <w:rPr>
                <w:rFonts w:cs="Times New Roman"/>
                <w:b/>
                <w:color w:val="auto"/>
                <w:sz w:val="21"/>
                <w:szCs w:val="21"/>
              </w:rPr>
            </w:pPr>
            <w:r>
              <w:rPr>
                <w:rFonts w:cs="Times New Roman"/>
                <w:b/>
                <w:color w:val="auto"/>
                <w:sz w:val="21"/>
                <w:szCs w:val="21"/>
              </w:rPr>
              <w:t>表4-</w:t>
            </w:r>
            <w:r>
              <w:rPr>
                <w:rFonts w:hint="eastAsia" w:cs="Times New Roman"/>
                <w:b/>
                <w:color w:val="auto"/>
                <w:sz w:val="21"/>
                <w:szCs w:val="21"/>
                <w:lang w:val="en-US" w:eastAsia="zh-CN"/>
              </w:rPr>
              <w:t>3</w:t>
            </w:r>
            <w:r>
              <w:rPr>
                <w:rFonts w:hint="eastAsia" w:cs="Times New Roman"/>
                <w:b/>
                <w:color w:val="auto"/>
                <w:sz w:val="21"/>
                <w:szCs w:val="21"/>
              </w:rPr>
              <w:t xml:space="preserve"> </w:t>
            </w:r>
            <w:r>
              <w:rPr>
                <w:rFonts w:cs="Times New Roman"/>
                <w:b/>
                <w:color w:val="auto"/>
                <w:sz w:val="21"/>
                <w:szCs w:val="21"/>
              </w:rPr>
              <w:t>噪声环境监测计划</w:t>
            </w:r>
          </w:p>
          <w:tbl>
            <w:tblPr>
              <w:tblStyle w:val="30"/>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11"/>
              <w:gridCol w:w="1616"/>
              <w:gridCol w:w="1685"/>
              <w:gridCol w:w="1040"/>
              <w:gridCol w:w="3815"/>
            </w:tblGrid>
            <w:tr w14:paraId="3230F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95" w:type="pct"/>
                  <w:shd w:val="clear" w:color="auto" w:fill="D7D7D7" w:themeFill="background1" w:themeFillShade="D8"/>
                  <w:vAlign w:val="center"/>
                </w:tcPr>
                <w:p w14:paraId="7EACF6EB">
                  <w:pPr>
                    <w:pStyle w:val="75"/>
                    <w:rPr>
                      <w:b/>
                      <w:color w:val="auto"/>
                      <w:sz w:val="18"/>
                      <w:szCs w:val="18"/>
                    </w:rPr>
                  </w:pPr>
                  <w:r>
                    <w:rPr>
                      <w:b/>
                      <w:color w:val="auto"/>
                      <w:sz w:val="18"/>
                      <w:szCs w:val="18"/>
                    </w:rPr>
                    <w:t>类别</w:t>
                  </w:r>
                </w:p>
              </w:tc>
              <w:tc>
                <w:tcPr>
                  <w:tcW w:w="932" w:type="pct"/>
                  <w:shd w:val="clear" w:color="auto" w:fill="D7D7D7" w:themeFill="background1" w:themeFillShade="D8"/>
                  <w:vAlign w:val="center"/>
                </w:tcPr>
                <w:p w14:paraId="4C8999C5">
                  <w:pPr>
                    <w:pStyle w:val="75"/>
                    <w:rPr>
                      <w:b/>
                      <w:color w:val="auto"/>
                      <w:sz w:val="18"/>
                      <w:szCs w:val="18"/>
                    </w:rPr>
                  </w:pPr>
                  <w:r>
                    <w:rPr>
                      <w:b/>
                      <w:color w:val="auto"/>
                      <w:sz w:val="18"/>
                      <w:szCs w:val="18"/>
                    </w:rPr>
                    <w:t>监测位置</w:t>
                  </w:r>
                </w:p>
              </w:tc>
              <w:tc>
                <w:tcPr>
                  <w:tcW w:w="972" w:type="pct"/>
                  <w:shd w:val="clear" w:color="auto" w:fill="D7D7D7" w:themeFill="background1" w:themeFillShade="D8"/>
                  <w:vAlign w:val="center"/>
                </w:tcPr>
                <w:p w14:paraId="55DCF2E8">
                  <w:pPr>
                    <w:pStyle w:val="75"/>
                    <w:rPr>
                      <w:b/>
                      <w:color w:val="auto"/>
                      <w:sz w:val="18"/>
                      <w:szCs w:val="18"/>
                    </w:rPr>
                  </w:pPr>
                  <w:r>
                    <w:rPr>
                      <w:b/>
                      <w:color w:val="auto"/>
                      <w:sz w:val="18"/>
                      <w:szCs w:val="18"/>
                    </w:rPr>
                    <w:t>监测项目</w:t>
                  </w:r>
                </w:p>
              </w:tc>
              <w:tc>
                <w:tcPr>
                  <w:tcW w:w="600" w:type="pct"/>
                  <w:shd w:val="clear" w:color="auto" w:fill="D7D7D7" w:themeFill="background1" w:themeFillShade="D8"/>
                  <w:vAlign w:val="center"/>
                </w:tcPr>
                <w:p w14:paraId="185F8E0B">
                  <w:pPr>
                    <w:pStyle w:val="75"/>
                    <w:rPr>
                      <w:b/>
                      <w:color w:val="auto"/>
                      <w:sz w:val="18"/>
                      <w:szCs w:val="18"/>
                    </w:rPr>
                  </w:pPr>
                  <w:r>
                    <w:rPr>
                      <w:b/>
                      <w:color w:val="auto"/>
                      <w:sz w:val="18"/>
                      <w:szCs w:val="18"/>
                    </w:rPr>
                    <w:t>监测频次</w:t>
                  </w:r>
                </w:p>
              </w:tc>
              <w:tc>
                <w:tcPr>
                  <w:tcW w:w="2201" w:type="pct"/>
                  <w:shd w:val="clear" w:color="auto" w:fill="D7D7D7" w:themeFill="background1" w:themeFillShade="D8"/>
                  <w:vAlign w:val="center"/>
                </w:tcPr>
                <w:p w14:paraId="24D8F4B8">
                  <w:pPr>
                    <w:pStyle w:val="75"/>
                    <w:rPr>
                      <w:b/>
                      <w:color w:val="auto"/>
                      <w:sz w:val="18"/>
                      <w:szCs w:val="18"/>
                    </w:rPr>
                  </w:pPr>
                  <w:r>
                    <w:rPr>
                      <w:b/>
                      <w:color w:val="auto"/>
                      <w:sz w:val="18"/>
                      <w:szCs w:val="18"/>
                    </w:rPr>
                    <w:t>执行排放标准</w:t>
                  </w:r>
                </w:p>
              </w:tc>
            </w:tr>
            <w:tr w14:paraId="394B9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295" w:type="pct"/>
                  <w:vAlign w:val="center"/>
                </w:tcPr>
                <w:p w14:paraId="1C7CDC3A">
                  <w:pPr>
                    <w:pStyle w:val="75"/>
                    <w:rPr>
                      <w:color w:val="auto"/>
                      <w:sz w:val="18"/>
                      <w:szCs w:val="18"/>
                    </w:rPr>
                  </w:pPr>
                  <w:r>
                    <w:rPr>
                      <w:color w:val="auto"/>
                      <w:sz w:val="18"/>
                      <w:szCs w:val="18"/>
                    </w:rPr>
                    <w:t>噪声</w:t>
                  </w:r>
                </w:p>
              </w:tc>
              <w:tc>
                <w:tcPr>
                  <w:tcW w:w="932" w:type="pct"/>
                  <w:vAlign w:val="center"/>
                </w:tcPr>
                <w:p w14:paraId="7D195F27">
                  <w:pPr>
                    <w:pStyle w:val="75"/>
                    <w:rPr>
                      <w:color w:val="auto"/>
                      <w:sz w:val="18"/>
                      <w:szCs w:val="18"/>
                    </w:rPr>
                  </w:pPr>
                  <w:r>
                    <w:rPr>
                      <w:color w:val="auto"/>
                      <w:sz w:val="18"/>
                      <w:szCs w:val="18"/>
                    </w:rPr>
                    <w:t>厂界外1m</w:t>
                  </w:r>
                </w:p>
              </w:tc>
              <w:tc>
                <w:tcPr>
                  <w:tcW w:w="972" w:type="pct"/>
                  <w:vAlign w:val="center"/>
                </w:tcPr>
                <w:p w14:paraId="51646350">
                  <w:pPr>
                    <w:pStyle w:val="75"/>
                    <w:rPr>
                      <w:color w:val="auto"/>
                      <w:sz w:val="18"/>
                      <w:szCs w:val="18"/>
                    </w:rPr>
                  </w:pPr>
                  <w:r>
                    <w:rPr>
                      <w:color w:val="auto"/>
                      <w:sz w:val="18"/>
                      <w:szCs w:val="18"/>
                    </w:rPr>
                    <w:t>连续等效A声级</w:t>
                  </w:r>
                </w:p>
              </w:tc>
              <w:tc>
                <w:tcPr>
                  <w:tcW w:w="600" w:type="pct"/>
                  <w:vAlign w:val="center"/>
                </w:tcPr>
                <w:p w14:paraId="1342CF8E">
                  <w:pPr>
                    <w:pStyle w:val="75"/>
                    <w:rPr>
                      <w:color w:val="auto"/>
                      <w:sz w:val="18"/>
                      <w:szCs w:val="18"/>
                    </w:rPr>
                  </w:pPr>
                  <w:r>
                    <w:rPr>
                      <w:color w:val="auto"/>
                      <w:sz w:val="18"/>
                      <w:szCs w:val="18"/>
                    </w:rPr>
                    <w:t>一季一次</w:t>
                  </w:r>
                </w:p>
              </w:tc>
              <w:tc>
                <w:tcPr>
                  <w:tcW w:w="2201" w:type="pct"/>
                  <w:vAlign w:val="center"/>
                </w:tcPr>
                <w:p w14:paraId="052125C0">
                  <w:pPr>
                    <w:pStyle w:val="75"/>
                    <w:rPr>
                      <w:color w:val="auto"/>
                      <w:sz w:val="18"/>
                      <w:szCs w:val="18"/>
                    </w:rPr>
                  </w:pPr>
                  <w:r>
                    <w:rPr>
                      <w:color w:val="auto"/>
                      <w:sz w:val="18"/>
                      <w:szCs w:val="18"/>
                    </w:rPr>
                    <w:t>《工业企业厂界环境噪声排放标准》</w:t>
                  </w:r>
                </w:p>
                <w:p w14:paraId="63B1DBD6">
                  <w:pPr>
                    <w:pStyle w:val="75"/>
                    <w:rPr>
                      <w:color w:val="auto"/>
                      <w:sz w:val="18"/>
                      <w:szCs w:val="18"/>
                    </w:rPr>
                  </w:pPr>
                  <w:r>
                    <w:rPr>
                      <w:color w:val="auto"/>
                      <w:sz w:val="18"/>
                      <w:szCs w:val="18"/>
                    </w:rPr>
                    <w:t>（GB12348-2008）3类标准</w:t>
                  </w:r>
                </w:p>
              </w:tc>
            </w:tr>
          </w:tbl>
          <w:p w14:paraId="24E8DB68">
            <w:pPr>
              <w:ind w:firstLine="422"/>
              <w:rPr>
                <w:b/>
                <w:color w:val="auto"/>
              </w:rPr>
            </w:pPr>
            <w:r>
              <w:rPr>
                <w:b/>
                <w:color w:val="auto"/>
              </w:rPr>
              <w:t>4.固体废物</w:t>
            </w:r>
          </w:p>
          <w:p w14:paraId="1435F7CE">
            <w:pPr>
              <w:ind w:firstLine="422"/>
              <w:rPr>
                <w:b/>
                <w:color w:val="auto"/>
              </w:rPr>
            </w:pPr>
            <w:r>
              <w:rPr>
                <w:b/>
                <w:color w:val="auto"/>
              </w:rPr>
              <w:t>（1）固体废物产生情况</w:t>
            </w:r>
          </w:p>
          <w:p w14:paraId="75705733">
            <w:pPr>
              <w:ind w:firstLine="420"/>
              <w:rPr>
                <w:color w:val="auto"/>
              </w:rPr>
            </w:pPr>
            <w:r>
              <w:rPr>
                <w:color w:val="auto"/>
              </w:rPr>
              <w:t>根据项目工程分析，项目固废主要为：</w:t>
            </w:r>
            <w:r>
              <w:rPr>
                <w:rFonts w:hint="eastAsia"/>
                <w:color w:val="auto"/>
              </w:rPr>
              <w:t>废</w:t>
            </w:r>
            <w:r>
              <w:rPr>
                <w:rFonts w:hint="eastAsia"/>
                <w:color w:val="auto"/>
                <w:lang w:val="en-US" w:eastAsia="zh-CN"/>
              </w:rPr>
              <w:t>靶材</w:t>
            </w:r>
            <w:r>
              <w:rPr>
                <w:rFonts w:hint="eastAsia"/>
                <w:color w:val="auto"/>
              </w:rPr>
              <w:t>、</w:t>
            </w:r>
            <w:r>
              <w:rPr>
                <w:rFonts w:hint="eastAsia"/>
                <w:color w:val="auto"/>
                <w:lang w:val="en-US" w:eastAsia="zh-CN"/>
              </w:rPr>
              <w:t>废金属、不合格品</w:t>
            </w:r>
            <w:r>
              <w:rPr>
                <w:rFonts w:hint="eastAsia"/>
                <w:color w:val="auto"/>
              </w:rPr>
              <w:t>、</w:t>
            </w:r>
            <w:r>
              <w:rPr>
                <w:rFonts w:hint="eastAsia"/>
                <w:color w:val="auto"/>
                <w:lang w:val="en-US" w:eastAsia="zh-CN"/>
              </w:rPr>
              <w:t>废钢瓶</w:t>
            </w:r>
            <w:r>
              <w:rPr>
                <w:color w:val="auto"/>
              </w:rPr>
              <w:t>等。</w:t>
            </w:r>
          </w:p>
          <w:p w14:paraId="0CF81E1D">
            <w:pPr>
              <w:ind w:firstLine="420"/>
              <w:rPr>
                <w:rFonts w:hint="eastAsia" w:eastAsia="宋体"/>
                <w:color w:val="auto"/>
                <w:lang w:eastAsia="zh-CN"/>
              </w:rPr>
            </w:pPr>
            <w:r>
              <w:rPr>
                <w:rFonts w:hint="eastAsia"/>
                <w:color w:val="auto"/>
                <w:lang w:val="en-US" w:eastAsia="zh-CN"/>
              </w:rPr>
              <w:t>①</w:t>
            </w:r>
            <w:r>
              <w:rPr>
                <w:rFonts w:hint="eastAsia"/>
                <w:color w:val="auto"/>
              </w:rPr>
              <w:t>废</w:t>
            </w:r>
            <w:r>
              <w:rPr>
                <w:rFonts w:hint="eastAsia"/>
                <w:color w:val="auto"/>
                <w:lang w:val="en-US" w:eastAsia="zh-CN"/>
              </w:rPr>
              <w:t>靶材</w:t>
            </w:r>
          </w:p>
          <w:p w14:paraId="52132CED">
            <w:pPr>
              <w:ind w:firstLine="420"/>
              <w:rPr>
                <w:rFonts w:hint="eastAsia"/>
                <w:color w:val="auto"/>
              </w:rPr>
            </w:pPr>
            <w:r>
              <w:rPr>
                <w:rFonts w:hint="eastAsia"/>
                <w:color w:val="auto"/>
              </w:rPr>
              <w:t>本项目在</w:t>
            </w:r>
            <w:r>
              <w:rPr>
                <w:rFonts w:hint="eastAsia"/>
                <w:color w:val="auto"/>
                <w:lang w:val="en-US" w:eastAsia="zh-CN"/>
              </w:rPr>
              <w:t>磁控溅射过程中，会产生少量废靶材</w:t>
            </w:r>
            <w:r>
              <w:rPr>
                <w:rFonts w:hint="eastAsia"/>
                <w:color w:val="auto"/>
              </w:rPr>
              <w:t>，</w:t>
            </w:r>
            <w:r>
              <w:rPr>
                <w:rFonts w:hint="eastAsia"/>
                <w:color w:val="auto"/>
                <w:lang w:val="en-US" w:eastAsia="zh-CN"/>
              </w:rPr>
              <w:t>根据建设单位提供信息，废靶材产生量约0.02t/a</w:t>
            </w:r>
            <w:r>
              <w:rPr>
                <w:rFonts w:hint="eastAsia"/>
                <w:color w:val="auto"/>
              </w:rPr>
              <w:t>，收集后外售综合利用。</w:t>
            </w:r>
          </w:p>
          <w:p w14:paraId="542CC5E1">
            <w:pPr>
              <w:ind w:firstLine="420"/>
              <w:rPr>
                <w:rFonts w:hint="eastAsia" w:eastAsia="宋体"/>
                <w:color w:val="auto"/>
                <w:lang w:eastAsia="zh-CN"/>
              </w:rPr>
            </w:pPr>
            <w:r>
              <w:rPr>
                <w:rFonts w:hint="eastAsia"/>
                <w:color w:val="auto"/>
                <w:lang w:val="en-US" w:eastAsia="zh-CN"/>
              </w:rPr>
              <w:t>②</w:t>
            </w:r>
            <w:r>
              <w:rPr>
                <w:rFonts w:hint="eastAsia"/>
                <w:color w:val="auto"/>
              </w:rPr>
              <w:t>废</w:t>
            </w:r>
            <w:r>
              <w:rPr>
                <w:rFonts w:hint="eastAsia"/>
                <w:color w:val="auto"/>
                <w:lang w:val="en-US" w:eastAsia="zh-CN"/>
              </w:rPr>
              <w:t>金属</w:t>
            </w:r>
          </w:p>
          <w:p w14:paraId="2CA9B096">
            <w:pPr>
              <w:ind w:firstLine="420"/>
              <w:rPr>
                <w:rFonts w:hint="eastAsia"/>
                <w:color w:val="auto"/>
              </w:rPr>
            </w:pPr>
            <w:r>
              <w:rPr>
                <w:rFonts w:hint="default" w:ascii="Times New Roman" w:hAnsi="Times New Roman" w:cs="Times New Roman"/>
                <w:b w:val="0"/>
                <w:bCs w:val="0"/>
                <w:color w:val="auto"/>
                <w:sz w:val="21"/>
                <w:szCs w:val="21"/>
                <w:lang w:val="en-US" w:eastAsia="zh-CN"/>
              </w:rPr>
              <w:t>由于溅射时不可避免会溅射到膜外，产生</w:t>
            </w:r>
            <w:r>
              <w:rPr>
                <w:rStyle w:val="33"/>
                <w:rFonts w:hint="default" w:ascii="Times New Roman" w:hAnsi="Times New Roman" w:eastAsia="Segoe UI" w:cs="Times New Roman"/>
                <w:b w:val="0"/>
                <w:bCs w:val="0"/>
                <w:i w:val="0"/>
                <w:iCs w:val="0"/>
                <w:caps w:val="0"/>
                <w:color w:val="auto"/>
                <w:spacing w:val="0"/>
                <w:sz w:val="21"/>
                <w:szCs w:val="21"/>
                <w:shd w:val="clear" w:fill="FFFFFF"/>
              </w:rPr>
              <w:t>内壁沉积</w:t>
            </w:r>
            <w:r>
              <w:rPr>
                <w:rStyle w:val="33"/>
                <w:rFonts w:hint="default" w:ascii="Times New Roman" w:hAnsi="Times New Roman" w:eastAsia="宋体" w:cs="Times New Roman"/>
                <w:b w:val="0"/>
                <w:bCs w:val="0"/>
                <w:i w:val="0"/>
                <w:iCs w:val="0"/>
                <w:caps w:val="0"/>
                <w:color w:val="auto"/>
                <w:spacing w:val="0"/>
                <w:sz w:val="21"/>
                <w:szCs w:val="21"/>
                <w:shd w:val="clear" w:fill="FFFFFF"/>
                <w:lang w:eastAsia="zh-CN"/>
              </w:rPr>
              <w:t>，</w:t>
            </w:r>
            <w:r>
              <w:rPr>
                <w:rStyle w:val="33"/>
                <w:rFonts w:hint="default" w:ascii="Times New Roman" w:hAnsi="Times New Roman" w:eastAsia="宋体" w:cs="Times New Roman"/>
                <w:b w:val="0"/>
                <w:bCs w:val="0"/>
                <w:i w:val="0"/>
                <w:iCs w:val="0"/>
                <w:caps w:val="0"/>
                <w:color w:val="auto"/>
                <w:spacing w:val="0"/>
                <w:sz w:val="21"/>
                <w:szCs w:val="21"/>
                <w:shd w:val="clear" w:fill="FFFFFF"/>
                <w:lang w:val="en-US" w:eastAsia="zh-CN"/>
              </w:rPr>
              <w:t>磁控设备内部设置有防着板，溅射完成后取出防着板，用铲刀铲下固态金属</w:t>
            </w:r>
            <w:r>
              <w:rPr>
                <w:rStyle w:val="33"/>
                <w:rFonts w:hint="eastAsia" w:cs="Times New Roman"/>
                <w:b w:val="0"/>
                <w:bCs w:val="0"/>
                <w:i w:val="0"/>
                <w:iCs w:val="0"/>
                <w:caps w:val="0"/>
                <w:color w:val="auto"/>
                <w:spacing w:val="0"/>
                <w:sz w:val="21"/>
                <w:szCs w:val="21"/>
                <w:shd w:val="clear" w:fill="FFFFFF"/>
                <w:lang w:val="en-US" w:eastAsia="zh-CN"/>
              </w:rPr>
              <w:t>，</w:t>
            </w:r>
            <w:r>
              <w:rPr>
                <w:rFonts w:hint="eastAsia"/>
                <w:color w:val="auto"/>
                <w:lang w:val="en-US" w:eastAsia="zh-CN"/>
              </w:rPr>
              <w:t>根据建设单位提供信息，废金属产生量约0.05t/a</w:t>
            </w:r>
            <w:r>
              <w:rPr>
                <w:rFonts w:hint="eastAsia"/>
                <w:color w:val="auto"/>
              </w:rPr>
              <w:t>，收集后外售综合利用</w:t>
            </w:r>
            <w:r>
              <w:rPr>
                <w:rStyle w:val="33"/>
                <w:rFonts w:hint="default" w:ascii="Times New Roman" w:hAnsi="Times New Roman" w:eastAsia="宋体" w:cs="Times New Roman"/>
                <w:b w:val="0"/>
                <w:bCs w:val="0"/>
                <w:i w:val="0"/>
                <w:iCs w:val="0"/>
                <w:caps w:val="0"/>
                <w:color w:val="auto"/>
                <w:spacing w:val="0"/>
                <w:sz w:val="21"/>
                <w:szCs w:val="21"/>
                <w:shd w:val="clear" w:fill="FFFFFF"/>
                <w:lang w:val="en-US" w:eastAsia="zh-CN"/>
              </w:rPr>
              <w:t>。</w:t>
            </w:r>
          </w:p>
          <w:p w14:paraId="3513D204">
            <w:pPr>
              <w:ind w:firstLine="420"/>
              <w:rPr>
                <w:rFonts w:hint="eastAsia" w:eastAsia="宋体"/>
                <w:color w:val="auto"/>
                <w:lang w:eastAsia="zh-CN"/>
              </w:rPr>
            </w:pPr>
            <w:r>
              <w:rPr>
                <w:rFonts w:hint="eastAsia"/>
                <w:color w:val="auto"/>
                <w:lang w:val="en-US" w:eastAsia="zh-CN"/>
              </w:rPr>
              <w:t>③不合格品</w:t>
            </w:r>
          </w:p>
          <w:p w14:paraId="7E633E36">
            <w:pPr>
              <w:ind w:firstLine="420"/>
              <w:rPr>
                <w:color w:val="auto"/>
              </w:rPr>
            </w:pPr>
            <w:r>
              <w:rPr>
                <w:rFonts w:hint="eastAsia"/>
                <w:color w:val="auto"/>
              </w:rPr>
              <w:t>本项目</w:t>
            </w:r>
            <w:r>
              <w:rPr>
                <w:rFonts w:hint="eastAsia"/>
                <w:color w:val="auto"/>
                <w:lang w:val="en-US" w:eastAsia="zh-CN"/>
              </w:rPr>
              <w:t>在检验时，会有少量不满足要求的不合格产品，根据建设单位提供信息，产生量约8t/a</w:t>
            </w:r>
            <w:r>
              <w:rPr>
                <w:rFonts w:hint="eastAsia"/>
                <w:color w:val="auto"/>
              </w:rPr>
              <w:t>，收集后外售综合利用。</w:t>
            </w:r>
          </w:p>
          <w:p w14:paraId="54B401A7">
            <w:pPr>
              <w:ind w:firstLine="420"/>
              <w:rPr>
                <w:rFonts w:hint="default" w:eastAsia="宋体"/>
                <w:color w:val="auto"/>
                <w:lang w:val="en-US" w:eastAsia="zh-CN"/>
              </w:rPr>
            </w:pPr>
            <w:r>
              <w:rPr>
                <w:rFonts w:hint="eastAsia"/>
                <w:color w:val="auto"/>
                <w:lang w:val="en-US" w:eastAsia="zh-CN"/>
              </w:rPr>
              <w:t>④废钢瓶</w:t>
            </w:r>
          </w:p>
          <w:p w14:paraId="7E422C45">
            <w:pPr>
              <w:ind w:firstLine="420"/>
              <w:rPr>
                <w:color w:val="auto"/>
              </w:rPr>
            </w:pPr>
            <w:r>
              <w:rPr>
                <w:rFonts w:hint="eastAsia"/>
                <w:color w:val="auto"/>
              </w:rPr>
              <w:t>本项目</w:t>
            </w:r>
            <w:r>
              <w:rPr>
                <w:rFonts w:hint="eastAsia"/>
                <w:color w:val="auto"/>
                <w:lang w:val="en-US" w:eastAsia="zh-CN"/>
              </w:rPr>
              <w:t>在使用氩气、氧气及氢气时会产生少量废钢瓶，</w:t>
            </w:r>
            <w:r>
              <w:rPr>
                <w:rFonts w:hint="eastAsia"/>
                <w:color w:val="auto"/>
              </w:rPr>
              <w:t>根据建设单位提供资料，产生量约0.</w:t>
            </w:r>
            <w:r>
              <w:rPr>
                <w:rFonts w:hint="eastAsia"/>
                <w:color w:val="auto"/>
                <w:lang w:val="en-US" w:eastAsia="zh-CN"/>
              </w:rPr>
              <w:t>05</w:t>
            </w:r>
            <w:r>
              <w:rPr>
                <w:rFonts w:hint="eastAsia"/>
                <w:color w:val="auto"/>
              </w:rPr>
              <w:t>t/a</w:t>
            </w:r>
            <w:r>
              <w:rPr>
                <w:color w:val="auto"/>
              </w:rPr>
              <w:t>，企业收集后</w:t>
            </w:r>
            <w:r>
              <w:rPr>
                <w:rFonts w:hint="eastAsia"/>
                <w:color w:val="auto"/>
                <w:lang w:val="en-US" w:eastAsia="zh-CN"/>
              </w:rPr>
              <w:t>委外</w:t>
            </w:r>
            <w:r>
              <w:rPr>
                <w:rFonts w:hint="eastAsia"/>
                <w:color w:val="auto"/>
              </w:rPr>
              <w:t>综合利用。</w:t>
            </w:r>
          </w:p>
          <w:p w14:paraId="0B4010E4">
            <w:pPr>
              <w:ind w:firstLine="422"/>
              <w:rPr>
                <w:b/>
                <w:color w:val="auto"/>
              </w:rPr>
            </w:pPr>
            <w:r>
              <w:rPr>
                <w:b/>
                <w:color w:val="auto"/>
              </w:rPr>
              <w:t>（2）固体废物处置利用情况</w:t>
            </w:r>
          </w:p>
          <w:p w14:paraId="33D4C1DC">
            <w:pPr>
              <w:ind w:firstLine="420"/>
              <w:rPr>
                <w:color w:val="auto"/>
              </w:rPr>
            </w:pPr>
            <w:r>
              <w:rPr>
                <w:color w:val="auto"/>
              </w:rPr>
              <w:t>项目固体废物利用处置方式见表4-</w:t>
            </w:r>
            <w:r>
              <w:rPr>
                <w:rFonts w:hint="eastAsia"/>
                <w:color w:val="auto"/>
                <w:lang w:val="en-US" w:eastAsia="zh-CN"/>
              </w:rPr>
              <w:t>4</w:t>
            </w:r>
            <w:r>
              <w:rPr>
                <w:color w:val="auto"/>
              </w:rPr>
              <w:t>。</w:t>
            </w:r>
          </w:p>
          <w:p w14:paraId="041DF642">
            <w:pPr>
              <w:spacing w:line="240" w:lineRule="auto"/>
              <w:ind w:firstLine="422"/>
              <w:jc w:val="center"/>
              <w:rPr>
                <w:rFonts w:cs="Times New Roman"/>
                <w:b/>
                <w:color w:val="auto"/>
                <w:sz w:val="21"/>
                <w:szCs w:val="21"/>
              </w:rPr>
            </w:pPr>
            <w:r>
              <w:rPr>
                <w:rFonts w:cs="Times New Roman"/>
                <w:b/>
                <w:color w:val="auto"/>
                <w:sz w:val="21"/>
                <w:szCs w:val="21"/>
              </w:rPr>
              <w:t>表4-</w:t>
            </w:r>
            <w:r>
              <w:rPr>
                <w:rFonts w:hint="eastAsia" w:cs="Times New Roman"/>
                <w:b/>
                <w:color w:val="auto"/>
                <w:sz w:val="21"/>
                <w:szCs w:val="21"/>
                <w:lang w:val="en-US" w:eastAsia="zh-CN"/>
              </w:rPr>
              <w:t>4</w:t>
            </w:r>
            <w:r>
              <w:rPr>
                <w:rFonts w:hint="eastAsia" w:cs="Times New Roman"/>
                <w:b/>
                <w:color w:val="auto"/>
                <w:sz w:val="21"/>
                <w:szCs w:val="21"/>
              </w:rPr>
              <w:t xml:space="preserve"> </w:t>
            </w:r>
            <w:r>
              <w:rPr>
                <w:rFonts w:cs="Times New Roman"/>
                <w:b/>
                <w:color w:val="auto"/>
                <w:sz w:val="21"/>
                <w:szCs w:val="21"/>
              </w:rPr>
              <w:t>项目固体废物利用处置方式一览表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35"/>
              <w:gridCol w:w="1375"/>
              <w:gridCol w:w="1098"/>
              <w:gridCol w:w="824"/>
              <w:gridCol w:w="333"/>
              <w:gridCol w:w="1013"/>
              <w:gridCol w:w="1460"/>
              <w:gridCol w:w="664"/>
              <w:gridCol w:w="624"/>
              <w:gridCol w:w="936"/>
            </w:tblGrid>
            <w:tr w14:paraId="6F641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3" w:type="pct"/>
                  <w:shd w:val="clear" w:color="auto" w:fill="D7D7D7" w:themeFill="background1" w:themeFillShade="D8"/>
                  <w:vAlign w:val="center"/>
                </w:tcPr>
                <w:p w14:paraId="0C7CF395">
                  <w:pPr>
                    <w:pStyle w:val="75"/>
                    <w:rPr>
                      <w:b/>
                      <w:color w:val="auto"/>
                      <w:sz w:val="18"/>
                      <w:szCs w:val="18"/>
                    </w:rPr>
                  </w:pPr>
                  <w:bookmarkStart w:id="16" w:name="_Hlk28855030"/>
                  <w:r>
                    <w:rPr>
                      <w:b/>
                      <w:color w:val="auto"/>
                      <w:sz w:val="18"/>
                      <w:szCs w:val="18"/>
                    </w:rPr>
                    <w:t>序号</w:t>
                  </w:r>
                </w:p>
              </w:tc>
              <w:tc>
                <w:tcPr>
                  <w:tcW w:w="793" w:type="pct"/>
                  <w:shd w:val="clear" w:color="auto" w:fill="D7D7D7" w:themeFill="background1" w:themeFillShade="D8"/>
                  <w:vAlign w:val="center"/>
                </w:tcPr>
                <w:p w14:paraId="3099580C">
                  <w:pPr>
                    <w:pStyle w:val="75"/>
                    <w:rPr>
                      <w:b/>
                      <w:color w:val="auto"/>
                      <w:sz w:val="18"/>
                      <w:szCs w:val="18"/>
                    </w:rPr>
                  </w:pPr>
                  <w:r>
                    <w:rPr>
                      <w:b/>
                      <w:color w:val="auto"/>
                      <w:sz w:val="18"/>
                      <w:szCs w:val="18"/>
                    </w:rPr>
                    <w:t>固废名称</w:t>
                  </w:r>
                </w:p>
              </w:tc>
              <w:tc>
                <w:tcPr>
                  <w:tcW w:w="633" w:type="pct"/>
                  <w:shd w:val="clear" w:color="auto" w:fill="D7D7D7" w:themeFill="background1" w:themeFillShade="D8"/>
                  <w:vAlign w:val="center"/>
                </w:tcPr>
                <w:p w14:paraId="05D391B0">
                  <w:pPr>
                    <w:pStyle w:val="75"/>
                    <w:rPr>
                      <w:b/>
                      <w:color w:val="auto"/>
                      <w:sz w:val="18"/>
                      <w:szCs w:val="18"/>
                    </w:rPr>
                  </w:pPr>
                  <w:r>
                    <w:rPr>
                      <w:b/>
                      <w:color w:val="auto"/>
                      <w:sz w:val="18"/>
                      <w:szCs w:val="18"/>
                    </w:rPr>
                    <w:t>产生工序</w:t>
                  </w:r>
                </w:p>
              </w:tc>
              <w:tc>
                <w:tcPr>
                  <w:tcW w:w="475" w:type="pct"/>
                  <w:shd w:val="clear" w:color="auto" w:fill="D7D7D7" w:themeFill="background1" w:themeFillShade="D8"/>
                  <w:vAlign w:val="center"/>
                </w:tcPr>
                <w:p w14:paraId="2088D1CD">
                  <w:pPr>
                    <w:pStyle w:val="75"/>
                    <w:rPr>
                      <w:b/>
                      <w:color w:val="auto"/>
                      <w:sz w:val="18"/>
                      <w:szCs w:val="18"/>
                    </w:rPr>
                  </w:pPr>
                  <w:r>
                    <w:rPr>
                      <w:b/>
                      <w:color w:val="auto"/>
                      <w:sz w:val="18"/>
                      <w:szCs w:val="18"/>
                    </w:rPr>
                    <w:t>属性</w:t>
                  </w:r>
                </w:p>
              </w:tc>
              <w:tc>
                <w:tcPr>
                  <w:tcW w:w="192" w:type="pct"/>
                  <w:shd w:val="clear" w:color="auto" w:fill="D7D7D7" w:themeFill="background1" w:themeFillShade="D8"/>
                  <w:vAlign w:val="center"/>
                </w:tcPr>
                <w:p w14:paraId="3BE5562D">
                  <w:pPr>
                    <w:pStyle w:val="75"/>
                    <w:rPr>
                      <w:b/>
                      <w:color w:val="auto"/>
                      <w:sz w:val="18"/>
                      <w:szCs w:val="18"/>
                    </w:rPr>
                  </w:pPr>
                  <w:r>
                    <w:rPr>
                      <w:b/>
                      <w:color w:val="auto"/>
                      <w:sz w:val="18"/>
                      <w:szCs w:val="18"/>
                    </w:rPr>
                    <w:t>形态</w:t>
                  </w:r>
                </w:p>
              </w:tc>
              <w:tc>
                <w:tcPr>
                  <w:tcW w:w="584" w:type="pct"/>
                  <w:shd w:val="clear" w:color="auto" w:fill="D7D7D7" w:themeFill="background1" w:themeFillShade="D8"/>
                  <w:vAlign w:val="center"/>
                </w:tcPr>
                <w:p w14:paraId="6827D8BB">
                  <w:pPr>
                    <w:pStyle w:val="75"/>
                    <w:rPr>
                      <w:b/>
                      <w:color w:val="auto"/>
                      <w:sz w:val="18"/>
                      <w:szCs w:val="18"/>
                    </w:rPr>
                  </w:pPr>
                  <w:r>
                    <w:rPr>
                      <w:b/>
                      <w:color w:val="auto"/>
                      <w:sz w:val="18"/>
                      <w:szCs w:val="18"/>
                    </w:rPr>
                    <w:t>废物类别</w:t>
                  </w:r>
                </w:p>
              </w:tc>
              <w:tc>
                <w:tcPr>
                  <w:tcW w:w="842" w:type="pct"/>
                  <w:shd w:val="clear" w:color="auto" w:fill="D7D7D7" w:themeFill="background1" w:themeFillShade="D8"/>
                  <w:vAlign w:val="center"/>
                </w:tcPr>
                <w:p w14:paraId="5BB27CB6">
                  <w:pPr>
                    <w:pStyle w:val="75"/>
                    <w:rPr>
                      <w:b/>
                      <w:color w:val="auto"/>
                      <w:sz w:val="18"/>
                      <w:szCs w:val="18"/>
                    </w:rPr>
                  </w:pPr>
                  <w:r>
                    <w:rPr>
                      <w:b/>
                      <w:color w:val="auto"/>
                      <w:sz w:val="18"/>
                      <w:szCs w:val="18"/>
                    </w:rPr>
                    <w:t>废物代码</w:t>
                  </w:r>
                </w:p>
              </w:tc>
              <w:tc>
                <w:tcPr>
                  <w:tcW w:w="383" w:type="pct"/>
                  <w:shd w:val="clear" w:color="auto" w:fill="D7D7D7" w:themeFill="background1" w:themeFillShade="D8"/>
                  <w:vAlign w:val="center"/>
                </w:tcPr>
                <w:p w14:paraId="4ADD238E">
                  <w:pPr>
                    <w:pStyle w:val="75"/>
                    <w:rPr>
                      <w:b/>
                      <w:color w:val="auto"/>
                      <w:sz w:val="18"/>
                      <w:szCs w:val="18"/>
                    </w:rPr>
                  </w:pPr>
                  <w:r>
                    <w:rPr>
                      <w:b/>
                      <w:color w:val="auto"/>
                      <w:sz w:val="18"/>
                      <w:szCs w:val="18"/>
                    </w:rPr>
                    <w:t>危险特性</w:t>
                  </w:r>
                </w:p>
              </w:tc>
              <w:tc>
                <w:tcPr>
                  <w:tcW w:w="360" w:type="pct"/>
                  <w:shd w:val="clear" w:color="auto" w:fill="D7D7D7" w:themeFill="background1" w:themeFillShade="D8"/>
                  <w:vAlign w:val="center"/>
                </w:tcPr>
                <w:p w14:paraId="696738D7">
                  <w:pPr>
                    <w:pStyle w:val="75"/>
                    <w:rPr>
                      <w:b/>
                      <w:color w:val="auto"/>
                      <w:sz w:val="18"/>
                      <w:szCs w:val="18"/>
                    </w:rPr>
                  </w:pPr>
                  <w:r>
                    <w:rPr>
                      <w:b/>
                      <w:color w:val="auto"/>
                      <w:sz w:val="18"/>
                      <w:szCs w:val="18"/>
                    </w:rPr>
                    <w:t>产生量t/a</w:t>
                  </w:r>
                </w:p>
              </w:tc>
              <w:tc>
                <w:tcPr>
                  <w:tcW w:w="539" w:type="pct"/>
                  <w:shd w:val="clear" w:color="auto" w:fill="D7D7D7" w:themeFill="background1" w:themeFillShade="D8"/>
                  <w:vAlign w:val="center"/>
                </w:tcPr>
                <w:p w14:paraId="37FC916F">
                  <w:pPr>
                    <w:pStyle w:val="75"/>
                    <w:rPr>
                      <w:b/>
                      <w:color w:val="auto"/>
                      <w:sz w:val="18"/>
                      <w:szCs w:val="18"/>
                    </w:rPr>
                  </w:pPr>
                  <w:r>
                    <w:rPr>
                      <w:b/>
                      <w:color w:val="auto"/>
                      <w:sz w:val="18"/>
                      <w:szCs w:val="18"/>
                    </w:rPr>
                    <w:t>处置方式</w:t>
                  </w:r>
                </w:p>
              </w:tc>
            </w:tr>
            <w:tr w14:paraId="17B72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3" w:type="pct"/>
                  <w:shd w:val="clear" w:color="auto" w:fill="auto"/>
                  <w:vAlign w:val="center"/>
                </w:tcPr>
                <w:p w14:paraId="70FD4BC1">
                  <w:pPr>
                    <w:pStyle w:val="75"/>
                    <w:rPr>
                      <w:rFonts w:hint="default"/>
                      <w:color w:val="auto"/>
                      <w:sz w:val="18"/>
                      <w:szCs w:val="18"/>
                      <w:lang w:val="en-US" w:eastAsia="zh-CN"/>
                    </w:rPr>
                  </w:pPr>
                  <w:r>
                    <w:rPr>
                      <w:rFonts w:hint="eastAsia"/>
                      <w:color w:val="auto"/>
                      <w:sz w:val="18"/>
                      <w:szCs w:val="18"/>
                      <w:lang w:val="en-US" w:eastAsia="zh-CN"/>
                    </w:rPr>
                    <w:t>1</w:t>
                  </w:r>
                </w:p>
              </w:tc>
              <w:tc>
                <w:tcPr>
                  <w:tcW w:w="793" w:type="pct"/>
                  <w:shd w:val="clear" w:color="auto" w:fill="auto"/>
                  <w:vAlign w:val="center"/>
                </w:tcPr>
                <w:p w14:paraId="66740438">
                  <w:pPr>
                    <w:widowControl/>
                    <w:spacing w:line="240" w:lineRule="auto"/>
                    <w:ind w:firstLine="0" w:firstLineChars="0"/>
                    <w:jc w:val="center"/>
                    <w:textAlignment w:val="center"/>
                    <w:rPr>
                      <w:rFonts w:hint="default"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废靶材</w:t>
                  </w:r>
                </w:p>
              </w:tc>
              <w:tc>
                <w:tcPr>
                  <w:tcW w:w="633" w:type="pct"/>
                  <w:shd w:val="clear" w:color="auto" w:fill="auto"/>
                  <w:vAlign w:val="center"/>
                </w:tcPr>
                <w:p w14:paraId="1544D096">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溅射</w:t>
                  </w:r>
                </w:p>
              </w:tc>
              <w:tc>
                <w:tcPr>
                  <w:tcW w:w="475" w:type="pct"/>
                  <w:vMerge w:val="restart"/>
                  <w:shd w:val="clear" w:color="auto" w:fill="auto"/>
                  <w:vAlign w:val="center"/>
                </w:tcPr>
                <w:p w14:paraId="41F3D8FC">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一般固废</w:t>
                  </w:r>
                </w:p>
              </w:tc>
              <w:tc>
                <w:tcPr>
                  <w:tcW w:w="192" w:type="pct"/>
                  <w:shd w:val="clear" w:color="auto" w:fill="auto"/>
                  <w:vAlign w:val="center"/>
                </w:tcPr>
                <w:p w14:paraId="774C6DE1">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固</w:t>
                  </w:r>
                </w:p>
              </w:tc>
              <w:tc>
                <w:tcPr>
                  <w:tcW w:w="584" w:type="pct"/>
                  <w:shd w:val="clear" w:color="auto" w:fill="auto"/>
                  <w:vAlign w:val="center"/>
                </w:tcPr>
                <w:p w14:paraId="1A263921">
                  <w:pPr>
                    <w:widowControl/>
                    <w:spacing w:line="240" w:lineRule="auto"/>
                    <w:ind w:firstLine="0" w:firstLineChars="0"/>
                    <w:jc w:val="center"/>
                    <w:textAlignment w:val="center"/>
                    <w:rPr>
                      <w:rFonts w:hint="default"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SW17</w:t>
                  </w:r>
                </w:p>
              </w:tc>
              <w:tc>
                <w:tcPr>
                  <w:tcW w:w="842" w:type="pct"/>
                  <w:shd w:val="clear" w:color="auto" w:fill="auto"/>
                  <w:vAlign w:val="center"/>
                </w:tcPr>
                <w:p w14:paraId="743134B1">
                  <w:pPr>
                    <w:widowControl/>
                    <w:spacing w:line="240" w:lineRule="auto"/>
                    <w:ind w:firstLine="0" w:firstLineChars="0"/>
                    <w:jc w:val="center"/>
                    <w:textAlignment w:val="center"/>
                    <w:rPr>
                      <w:rFonts w:hint="default"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900-002-S17</w:t>
                  </w:r>
                </w:p>
              </w:tc>
              <w:tc>
                <w:tcPr>
                  <w:tcW w:w="383" w:type="pct"/>
                  <w:shd w:val="clear" w:color="auto" w:fill="auto"/>
                  <w:vAlign w:val="center"/>
                </w:tcPr>
                <w:p w14:paraId="723B6A65">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360" w:type="pct"/>
                  <w:shd w:val="clear" w:color="auto" w:fill="auto"/>
                  <w:vAlign w:val="center"/>
                </w:tcPr>
                <w:p w14:paraId="379A3E5F">
                  <w:pPr>
                    <w:widowControl/>
                    <w:spacing w:line="240" w:lineRule="auto"/>
                    <w:ind w:firstLine="0" w:firstLineChars="0"/>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0.02</w:t>
                  </w:r>
                </w:p>
              </w:tc>
              <w:tc>
                <w:tcPr>
                  <w:tcW w:w="539" w:type="pct"/>
                  <w:vAlign w:val="center"/>
                </w:tcPr>
                <w:p w14:paraId="09B97C01">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外售</w:t>
                  </w:r>
                </w:p>
              </w:tc>
            </w:tr>
            <w:tr w14:paraId="3AB61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3" w:type="pct"/>
                  <w:shd w:val="clear" w:color="auto" w:fill="auto"/>
                  <w:vAlign w:val="center"/>
                </w:tcPr>
                <w:p w14:paraId="031F5400">
                  <w:pPr>
                    <w:pStyle w:val="75"/>
                    <w:rPr>
                      <w:rFonts w:hint="default"/>
                      <w:color w:val="auto"/>
                      <w:sz w:val="18"/>
                      <w:szCs w:val="18"/>
                      <w:lang w:val="en-US" w:eastAsia="zh-CN"/>
                    </w:rPr>
                  </w:pPr>
                  <w:r>
                    <w:rPr>
                      <w:rFonts w:hint="eastAsia"/>
                      <w:color w:val="auto"/>
                      <w:sz w:val="18"/>
                      <w:szCs w:val="18"/>
                      <w:lang w:val="en-US" w:eastAsia="zh-CN"/>
                    </w:rPr>
                    <w:t>2</w:t>
                  </w:r>
                </w:p>
              </w:tc>
              <w:tc>
                <w:tcPr>
                  <w:tcW w:w="793" w:type="pct"/>
                  <w:shd w:val="clear" w:color="auto" w:fill="auto"/>
                  <w:vAlign w:val="center"/>
                </w:tcPr>
                <w:p w14:paraId="0EA4864F">
                  <w:pPr>
                    <w:widowControl/>
                    <w:spacing w:line="240" w:lineRule="auto"/>
                    <w:ind w:firstLine="0" w:firstLineChars="0"/>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废金属</w:t>
                  </w:r>
                </w:p>
              </w:tc>
              <w:tc>
                <w:tcPr>
                  <w:tcW w:w="633" w:type="pct"/>
                  <w:shd w:val="clear" w:color="auto" w:fill="auto"/>
                  <w:vAlign w:val="center"/>
                </w:tcPr>
                <w:p w14:paraId="7FEC5AB4">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default"/>
                      <w:color w:val="auto"/>
                      <w:sz w:val="18"/>
                      <w:szCs w:val="18"/>
                      <w:lang w:val="en-US" w:eastAsia="zh-CN"/>
                    </w:rPr>
                    <w:t>防着板</w:t>
                  </w:r>
                  <w:r>
                    <w:rPr>
                      <w:rFonts w:hint="eastAsia"/>
                      <w:color w:val="auto"/>
                      <w:sz w:val="18"/>
                      <w:szCs w:val="18"/>
                      <w:lang w:val="en-US" w:eastAsia="zh-CN"/>
                    </w:rPr>
                    <w:t>清理</w:t>
                  </w:r>
                </w:p>
              </w:tc>
              <w:tc>
                <w:tcPr>
                  <w:tcW w:w="475" w:type="pct"/>
                  <w:vMerge w:val="continue"/>
                  <w:shd w:val="clear" w:color="auto" w:fill="auto"/>
                  <w:vAlign w:val="center"/>
                </w:tcPr>
                <w:p w14:paraId="065DC2D9">
                  <w:pPr>
                    <w:widowControl/>
                    <w:spacing w:line="240" w:lineRule="auto"/>
                    <w:ind w:firstLine="0" w:firstLineChars="0"/>
                    <w:jc w:val="center"/>
                    <w:textAlignment w:val="center"/>
                    <w:rPr>
                      <w:rFonts w:hint="eastAsia" w:cs="Times New Roman"/>
                      <w:color w:val="auto"/>
                      <w:kern w:val="0"/>
                      <w:sz w:val="18"/>
                      <w:szCs w:val="18"/>
                      <w:lang w:val="en-US" w:eastAsia="zh-CN" w:bidi="ar"/>
                    </w:rPr>
                  </w:pPr>
                </w:p>
              </w:tc>
              <w:tc>
                <w:tcPr>
                  <w:tcW w:w="192" w:type="pct"/>
                  <w:shd w:val="clear" w:color="auto" w:fill="auto"/>
                  <w:vAlign w:val="center"/>
                </w:tcPr>
                <w:p w14:paraId="7D23E5B1">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固</w:t>
                  </w:r>
                </w:p>
              </w:tc>
              <w:tc>
                <w:tcPr>
                  <w:tcW w:w="1013" w:type="dxa"/>
                  <w:shd w:val="clear" w:color="auto" w:fill="auto"/>
                  <w:vAlign w:val="center"/>
                </w:tcPr>
                <w:p w14:paraId="6A8E8C8D">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SW17</w:t>
                  </w:r>
                </w:p>
              </w:tc>
              <w:tc>
                <w:tcPr>
                  <w:tcW w:w="1460" w:type="dxa"/>
                  <w:shd w:val="clear" w:color="auto" w:fill="auto"/>
                  <w:vAlign w:val="center"/>
                </w:tcPr>
                <w:p w14:paraId="231A9E37">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900-002-S17</w:t>
                  </w:r>
                </w:p>
              </w:tc>
              <w:tc>
                <w:tcPr>
                  <w:tcW w:w="664" w:type="dxa"/>
                  <w:shd w:val="clear" w:color="auto" w:fill="auto"/>
                  <w:vAlign w:val="center"/>
                </w:tcPr>
                <w:p w14:paraId="421AE848">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624" w:type="dxa"/>
                  <w:shd w:val="clear" w:color="auto" w:fill="auto"/>
                  <w:vAlign w:val="center"/>
                </w:tcPr>
                <w:p w14:paraId="26E2825D">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0.05</w:t>
                  </w:r>
                </w:p>
              </w:tc>
              <w:tc>
                <w:tcPr>
                  <w:tcW w:w="936" w:type="dxa"/>
                  <w:vAlign w:val="center"/>
                </w:tcPr>
                <w:p w14:paraId="4E045069">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外售</w:t>
                  </w:r>
                </w:p>
              </w:tc>
            </w:tr>
            <w:tr w14:paraId="7B08D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3" w:type="pct"/>
                  <w:shd w:val="clear" w:color="auto" w:fill="auto"/>
                  <w:vAlign w:val="center"/>
                </w:tcPr>
                <w:p w14:paraId="3F6C2E74">
                  <w:pPr>
                    <w:pStyle w:val="75"/>
                    <w:rPr>
                      <w:rFonts w:hint="eastAsia" w:eastAsia="宋体"/>
                      <w:color w:val="auto"/>
                      <w:sz w:val="18"/>
                      <w:szCs w:val="18"/>
                      <w:lang w:eastAsia="zh-CN"/>
                    </w:rPr>
                  </w:pPr>
                  <w:r>
                    <w:rPr>
                      <w:rFonts w:hint="eastAsia"/>
                      <w:color w:val="auto"/>
                      <w:sz w:val="18"/>
                      <w:szCs w:val="18"/>
                      <w:lang w:val="en-US" w:eastAsia="zh-CN"/>
                    </w:rPr>
                    <w:t>3</w:t>
                  </w:r>
                </w:p>
              </w:tc>
              <w:tc>
                <w:tcPr>
                  <w:tcW w:w="793" w:type="pct"/>
                  <w:shd w:val="clear" w:color="auto" w:fill="auto"/>
                  <w:vAlign w:val="center"/>
                </w:tcPr>
                <w:p w14:paraId="343EFDE5">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不合格品</w:t>
                  </w:r>
                </w:p>
              </w:tc>
              <w:tc>
                <w:tcPr>
                  <w:tcW w:w="633" w:type="pct"/>
                  <w:shd w:val="clear" w:color="auto" w:fill="auto"/>
                  <w:vAlign w:val="center"/>
                </w:tcPr>
                <w:p w14:paraId="6F9F074A">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检测</w:t>
                  </w:r>
                </w:p>
              </w:tc>
              <w:tc>
                <w:tcPr>
                  <w:tcW w:w="475" w:type="pct"/>
                  <w:vMerge w:val="continue"/>
                  <w:shd w:val="clear" w:color="auto" w:fill="auto"/>
                  <w:vAlign w:val="center"/>
                </w:tcPr>
                <w:p w14:paraId="42E79E90">
                  <w:pPr>
                    <w:widowControl/>
                    <w:spacing w:line="240" w:lineRule="auto"/>
                    <w:ind w:firstLine="0" w:firstLineChars="0"/>
                    <w:jc w:val="center"/>
                    <w:textAlignment w:val="center"/>
                    <w:rPr>
                      <w:rFonts w:hint="eastAsia" w:eastAsia="宋体" w:cs="Times New Roman"/>
                      <w:color w:val="auto"/>
                      <w:kern w:val="0"/>
                      <w:sz w:val="18"/>
                      <w:szCs w:val="18"/>
                      <w:lang w:val="en-US" w:eastAsia="zh-CN" w:bidi="ar"/>
                    </w:rPr>
                  </w:pPr>
                </w:p>
              </w:tc>
              <w:tc>
                <w:tcPr>
                  <w:tcW w:w="192" w:type="pct"/>
                  <w:shd w:val="clear" w:color="auto" w:fill="auto"/>
                  <w:vAlign w:val="center"/>
                </w:tcPr>
                <w:p w14:paraId="4ABADDBE">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固</w:t>
                  </w:r>
                </w:p>
              </w:tc>
              <w:tc>
                <w:tcPr>
                  <w:tcW w:w="584" w:type="pct"/>
                  <w:shd w:val="clear" w:color="auto" w:fill="auto"/>
                  <w:vAlign w:val="center"/>
                </w:tcPr>
                <w:p w14:paraId="7DD99D48">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SW17</w:t>
                  </w:r>
                </w:p>
              </w:tc>
              <w:tc>
                <w:tcPr>
                  <w:tcW w:w="842" w:type="pct"/>
                  <w:shd w:val="clear" w:color="auto" w:fill="auto"/>
                  <w:vAlign w:val="center"/>
                </w:tcPr>
                <w:p w14:paraId="2073DC81">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900-0</w:t>
                  </w:r>
                  <w:r>
                    <w:rPr>
                      <w:rFonts w:hint="eastAsia" w:cs="Times New Roman"/>
                      <w:color w:val="auto"/>
                      <w:kern w:val="0"/>
                      <w:sz w:val="18"/>
                      <w:szCs w:val="18"/>
                      <w:lang w:val="en-US" w:eastAsia="zh-CN" w:bidi="ar"/>
                    </w:rPr>
                    <w:t>03</w:t>
                  </w:r>
                  <w:r>
                    <w:rPr>
                      <w:rFonts w:cs="Times New Roman"/>
                      <w:color w:val="auto"/>
                      <w:kern w:val="0"/>
                      <w:sz w:val="18"/>
                      <w:szCs w:val="18"/>
                      <w:lang w:bidi="ar"/>
                    </w:rPr>
                    <w:t>-S17</w:t>
                  </w:r>
                </w:p>
              </w:tc>
              <w:tc>
                <w:tcPr>
                  <w:tcW w:w="383" w:type="pct"/>
                  <w:shd w:val="clear" w:color="auto" w:fill="auto"/>
                  <w:vAlign w:val="center"/>
                </w:tcPr>
                <w:p w14:paraId="135E0F10">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w:t>
                  </w:r>
                </w:p>
              </w:tc>
              <w:tc>
                <w:tcPr>
                  <w:tcW w:w="360" w:type="pct"/>
                  <w:shd w:val="clear" w:color="auto" w:fill="auto"/>
                  <w:vAlign w:val="center"/>
                </w:tcPr>
                <w:p w14:paraId="17DEF265">
                  <w:pPr>
                    <w:widowControl/>
                    <w:spacing w:line="240" w:lineRule="auto"/>
                    <w:ind w:firstLine="0" w:firstLineChars="0"/>
                    <w:jc w:val="center"/>
                    <w:textAlignment w:val="center"/>
                    <w:rPr>
                      <w:rFonts w:hint="eastAsia" w:eastAsia="宋体" w:cs="Times New Roman"/>
                      <w:color w:val="auto"/>
                      <w:kern w:val="0"/>
                      <w:sz w:val="18"/>
                      <w:szCs w:val="18"/>
                      <w:lang w:eastAsia="zh-CN" w:bidi="ar"/>
                    </w:rPr>
                  </w:pPr>
                  <w:r>
                    <w:rPr>
                      <w:rFonts w:hint="eastAsia" w:cs="Times New Roman"/>
                      <w:color w:val="auto"/>
                      <w:kern w:val="0"/>
                      <w:sz w:val="18"/>
                      <w:szCs w:val="18"/>
                      <w:lang w:val="en-US" w:eastAsia="zh-CN" w:bidi="ar"/>
                    </w:rPr>
                    <w:t>8</w:t>
                  </w:r>
                </w:p>
              </w:tc>
              <w:tc>
                <w:tcPr>
                  <w:tcW w:w="539" w:type="pct"/>
                  <w:vAlign w:val="center"/>
                </w:tcPr>
                <w:p w14:paraId="5F05C2A3">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外售</w:t>
                  </w:r>
                </w:p>
              </w:tc>
            </w:tr>
            <w:tr w14:paraId="28A1E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3" w:type="pct"/>
                  <w:shd w:val="clear" w:color="auto" w:fill="auto"/>
                  <w:vAlign w:val="center"/>
                </w:tcPr>
                <w:p w14:paraId="1E60D408">
                  <w:pPr>
                    <w:pStyle w:val="75"/>
                    <w:rPr>
                      <w:rFonts w:hint="eastAsia" w:eastAsia="宋体"/>
                      <w:color w:val="auto"/>
                      <w:sz w:val="18"/>
                      <w:szCs w:val="18"/>
                      <w:lang w:eastAsia="zh-CN"/>
                    </w:rPr>
                  </w:pPr>
                  <w:r>
                    <w:rPr>
                      <w:rFonts w:hint="eastAsia"/>
                      <w:color w:val="auto"/>
                      <w:sz w:val="18"/>
                      <w:szCs w:val="18"/>
                      <w:lang w:val="en-US" w:eastAsia="zh-CN"/>
                    </w:rPr>
                    <w:t>4</w:t>
                  </w:r>
                </w:p>
              </w:tc>
              <w:tc>
                <w:tcPr>
                  <w:tcW w:w="793" w:type="pct"/>
                  <w:shd w:val="clear" w:color="auto" w:fill="auto"/>
                  <w:vAlign w:val="center"/>
                </w:tcPr>
                <w:p w14:paraId="03B2EB49">
                  <w:pPr>
                    <w:widowControl/>
                    <w:spacing w:line="240" w:lineRule="auto"/>
                    <w:ind w:firstLine="0" w:firstLineChars="0"/>
                    <w:jc w:val="center"/>
                    <w:textAlignment w:val="center"/>
                    <w:rPr>
                      <w:rFonts w:cs="Times New Roman"/>
                      <w:color w:val="auto"/>
                      <w:kern w:val="0"/>
                      <w:sz w:val="18"/>
                      <w:szCs w:val="18"/>
                      <w:lang w:bidi="ar"/>
                    </w:rPr>
                  </w:pPr>
                  <w:r>
                    <w:rPr>
                      <w:rFonts w:hint="eastAsia"/>
                      <w:color w:val="auto"/>
                      <w:sz w:val="18"/>
                      <w:szCs w:val="18"/>
                      <w:lang w:val="en-US" w:eastAsia="zh-CN"/>
                    </w:rPr>
                    <w:t>废钢瓶</w:t>
                  </w:r>
                </w:p>
              </w:tc>
              <w:tc>
                <w:tcPr>
                  <w:tcW w:w="633" w:type="pct"/>
                  <w:shd w:val="clear" w:color="auto" w:fill="auto"/>
                  <w:vAlign w:val="center"/>
                </w:tcPr>
                <w:p w14:paraId="01F901BA">
                  <w:pPr>
                    <w:widowControl/>
                    <w:spacing w:line="240" w:lineRule="auto"/>
                    <w:ind w:firstLine="0" w:firstLineChars="0"/>
                    <w:jc w:val="center"/>
                    <w:textAlignment w:val="center"/>
                    <w:rPr>
                      <w:rFonts w:hint="default"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原辅料使用</w:t>
                  </w:r>
                </w:p>
              </w:tc>
              <w:tc>
                <w:tcPr>
                  <w:tcW w:w="475" w:type="pct"/>
                  <w:vMerge w:val="continue"/>
                  <w:shd w:val="clear" w:color="auto" w:fill="auto"/>
                  <w:vAlign w:val="center"/>
                </w:tcPr>
                <w:p w14:paraId="48C3E482">
                  <w:pPr>
                    <w:widowControl/>
                    <w:spacing w:line="240" w:lineRule="auto"/>
                    <w:ind w:firstLine="0" w:firstLineChars="0"/>
                    <w:jc w:val="center"/>
                    <w:textAlignment w:val="center"/>
                    <w:rPr>
                      <w:rFonts w:cs="Times New Roman"/>
                      <w:color w:val="auto"/>
                      <w:kern w:val="0"/>
                      <w:sz w:val="18"/>
                      <w:szCs w:val="18"/>
                      <w:lang w:bidi="ar"/>
                    </w:rPr>
                  </w:pPr>
                </w:p>
              </w:tc>
              <w:tc>
                <w:tcPr>
                  <w:tcW w:w="192" w:type="pct"/>
                  <w:shd w:val="clear" w:color="auto" w:fill="auto"/>
                  <w:vAlign w:val="center"/>
                </w:tcPr>
                <w:p w14:paraId="1E2221F4">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固</w:t>
                  </w:r>
                </w:p>
              </w:tc>
              <w:tc>
                <w:tcPr>
                  <w:tcW w:w="584" w:type="pct"/>
                  <w:shd w:val="clear" w:color="auto" w:fill="auto"/>
                  <w:vAlign w:val="center"/>
                </w:tcPr>
                <w:p w14:paraId="1E7D4624">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SW17</w:t>
                  </w:r>
                </w:p>
              </w:tc>
              <w:tc>
                <w:tcPr>
                  <w:tcW w:w="842" w:type="pct"/>
                  <w:shd w:val="clear" w:color="auto" w:fill="auto"/>
                  <w:vAlign w:val="center"/>
                </w:tcPr>
                <w:p w14:paraId="46F884E8">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900-0</w:t>
                  </w:r>
                  <w:r>
                    <w:rPr>
                      <w:rFonts w:hint="eastAsia" w:cs="Times New Roman"/>
                      <w:color w:val="auto"/>
                      <w:kern w:val="0"/>
                      <w:sz w:val="18"/>
                      <w:szCs w:val="18"/>
                      <w:lang w:val="en-US" w:eastAsia="zh-CN" w:bidi="ar"/>
                    </w:rPr>
                    <w:t>01</w:t>
                  </w:r>
                  <w:r>
                    <w:rPr>
                      <w:rFonts w:cs="Times New Roman"/>
                      <w:color w:val="auto"/>
                      <w:kern w:val="0"/>
                      <w:sz w:val="18"/>
                      <w:szCs w:val="18"/>
                      <w:lang w:bidi="ar"/>
                    </w:rPr>
                    <w:t>-S17</w:t>
                  </w:r>
                </w:p>
              </w:tc>
              <w:tc>
                <w:tcPr>
                  <w:tcW w:w="383" w:type="pct"/>
                  <w:shd w:val="clear" w:color="auto" w:fill="auto"/>
                  <w:vAlign w:val="center"/>
                </w:tcPr>
                <w:p w14:paraId="280BDC45">
                  <w:pPr>
                    <w:widowControl/>
                    <w:spacing w:line="240" w:lineRule="auto"/>
                    <w:ind w:firstLine="0" w:firstLineChars="0"/>
                    <w:jc w:val="center"/>
                    <w:textAlignment w:val="center"/>
                    <w:rPr>
                      <w:rFonts w:cs="Times New Roman"/>
                      <w:color w:val="auto"/>
                      <w:kern w:val="0"/>
                      <w:sz w:val="18"/>
                      <w:szCs w:val="18"/>
                      <w:lang w:bidi="ar"/>
                    </w:rPr>
                  </w:pPr>
                  <w:r>
                    <w:rPr>
                      <w:rFonts w:cs="Times New Roman"/>
                      <w:color w:val="auto"/>
                      <w:kern w:val="0"/>
                      <w:sz w:val="18"/>
                      <w:szCs w:val="18"/>
                      <w:lang w:bidi="ar"/>
                    </w:rPr>
                    <w:t>/</w:t>
                  </w:r>
                </w:p>
              </w:tc>
              <w:tc>
                <w:tcPr>
                  <w:tcW w:w="360" w:type="pct"/>
                  <w:shd w:val="clear" w:color="auto" w:fill="auto"/>
                  <w:vAlign w:val="center"/>
                </w:tcPr>
                <w:p w14:paraId="470F8A1A">
                  <w:pPr>
                    <w:widowControl/>
                    <w:spacing w:line="240" w:lineRule="auto"/>
                    <w:ind w:firstLine="0" w:firstLineChars="0"/>
                    <w:jc w:val="center"/>
                    <w:textAlignment w:val="center"/>
                    <w:rPr>
                      <w:rFonts w:hint="default" w:eastAsia="宋体" w:cs="Times New Roman"/>
                      <w:color w:val="auto"/>
                      <w:kern w:val="0"/>
                      <w:sz w:val="18"/>
                      <w:szCs w:val="18"/>
                      <w:lang w:val="en-US" w:eastAsia="zh-CN" w:bidi="ar"/>
                    </w:rPr>
                  </w:pPr>
                  <w:r>
                    <w:rPr>
                      <w:rFonts w:hint="eastAsia" w:cs="Times New Roman"/>
                      <w:color w:val="auto"/>
                      <w:kern w:val="0"/>
                      <w:sz w:val="18"/>
                      <w:szCs w:val="18"/>
                      <w:lang w:bidi="ar"/>
                    </w:rPr>
                    <w:t>0.</w:t>
                  </w:r>
                  <w:r>
                    <w:rPr>
                      <w:rFonts w:hint="eastAsia" w:cs="Times New Roman"/>
                      <w:color w:val="auto"/>
                      <w:kern w:val="0"/>
                      <w:sz w:val="18"/>
                      <w:szCs w:val="18"/>
                      <w:lang w:val="en-US" w:eastAsia="zh-CN" w:bidi="ar"/>
                    </w:rPr>
                    <w:t>05</w:t>
                  </w:r>
                </w:p>
              </w:tc>
              <w:tc>
                <w:tcPr>
                  <w:tcW w:w="539" w:type="pct"/>
                  <w:vAlign w:val="center"/>
                </w:tcPr>
                <w:p w14:paraId="3A31EEC6">
                  <w:pPr>
                    <w:widowControl/>
                    <w:spacing w:line="240" w:lineRule="auto"/>
                    <w:ind w:firstLine="0" w:firstLineChars="0"/>
                    <w:jc w:val="center"/>
                    <w:textAlignment w:val="center"/>
                    <w:rPr>
                      <w:rFonts w:cs="Times New Roman"/>
                      <w:color w:val="auto"/>
                      <w:kern w:val="0"/>
                      <w:sz w:val="18"/>
                      <w:szCs w:val="18"/>
                      <w:lang w:bidi="ar"/>
                    </w:rPr>
                  </w:pPr>
                  <w:r>
                    <w:rPr>
                      <w:rFonts w:hint="eastAsia"/>
                      <w:color w:val="auto"/>
                      <w:sz w:val="18"/>
                      <w:szCs w:val="18"/>
                      <w:lang w:val="en-US" w:eastAsia="zh-CN"/>
                    </w:rPr>
                    <w:t>委外综合利用</w:t>
                  </w:r>
                </w:p>
              </w:tc>
            </w:tr>
          </w:tbl>
          <w:p w14:paraId="413BC534">
            <w:pPr>
              <w:ind w:firstLine="420"/>
              <w:rPr>
                <w:color w:val="auto"/>
              </w:rPr>
            </w:pPr>
            <w:r>
              <w:rPr>
                <w:rFonts w:hint="eastAsia"/>
                <w:color w:val="auto"/>
              </w:rPr>
              <w:t>本项目依托现有固废仓库，正常运行后全厂固废情况见下表。</w:t>
            </w:r>
          </w:p>
          <w:p w14:paraId="78DC5BA7">
            <w:pPr>
              <w:spacing w:line="240" w:lineRule="auto"/>
              <w:ind w:firstLine="422"/>
              <w:jc w:val="center"/>
              <w:rPr>
                <w:rFonts w:cs="Times New Roman"/>
                <w:b/>
                <w:color w:val="auto"/>
                <w:sz w:val="21"/>
                <w:szCs w:val="21"/>
              </w:rPr>
            </w:pPr>
            <w:r>
              <w:rPr>
                <w:rFonts w:cs="Times New Roman"/>
                <w:b/>
                <w:color w:val="auto"/>
                <w:sz w:val="21"/>
                <w:szCs w:val="21"/>
              </w:rPr>
              <w:t>表4-</w:t>
            </w:r>
            <w:r>
              <w:rPr>
                <w:rFonts w:hint="eastAsia" w:cs="Times New Roman"/>
                <w:b/>
                <w:color w:val="auto"/>
                <w:sz w:val="21"/>
                <w:szCs w:val="21"/>
                <w:lang w:val="en-US" w:eastAsia="zh-CN"/>
              </w:rPr>
              <w:t>5</w:t>
            </w:r>
            <w:r>
              <w:rPr>
                <w:rFonts w:hint="eastAsia" w:cs="Times New Roman"/>
                <w:b/>
                <w:color w:val="auto"/>
                <w:sz w:val="21"/>
                <w:szCs w:val="21"/>
              </w:rPr>
              <w:t>全厂固废</w:t>
            </w:r>
            <w:r>
              <w:rPr>
                <w:rFonts w:cs="Times New Roman"/>
                <w:b/>
                <w:color w:val="auto"/>
                <w:sz w:val="21"/>
                <w:szCs w:val="21"/>
              </w:rPr>
              <w:t>汇总表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716"/>
              <w:gridCol w:w="1443"/>
              <w:gridCol w:w="1445"/>
              <w:gridCol w:w="1445"/>
              <w:gridCol w:w="1445"/>
            </w:tblGrid>
            <w:tr w14:paraId="09B33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shd w:val="clear" w:color="auto" w:fill="D7D7D7" w:themeFill="background1" w:themeFillShade="D8"/>
                  <w:noWrap w:val="0"/>
                  <w:vAlign w:val="center"/>
                </w:tcPr>
                <w:p w14:paraId="5DFEB04A">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990" w:type="pct"/>
                  <w:tcBorders>
                    <w:tl2br w:val="nil"/>
                    <w:tr2bl w:val="nil"/>
                  </w:tcBorders>
                  <w:shd w:val="clear" w:color="auto" w:fill="D7D7D7" w:themeFill="background1" w:themeFillShade="D8"/>
                  <w:noWrap w:val="0"/>
                  <w:vAlign w:val="center"/>
                </w:tcPr>
                <w:p w14:paraId="3C66F72A">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固废名称</w:t>
                  </w:r>
                </w:p>
              </w:tc>
              <w:tc>
                <w:tcPr>
                  <w:tcW w:w="832" w:type="pct"/>
                  <w:tcBorders>
                    <w:tl2br w:val="nil"/>
                    <w:tr2bl w:val="nil"/>
                  </w:tcBorders>
                  <w:shd w:val="clear" w:color="auto" w:fill="D7D7D7" w:themeFill="background1" w:themeFillShade="D8"/>
                  <w:noWrap w:val="0"/>
                  <w:vAlign w:val="center"/>
                </w:tcPr>
                <w:p w14:paraId="41377FA0">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产生工序</w:t>
                  </w:r>
                </w:p>
              </w:tc>
              <w:tc>
                <w:tcPr>
                  <w:tcW w:w="833" w:type="pct"/>
                  <w:tcBorders>
                    <w:tl2br w:val="nil"/>
                    <w:tr2bl w:val="nil"/>
                  </w:tcBorders>
                  <w:shd w:val="clear" w:color="auto" w:fill="D7D7D7" w:themeFill="background1" w:themeFillShade="D8"/>
                  <w:noWrap w:val="0"/>
                  <w:vAlign w:val="center"/>
                </w:tcPr>
                <w:p w14:paraId="1C2CC5E6">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属性</w:t>
                  </w:r>
                </w:p>
              </w:tc>
              <w:tc>
                <w:tcPr>
                  <w:tcW w:w="833" w:type="pct"/>
                  <w:tcBorders>
                    <w:tl2br w:val="nil"/>
                    <w:tr2bl w:val="nil"/>
                  </w:tcBorders>
                  <w:shd w:val="clear" w:color="auto" w:fill="D7D7D7" w:themeFill="background1" w:themeFillShade="D8"/>
                  <w:noWrap w:val="0"/>
                  <w:vAlign w:val="center"/>
                </w:tcPr>
                <w:p w14:paraId="679B87DC">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产生量（t/a）</w:t>
                  </w:r>
                </w:p>
              </w:tc>
              <w:tc>
                <w:tcPr>
                  <w:tcW w:w="833" w:type="pct"/>
                  <w:tcBorders>
                    <w:tl2br w:val="nil"/>
                    <w:tr2bl w:val="nil"/>
                  </w:tcBorders>
                  <w:shd w:val="clear" w:color="auto" w:fill="D7D7D7" w:themeFill="background1" w:themeFillShade="D8"/>
                  <w:noWrap w:val="0"/>
                  <w:vAlign w:val="center"/>
                </w:tcPr>
                <w:p w14:paraId="68697195">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处置方式</w:t>
                  </w:r>
                </w:p>
              </w:tc>
            </w:tr>
            <w:tr w14:paraId="3E26C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326A0244">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90" w:type="pct"/>
                  <w:tcBorders>
                    <w:tl2br w:val="nil"/>
                    <w:tr2bl w:val="nil"/>
                  </w:tcBorders>
                  <w:noWrap w:val="0"/>
                  <w:vAlign w:val="center"/>
                </w:tcPr>
                <w:p w14:paraId="6763AD88">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过滤残渣</w:t>
                  </w:r>
                </w:p>
              </w:tc>
              <w:tc>
                <w:tcPr>
                  <w:tcW w:w="832" w:type="pct"/>
                  <w:tcBorders>
                    <w:tl2br w:val="nil"/>
                    <w:tr2bl w:val="nil"/>
                  </w:tcBorders>
                  <w:noWrap w:val="0"/>
                  <w:vAlign w:val="center"/>
                </w:tcPr>
                <w:p w14:paraId="6C435305">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生产</w:t>
                  </w:r>
                </w:p>
              </w:tc>
              <w:tc>
                <w:tcPr>
                  <w:tcW w:w="833" w:type="pct"/>
                  <w:vMerge w:val="restart"/>
                  <w:tcBorders>
                    <w:tl2br w:val="nil"/>
                    <w:tr2bl w:val="nil"/>
                  </w:tcBorders>
                  <w:noWrap w:val="0"/>
                  <w:vAlign w:val="center"/>
                </w:tcPr>
                <w:p w14:paraId="7ADE634F">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危险固废</w:t>
                  </w:r>
                </w:p>
              </w:tc>
              <w:tc>
                <w:tcPr>
                  <w:tcW w:w="833" w:type="pct"/>
                  <w:tcBorders>
                    <w:tl2br w:val="nil"/>
                    <w:tr2bl w:val="nil"/>
                  </w:tcBorders>
                  <w:noWrap w:val="0"/>
                  <w:vAlign w:val="center"/>
                </w:tcPr>
                <w:p w14:paraId="625926D5">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86.162</w:t>
                  </w:r>
                </w:p>
              </w:tc>
              <w:tc>
                <w:tcPr>
                  <w:tcW w:w="833" w:type="pct"/>
                  <w:vMerge w:val="restart"/>
                  <w:tcBorders>
                    <w:tl2br w:val="nil"/>
                    <w:tr2bl w:val="nil"/>
                  </w:tcBorders>
                  <w:noWrap w:val="0"/>
                  <w:vAlign w:val="center"/>
                </w:tcPr>
                <w:p w14:paraId="07E393C7">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妥善收集后委托资质单位处置</w:t>
                  </w:r>
                </w:p>
              </w:tc>
            </w:tr>
            <w:tr w14:paraId="4073B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27889B53">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90" w:type="pct"/>
                  <w:tcBorders>
                    <w:tl2br w:val="nil"/>
                    <w:tr2bl w:val="nil"/>
                  </w:tcBorders>
                  <w:noWrap w:val="0"/>
                  <w:vAlign w:val="center"/>
                </w:tcPr>
                <w:p w14:paraId="7003D4C3">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废包装材料</w:t>
                  </w:r>
                </w:p>
              </w:tc>
              <w:tc>
                <w:tcPr>
                  <w:tcW w:w="832" w:type="pct"/>
                  <w:tcBorders>
                    <w:tl2br w:val="nil"/>
                    <w:tr2bl w:val="nil"/>
                  </w:tcBorders>
                  <w:noWrap w:val="0"/>
                  <w:vAlign w:val="center"/>
                </w:tcPr>
                <w:p w14:paraId="5FBB2D51">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原料</w:t>
                  </w:r>
                </w:p>
              </w:tc>
              <w:tc>
                <w:tcPr>
                  <w:tcW w:w="833" w:type="pct"/>
                  <w:vMerge w:val="continue"/>
                  <w:tcBorders>
                    <w:tl2br w:val="nil"/>
                    <w:tr2bl w:val="nil"/>
                  </w:tcBorders>
                  <w:noWrap w:val="0"/>
                  <w:vAlign w:val="center"/>
                </w:tcPr>
                <w:p w14:paraId="633D2547">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5144F22E">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833" w:type="pct"/>
                  <w:vMerge w:val="continue"/>
                  <w:tcBorders>
                    <w:tl2br w:val="nil"/>
                    <w:tr2bl w:val="nil"/>
                  </w:tcBorders>
                  <w:noWrap w:val="0"/>
                  <w:vAlign w:val="center"/>
                </w:tcPr>
                <w:p w14:paraId="1F5C744B">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2B156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1BEB6E4A">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90" w:type="pct"/>
                  <w:tcBorders>
                    <w:tl2br w:val="nil"/>
                    <w:tr2bl w:val="nil"/>
                  </w:tcBorders>
                  <w:noWrap w:val="0"/>
                  <w:vAlign w:val="center"/>
                </w:tcPr>
                <w:p w14:paraId="359B2CE5">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废清洗溶剂</w:t>
                  </w:r>
                </w:p>
              </w:tc>
              <w:tc>
                <w:tcPr>
                  <w:tcW w:w="832" w:type="pct"/>
                  <w:tcBorders>
                    <w:tl2br w:val="nil"/>
                    <w:tr2bl w:val="nil"/>
                  </w:tcBorders>
                  <w:noWrap w:val="0"/>
                  <w:vAlign w:val="center"/>
                </w:tcPr>
                <w:p w14:paraId="2E4F8899">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清洗</w:t>
                  </w:r>
                </w:p>
              </w:tc>
              <w:tc>
                <w:tcPr>
                  <w:tcW w:w="833" w:type="pct"/>
                  <w:vMerge w:val="continue"/>
                  <w:tcBorders>
                    <w:tl2br w:val="nil"/>
                    <w:tr2bl w:val="nil"/>
                  </w:tcBorders>
                  <w:noWrap w:val="0"/>
                  <w:vAlign w:val="center"/>
                </w:tcPr>
                <w:p w14:paraId="4E12E587">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699B18BD">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27.308</w:t>
                  </w:r>
                </w:p>
              </w:tc>
              <w:tc>
                <w:tcPr>
                  <w:tcW w:w="833" w:type="pct"/>
                  <w:vMerge w:val="continue"/>
                  <w:tcBorders>
                    <w:tl2br w:val="nil"/>
                    <w:tr2bl w:val="nil"/>
                  </w:tcBorders>
                  <w:noWrap w:val="0"/>
                  <w:vAlign w:val="center"/>
                </w:tcPr>
                <w:p w14:paraId="476A3327">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508EF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7B741008">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90" w:type="pct"/>
                  <w:tcBorders>
                    <w:tl2br w:val="nil"/>
                    <w:tr2bl w:val="nil"/>
                  </w:tcBorders>
                  <w:noWrap w:val="0"/>
                  <w:vAlign w:val="center"/>
                </w:tcPr>
                <w:p w14:paraId="46A0D8DB">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废机油</w:t>
                  </w:r>
                </w:p>
              </w:tc>
              <w:tc>
                <w:tcPr>
                  <w:tcW w:w="832" w:type="pct"/>
                  <w:tcBorders>
                    <w:tl2br w:val="nil"/>
                    <w:tr2bl w:val="nil"/>
                  </w:tcBorders>
                  <w:noWrap w:val="0"/>
                  <w:vAlign w:val="center"/>
                </w:tcPr>
                <w:p w14:paraId="2BCBC361">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维修</w:t>
                  </w:r>
                </w:p>
              </w:tc>
              <w:tc>
                <w:tcPr>
                  <w:tcW w:w="833" w:type="pct"/>
                  <w:vMerge w:val="continue"/>
                  <w:tcBorders>
                    <w:tl2br w:val="nil"/>
                    <w:tr2bl w:val="nil"/>
                  </w:tcBorders>
                  <w:noWrap w:val="0"/>
                  <w:vAlign w:val="center"/>
                </w:tcPr>
                <w:p w14:paraId="6F5C6AD8">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474EFCB0">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0.5</w:t>
                  </w:r>
                </w:p>
              </w:tc>
              <w:tc>
                <w:tcPr>
                  <w:tcW w:w="833" w:type="pct"/>
                  <w:vMerge w:val="continue"/>
                  <w:tcBorders>
                    <w:tl2br w:val="nil"/>
                    <w:tr2bl w:val="nil"/>
                  </w:tcBorders>
                  <w:noWrap w:val="0"/>
                  <w:vAlign w:val="center"/>
                </w:tcPr>
                <w:p w14:paraId="0AC37116">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44D7C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628E1057">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90" w:type="pct"/>
                  <w:tcBorders>
                    <w:tl2br w:val="nil"/>
                    <w:tr2bl w:val="nil"/>
                  </w:tcBorders>
                  <w:noWrap w:val="0"/>
                  <w:vAlign w:val="center"/>
                </w:tcPr>
                <w:p w14:paraId="77F14A07">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冷凝废液</w:t>
                  </w:r>
                </w:p>
              </w:tc>
              <w:tc>
                <w:tcPr>
                  <w:tcW w:w="832" w:type="pct"/>
                  <w:tcBorders>
                    <w:tl2br w:val="nil"/>
                    <w:tr2bl w:val="nil"/>
                  </w:tcBorders>
                  <w:noWrap w:val="0"/>
                  <w:vAlign w:val="center"/>
                </w:tcPr>
                <w:p w14:paraId="1C79FA4E">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w:t>
                  </w:r>
                </w:p>
              </w:tc>
              <w:tc>
                <w:tcPr>
                  <w:tcW w:w="833" w:type="pct"/>
                  <w:vMerge w:val="continue"/>
                  <w:tcBorders>
                    <w:tl2br w:val="nil"/>
                    <w:tr2bl w:val="nil"/>
                  </w:tcBorders>
                  <w:noWrap w:val="0"/>
                  <w:vAlign w:val="center"/>
                </w:tcPr>
                <w:p w14:paraId="1B6ADC3A">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0E4A30D3">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1301.37</w:t>
                  </w:r>
                </w:p>
              </w:tc>
              <w:tc>
                <w:tcPr>
                  <w:tcW w:w="833" w:type="pct"/>
                  <w:vMerge w:val="continue"/>
                  <w:tcBorders>
                    <w:tl2br w:val="nil"/>
                    <w:tr2bl w:val="nil"/>
                  </w:tcBorders>
                  <w:noWrap w:val="0"/>
                  <w:vAlign w:val="center"/>
                </w:tcPr>
                <w:p w14:paraId="44F1D69A">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22E13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2C620B3D">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90" w:type="pct"/>
                  <w:tcBorders>
                    <w:tl2br w:val="nil"/>
                    <w:tr2bl w:val="nil"/>
                  </w:tcBorders>
                  <w:noWrap w:val="0"/>
                  <w:vAlign w:val="center"/>
                </w:tcPr>
                <w:p w14:paraId="4B940B6D">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废布袋</w:t>
                  </w:r>
                </w:p>
              </w:tc>
              <w:tc>
                <w:tcPr>
                  <w:tcW w:w="832" w:type="pct"/>
                  <w:tcBorders>
                    <w:tl2br w:val="nil"/>
                    <w:tr2bl w:val="nil"/>
                  </w:tcBorders>
                  <w:noWrap w:val="0"/>
                  <w:vAlign w:val="center"/>
                </w:tcPr>
                <w:p w14:paraId="5747FCA3">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废气处理</w:t>
                  </w:r>
                </w:p>
              </w:tc>
              <w:tc>
                <w:tcPr>
                  <w:tcW w:w="833" w:type="pct"/>
                  <w:vMerge w:val="continue"/>
                  <w:tcBorders>
                    <w:tl2br w:val="nil"/>
                    <w:tr2bl w:val="nil"/>
                  </w:tcBorders>
                  <w:noWrap w:val="0"/>
                  <w:vAlign w:val="center"/>
                </w:tcPr>
                <w:p w14:paraId="71F32A39">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37676431">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lang w:bidi="zh-CN"/>
                    </w:rPr>
                  </w:pPr>
                  <w:r>
                    <w:rPr>
                      <w:rFonts w:hint="default" w:ascii="Times New Roman" w:hAnsi="Times New Roman" w:eastAsia="宋体" w:cs="Times New Roman"/>
                      <w:color w:val="auto"/>
                      <w:sz w:val="18"/>
                      <w:szCs w:val="18"/>
                    </w:rPr>
                    <w:t>0.45</w:t>
                  </w:r>
                </w:p>
              </w:tc>
              <w:tc>
                <w:tcPr>
                  <w:tcW w:w="833" w:type="pct"/>
                  <w:vMerge w:val="continue"/>
                  <w:tcBorders>
                    <w:tl2br w:val="nil"/>
                    <w:tr2bl w:val="nil"/>
                  </w:tcBorders>
                  <w:noWrap w:val="0"/>
                  <w:vAlign w:val="center"/>
                </w:tcPr>
                <w:p w14:paraId="27719A50">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10406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2827A99A">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990" w:type="pct"/>
                  <w:tcBorders>
                    <w:tl2br w:val="nil"/>
                    <w:tr2bl w:val="nil"/>
                  </w:tcBorders>
                  <w:noWrap w:val="0"/>
                  <w:vAlign w:val="center"/>
                </w:tcPr>
                <w:p w14:paraId="131500BB">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废水处理污泥</w:t>
                  </w:r>
                </w:p>
              </w:tc>
              <w:tc>
                <w:tcPr>
                  <w:tcW w:w="832" w:type="pct"/>
                  <w:tcBorders>
                    <w:tl2br w:val="nil"/>
                    <w:tr2bl w:val="nil"/>
                  </w:tcBorders>
                  <w:noWrap w:val="0"/>
                  <w:vAlign w:val="center"/>
                </w:tcPr>
                <w:p w14:paraId="7A040764">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废水处理</w:t>
                  </w:r>
                </w:p>
              </w:tc>
              <w:tc>
                <w:tcPr>
                  <w:tcW w:w="833" w:type="pct"/>
                  <w:vMerge w:val="continue"/>
                  <w:tcBorders>
                    <w:tl2br w:val="nil"/>
                    <w:tr2bl w:val="nil"/>
                  </w:tcBorders>
                  <w:noWrap w:val="0"/>
                  <w:vAlign w:val="center"/>
                </w:tcPr>
                <w:p w14:paraId="15DCF1CD">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7F87EF9D">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lang w:bidi="zh-CN"/>
                    </w:rPr>
                  </w:pPr>
                  <w:r>
                    <w:rPr>
                      <w:rFonts w:hint="default" w:ascii="Times New Roman" w:hAnsi="Times New Roman" w:eastAsia="宋体" w:cs="Times New Roman"/>
                      <w:color w:val="auto"/>
                      <w:sz w:val="18"/>
                      <w:szCs w:val="18"/>
                    </w:rPr>
                    <w:t>10</w:t>
                  </w:r>
                </w:p>
              </w:tc>
              <w:tc>
                <w:tcPr>
                  <w:tcW w:w="833" w:type="pct"/>
                  <w:vMerge w:val="continue"/>
                  <w:tcBorders>
                    <w:tl2br w:val="nil"/>
                    <w:tr2bl w:val="nil"/>
                  </w:tcBorders>
                  <w:noWrap w:val="0"/>
                  <w:vAlign w:val="center"/>
                </w:tcPr>
                <w:p w14:paraId="2A09BC11">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3638A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1B7F83CB">
                  <w:pPr>
                    <w:pStyle w:val="188"/>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990" w:type="pct"/>
                  <w:tcBorders>
                    <w:tl2br w:val="nil"/>
                    <w:tr2bl w:val="nil"/>
                  </w:tcBorders>
                  <w:noWrap w:val="0"/>
                  <w:vAlign w:val="center"/>
                </w:tcPr>
                <w:p w14:paraId="181B7335">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酸洗废液</w:t>
                  </w:r>
                </w:p>
              </w:tc>
              <w:tc>
                <w:tcPr>
                  <w:tcW w:w="832" w:type="pct"/>
                  <w:vMerge w:val="restart"/>
                  <w:tcBorders>
                    <w:tl2br w:val="nil"/>
                    <w:tr2bl w:val="nil"/>
                  </w:tcBorders>
                  <w:noWrap w:val="0"/>
                  <w:vAlign w:val="center"/>
                </w:tcPr>
                <w:p w14:paraId="6B5E63BF">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过滤器清洗</w:t>
                  </w:r>
                </w:p>
              </w:tc>
              <w:tc>
                <w:tcPr>
                  <w:tcW w:w="833" w:type="pct"/>
                  <w:vMerge w:val="continue"/>
                  <w:tcBorders>
                    <w:tl2br w:val="nil"/>
                    <w:tr2bl w:val="nil"/>
                  </w:tcBorders>
                  <w:noWrap w:val="0"/>
                  <w:vAlign w:val="center"/>
                </w:tcPr>
                <w:p w14:paraId="714DA49C">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7FB00463">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33" w:type="pct"/>
                  <w:vMerge w:val="continue"/>
                  <w:tcBorders>
                    <w:tl2br w:val="nil"/>
                    <w:tr2bl w:val="nil"/>
                  </w:tcBorders>
                  <w:noWrap w:val="0"/>
                  <w:vAlign w:val="center"/>
                </w:tcPr>
                <w:p w14:paraId="0E40C3B8">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4F84F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11BB272F">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990" w:type="pct"/>
                  <w:tcBorders>
                    <w:tl2br w:val="nil"/>
                    <w:tr2bl w:val="nil"/>
                  </w:tcBorders>
                  <w:noWrap w:val="0"/>
                  <w:vAlign w:val="center"/>
                </w:tcPr>
                <w:p w14:paraId="771A4E50">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碱洗废液</w:t>
                  </w:r>
                </w:p>
              </w:tc>
              <w:tc>
                <w:tcPr>
                  <w:tcW w:w="832" w:type="pct"/>
                  <w:vMerge w:val="continue"/>
                  <w:tcBorders>
                    <w:tl2br w:val="nil"/>
                    <w:tr2bl w:val="nil"/>
                  </w:tcBorders>
                  <w:noWrap w:val="0"/>
                  <w:vAlign w:val="center"/>
                </w:tcPr>
                <w:p w14:paraId="0DB94F62">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vMerge w:val="continue"/>
                  <w:tcBorders>
                    <w:tl2br w:val="nil"/>
                    <w:tr2bl w:val="nil"/>
                  </w:tcBorders>
                  <w:noWrap w:val="0"/>
                  <w:vAlign w:val="center"/>
                </w:tcPr>
                <w:p w14:paraId="7209DCC0">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5A2139CE">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833" w:type="pct"/>
                  <w:vMerge w:val="continue"/>
                  <w:tcBorders>
                    <w:tl2br w:val="nil"/>
                    <w:tr2bl w:val="nil"/>
                  </w:tcBorders>
                  <w:noWrap w:val="0"/>
                  <w:vAlign w:val="center"/>
                </w:tcPr>
                <w:p w14:paraId="46C29160">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4C353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49B86AEC">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990" w:type="pct"/>
                  <w:tcBorders>
                    <w:tl2br w:val="nil"/>
                    <w:tr2bl w:val="nil"/>
                  </w:tcBorders>
                  <w:noWrap w:val="0"/>
                  <w:vAlign w:val="center"/>
                </w:tcPr>
                <w:p w14:paraId="7DC2C641">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废活性炭</w:t>
                  </w:r>
                </w:p>
              </w:tc>
              <w:tc>
                <w:tcPr>
                  <w:tcW w:w="832" w:type="pct"/>
                  <w:tcBorders>
                    <w:tl2br w:val="nil"/>
                    <w:tr2bl w:val="nil"/>
                  </w:tcBorders>
                  <w:noWrap w:val="0"/>
                  <w:vAlign w:val="center"/>
                </w:tcPr>
                <w:p w14:paraId="6358BC48">
                  <w:pPr>
                    <w:pStyle w:val="10"/>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废气处理</w:t>
                  </w:r>
                </w:p>
              </w:tc>
              <w:tc>
                <w:tcPr>
                  <w:tcW w:w="833" w:type="pct"/>
                  <w:vMerge w:val="continue"/>
                  <w:tcBorders>
                    <w:tl2br w:val="nil"/>
                    <w:tr2bl w:val="nil"/>
                  </w:tcBorders>
                  <w:noWrap w:val="0"/>
                  <w:vAlign w:val="center"/>
                </w:tcPr>
                <w:p w14:paraId="1BE3C411">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4D879044">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390.18</w:t>
                  </w:r>
                </w:p>
              </w:tc>
              <w:tc>
                <w:tcPr>
                  <w:tcW w:w="833" w:type="pct"/>
                  <w:vMerge w:val="continue"/>
                  <w:tcBorders>
                    <w:tl2br w:val="nil"/>
                    <w:tr2bl w:val="nil"/>
                  </w:tcBorders>
                  <w:noWrap w:val="0"/>
                  <w:vAlign w:val="center"/>
                </w:tcPr>
                <w:p w14:paraId="0C7B54D2">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21606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392F3D33">
                  <w:pPr>
                    <w:pStyle w:val="6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r>
                    <w:rPr>
                      <w:rFonts w:hint="eastAsia" w:ascii="Times New Roman" w:hAnsi="Times New Roman" w:eastAsia="宋体" w:cs="Times New Roman"/>
                      <w:color w:val="auto"/>
                      <w:sz w:val="18"/>
                      <w:szCs w:val="18"/>
                      <w:lang w:val="en-US" w:eastAsia="zh-CN"/>
                    </w:rPr>
                    <w:t>1</w:t>
                  </w:r>
                </w:p>
              </w:tc>
              <w:tc>
                <w:tcPr>
                  <w:tcW w:w="990" w:type="pct"/>
                  <w:tcBorders>
                    <w:tl2br w:val="nil"/>
                    <w:tr2bl w:val="nil"/>
                  </w:tcBorders>
                  <w:noWrap w:val="0"/>
                  <w:vAlign w:val="center"/>
                </w:tcPr>
                <w:p w14:paraId="4FBB278D">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不合格产品</w:t>
                  </w:r>
                </w:p>
              </w:tc>
              <w:tc>
                <w:tcPr>
                  <w:tcW w:w="832" w:type="pct"/>
                  <w:tcBorders>
                    <w:tl2br w:val="nil"/>
                    <w:tr2bl w:val="nil"/>
                  </w:tcBorders>
                  <w:noWrap w:val="0"/>
                  <w:vAlign w:val="center"/>
                </w:tcPr>
                <w:p w14:paraId="7CE270B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w:t>
                  </w:r>
                </w:p>
              </w:tc>
              <w:tc>
                <w:tcPr>
                  <w:tcW w:w="833" w:type="pct"/>
                  <w:vMerge w:val="restart"/>
                  <w:tcBorders>
                    <w:tl2br w:val="nil"/>
                    <w:tr2bl w:val="nil"/>
                  </w:tcBorders>
                  <w:noWrap w:val="0"/>
                  <w:vAlign w:val="center"/>
                </w:tcPr>
                <w:p w14:paraId="59C02B80">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一般固废</w:t>
                  </w:r>
                </w:p>
              </w:tc>
              <w:tc>
                <w:tcPr>
                  <w:tcW w:w="833" w:type="pct"/>
                  <w:tcBorders>
                    <w:tl2br w:val="nil"/>
                    <w:tr2bl w:val="nil"/>
                  </w:tcBorders>
                  <w:noWrap w:val="0"/>
                  <w:vAlign w:val="center"/>
                </w:tcPr>
                <w:p w14:paraId="0221A575">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w:t>
                  </w:r>
                  <w:r>
                    <w:rPr>
                      <w:rFonts w:hint="default" w:ascii="Times New Roman" w:hAnsi="Times New Roman" w:eastAsia="宋体" w:cs="Times New Roman"/>
                      <w:color w:val="auto"/>
                      <w:sz w:val="18"/>
                      <w:szCs w:val="18"/>
                      <w:lang w:val="en-US" w:eastAsia="zh-CN"/>
                    </w:rPr>
                    <w:t>65</w:t>
                  </w:r>
                  <w:r>
                    <w:rPr>
                      <w:rFonts w:hint="default" w:ascii="Times New Roman" w:hAnsi="Times New Roman" w:eastAsia="宋体" w:cs="Times New Roman"/>
                      <w:color w:val="auto"/>
                      <w:sz w:val="18"/>
                      <w:szCs w:val="18"/>
                    </w:rPr>
                    <w:t>.832</w:t>
                  </w:r>
                </w:p>
              </w:tc>
              <w:tc>
                <w:tcPr>
                  <w:tcW w:w="833" w:type="pct"/>
                  <w:vMerge w:val="restart"/>
                  <w:tcBorders>
                    <w:tl2br w:val="nil"/>
                    <w:tr2bl w:val="nil"/>
                  </w:tcBorders>
                  <w:noWrap w:val="0"/>
                  <w:vAlign w:val="center"/>
                </w:tcPr>
                <w:p w14:paraId="347CAC85">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收集后外售</w:t>
                  </w:r>
                  <w:r>
                    <w:rPr>
                      <w:rFonts w:hint="eastAsia" w:cs="Times New Roman"/>
                      <w:color w:val="auto"/>
                      <w:sz w:val="18"/>
                      <w:szCs w:val="18"/>
                      <w:lang w:val="en-US" w:eastAsia="zh-CN"/>
                    </w:rPr>
                    <w:t>或</w:t>
                  </w:r>
                  <w:r>
                    <w:rPr>
                      <w:rFonts w:hint="eastAsia"/>
                      <w:color w:val="auto"/>
                      <w:sz w:val="18"/>
                      <w:szCs w:val="18"/>
                      <w:lang w:val="en-US" w:eastAsia="zh-CN"/>
                    </w:rPr>
                    <w:t>委外综合利用</w:t>
                  </w:r>
                  <w:r>
                    <w:rPr>
                      <w:rFonts w:hint="default" w:ascii="Times New Roman" w:hAnsi="Times New Roman" w:eastAsia="宋体" w:cs="Times New Roman"/>
                      <w:color w:val="auto"/>
                      <w:sz w:val="18"/>
                      <w:szCs w:val="18"/>
                      <w:lang w:val="en-US"/>
                    </w:rPr>
                    <w:t>处置</w:t>
                  </w:r>
                </w:p>
              </w:tc>
            </w:tr>
            <w:tr w14:paraId="4AB4A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5D28288D">
                  <w:pPr>
                    <w:pStyle w:val="6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990" w:type="pct"/>
                  <w:tcBorders>
                    <w:tl2br w:val="nil"/>
                    <w:tr2bl w:val="nil"/>
                  </w:tcBorders>
                  <w:noWrap w:val="0"/>
                  <w:vAlign w:val="center"/>
                </w:tcPr>
                <w:p w14:paraId="276AF7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kern w:val="0"/>
                      <w:sz w:val="18"/>
                      <w:szCs w:val="18"/>
                      <w:lang w:bidi="ar"/>
                    </w:rPr>
                    <w:t>废</w:t>
                  </w:r>
                  <w:r>
                    <w:rPr>
                      <w:rFonts w:hint="default" w:ascii="Times New Roman" w:hAnsi="Times New Roman" w:eastAsia="宋体" w:cs="Times New Roman"/>
                      <w:color w:val="auto"/>
                      <w:sz w:val="18"/>
                      <w:szCs w:val="18"/>
                      <w:lang w:val="en-US" w:eastAsia="zh-CN"/>
                    </w:rPr>
                    <w:t>靶材</w:t>
                  </w:r>
                </w:p>
              </w:tc>
              <w:tc>
                <w:tcPr>
                  <w:tcW w:w="832" w:type="pct"/>
                  <w:tcBorders>
                    <w:tl2br w:val="nil"/>
                    <w:tr2bl w:val="nil"/>
                  </w:tcBorders>
                  <w:noWrap w:val="0"/>
                  <w:vAlign w:val="center"/>
                </w:tcPr>
                <w:p w14:paraId="6B45F9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溅射</w:t>
                  </w:r>
                </w:p>
              </w:tc>
              <w:tc>
                <w:tcPr>
                  <w:tcW w:w="833" w:type="pct"/>
                  <w:vMerge w:val="continue"/>
                  <w:tcBorders>
                    <w:tl2br w:val="nil"/>
                    <w:tr2bl w:val="nil"/>
                  </w:tcBorders>
                  <w:noWrap w:val="0"/>
                  <w:vAlign w:val="center"/>
                </w:tcPr>
                <w:p w14:paraId="50278A8C">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5079C16A">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0.02</w:t>
                  </w:r>
                </w:p>
              </w:tc>
              <w:tc>
                <w:tcPr>
                  <w:tcW w:w="833" w:type="pct"/>
                  <w:vMerge w:val="continue"/>
                  <w:tcBorders>
                    <w:tl2br w:val="nil"/>
                    <w:tr2bl w:val="nil"/>
                  </w:tcBorders>
                  <w:noWrap w:val="0"/>
                  <w:vAlign w:val="center"/>
                </w:tcPr>
                <w:p w14:paraId="54BFF56E">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p>
              </w:tc>
            </w:tr>
            <w:tr w14:paraId="5F6D5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0" w:type="dxa"/>
                  <w:tcBorders>
                    <w:tl2br w:val="nil"/>
                    <w:tr2bl w:val="nil"/>
                  </w:tcBorders>
                  <w:noWrap w:val="0"/>
                  <w:vAlign w:val="center"/>
                </w:tcPr>
                <w:p w14:paraId="522F1FDB">
                  <w:pPr>
                    <w:pStyle w:val="6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w:t>
                  </w:r>
                </w:p>
              </w:tc>
              <w:tc>
                <w:tcPr>
                  <w:tcW w:w="1716" w:type="dxa"/>
                  <w:tcBorders>
                    <w:tl2br w:val="nil"/>
                    <w:tr2bl w:val="nil"/>
                  </w:tcBorders>
                  <w:noWrap w:val="0"/>
                  <w:vAlign w:val="center"/>
                </w:tcPr>
                <w:p w14:paraId="12D42082">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bidi="ar"/>
                    </w:rPr>
                  </w:pPr>
                  <w:r>
                    <w:rPr>
                      <w:rFonts w:hint="eastAsia" w:cs="Times New Roman"/>
                      <w:color w:val="auto"/>
                      <w:kern w:val="0"/>
                      <w:sz w:val="18"/>
                      <w:szCs w:val="18"/>
                      <w:lang w:val="en-US" w:eastAsia="zh-CN" w:bidi="ar"/>
                    </w:rPr>
                    <w:t>废金属</w:t>
                  </w:r>
                </w:p>
              </w:tc>
              <w:tc>
                <w:tcPr>
                  <w:tcW w:w="1443" w:type="dxa"/>
                  <w:tcBorders>
                    <w:tl2br w:val="nil"/>
                    <w:tr2bl w:val="nil"/>
                  </w:tcBorders>
                  <w:noWrap w:val="0"/>
                  <w:vAlign w:val="center"/>
                </w:tcPr>
                <w:p w14:paraId="7722C7F1">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color w:val="auto"/>
                      <w:sz w:val="18"/>
                      <w:szCs w:val="18"/>
                      <w:lang w:val="en-US" w:eastAsia="zh-CN"/>
                    </w:rPr>
                    <w:t>防着板</w:t>
                  </w:r>
                  <w:r>
                    <w:rPr>
                      <w:rFonts w:hint="eastAsia"/>
                      <w:color w:val="auto"/>
                      <w:sz w:val="18"/>
                      <w:szCs w:val="18"/>
                      <w:lang w:val="en-US" w:eastAsia="zh-CN"/>
                    </w:rPr>
                    <w:t>清理</w:t>
                  </w:r>
                </w:p>
              </w:tc>
              <w:tc>
                <w:tcPr>
                  <w:tcW w:w="833" w:type="pct"/>
                  <w:vMerge w:val="continue"/>
                  <w:tcBorders>
                    <w:tl2br w:val="nil"/>
                    <w:tr2bl w:val="nil"/>
                  </w:tcBorders>
                  <w:noWrap w:val="0"/>
                  <w:vAlign w:val="center"/>
                </w:tcPr>
                <w:p w14:paraId="08EAC56D">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59946E77">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0.05</w:t>
                  </w:r>
                </w:p>
              </w:tc>
              <w:tc>
                <w:tcPr>
                  <w:tcW w:w="833" w:type="pct"/>
                  <w:vMerge w:val="continue"/>
                  <w:tcBorders>
                    <w:tl2br w:val="nil"/>
                    <w:tr2bl w:val="nil"/>
                  </w:tcBorders>
                  <w:noWrap w:val="0"/>
                  <w:vAlign w:val="center"/>
                </w:tcPr>
                <w:p w14:paraId="401E68DA">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p>
              </w:tc>
            </w:tr>
            <w:tr w14:paraId="76BC2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0" w:type="dxa"/>
                  <w:tcBorders>
                    <w:tl2br w:val="nil"/>
                    <w:tr2bl w:val="nil"/>
                  </w:tcBorders>
                  <w:noWrap w:val="0"/>
                  <w:vAlign w:val="center"/>
                </w:tcPr>
                <w:p w14:paraId="716F0A2E">
                  <w:pPr>
                    <w:pStyle w:val="6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990" w:type="pct"/>
                  <w:tcBorders>
                    <w:tl2br w:val="nil"/>
                    <w:tr2bl w:val="nil"/>
                  </w:tcBorders>
                  <w:noWrap w:val="0"/>
                  <w:vAlign w:val="center"/>
                </w:tcPr>
                <w:p w14:paraId="3343E6C2">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边角料</w:t>
                  </w:r>
                </w:p>
              </w:tc>
              <w:tc>
                <w:tcPr>
                  <w:tcW w:w="832" w:type="pct"/>
                  <w:tcBorders>
                    <w:tl2br w:val="nil"/>
                    <w:tr2bl w:val="nil"/>
                  </w:tcBorders>
                  <w:noWrap w:val="0"/>
                  <w:vAlign w:val="center"/>
                </w:tcPr>
                <w:p w14:paraId="26B41DD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w:t>
                  </w:r>
                </w:p>
              </w:tc>
              <w:tc>
                <w:tcPr>
                  <w:tcW w:w="833" w:type="pct"/>
                  <w:vMerge w:val="continue"/>
                  <w:tcBorders>
                    <w:tl2br w:val="nil"/>
                    <w:tr2bl w:val="nil"/>
                  </w:tcBorders>
                  <w:noWrap w:val="0"/>
                  <w:vAlign w:val="center"/>
                </w:tcPr>
                <w:p w14:paraId="235F646F">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1A950210">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138.963</w:t>
                  </w:r>
                </w:p>
              </w:tc>
              <w:tc>
                <w:tcPr>
                  <w:tcW w:w="833" w:type="pct"/>
                  <w:vMerge w:val="continue"/>
                  <w:tcBorders>
                    <w:tl2br w:val="nil"/>
                    <w:tr2bl w:val="nil"/>
                  </w:tcBorders>
                  <w:noWrap w:val="0"/>
                  <w:vAlign w:val="center"/>
                </w:tcPr>
                <w:p w14:paraId="02516355">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3AB28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0" w:type="dxa"/>
                  <w:tcBorders>
                    <w:tl2br w:val="nil"/>
                    <w:tr2bl w:val="nil"/>
                  </w:tcBorders>
                  <w:noWrap w:val="0"/>
                  <w:vAlign w:val="center"/>
                </w:tcPr>
                <w:p w14:paraId="76563FAA">
                  <w:pPr>
                    <w:pStyle w:val="6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990" w:type="pct"/>
                  <w:tcBorders>
                    <w:tl2br w:val="nil"/>
                    <w:tr2bl w:val="nil"/>
                  </w:tcBorders>
                  <w:noWrap w:val="0"/>
                  <w:vAlign w:val="center"/>
                </w:tcPr>
                <w:p w14:paraId="39D4175F">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废膜</w:t>
                  </w:r>
                </w:p>
              </w:tc>
              <w:tc>
                <w:tcPr>
                  <w:tcW w:w="832" w:type="pct"/>
                  <w:tcBorders>
                    <w:tl2br w:val="nil"/>
                    <w:tr2bl w:val="nil"/>
                  </w:tcBorders>
                  <w:noWrap w:val="0"/>
                  <w:vAlign w:val="center"/>
                </w:tcPr>
                <w:p w14:paraId="7BEF004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w:t>
                  </w:r>
                </w:p>
              </w:tc>
              <w:tc>
                <w:tcPr>
                  <w:tcW w:w="833" w:type="pct"/>
                  <w:vMerge w:val="continue"/>
                  <w:tcBorders>
                    <w:tl2br w:val="nil"/>
                    <w:tr2bl w:val="nil"/>
                  </w:tcBorders>
                  <w:noWrap w:val="0"/>
                  <w:vAlign w:val="center"/>
                </w:tcPr>
                <w:p w14:paraId="79276CA0">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17190CB1">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62.023</w:t>
                  </w:r>
                </w:p>
              </w:tc>
              <w:tc>
                <w:tcPr>
                  <w:tcW w:w="833" w:type="pct"/>
                  <w:vMerge w:val="continue"/>
                  <w:tcBorders>
                    <w:tl2br w:val="nil"/>
                    <w:tr2bl w:val="nil"/>
                  </w:tcBorders>
                  <w:noWrap w:val="0"/>
                  <w:vAlign w:val="center"/>
                </w:tcPr>
                <w:p w14:paraId="7BC6BDD3">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64A30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0" w:type="dxa"/>
                  <w:tcBorders>
                    <w:tl2br w:val="nil"/>
                    <w:tr2bl w:val="nil"/>
                  </w:tcBorders>
                  <w:noWrap w:val="0"/>
                  <w:vAlign w:val="center"/>
                </w:tcPr>
                <w:p w14:paraId="1608818A">
                  <w:pPr>
                    <w:pStyle w:val="6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6</w:t>
                  </w:r>
                </w:p>
              </w:tc>
              <w:tc>
                <w:tcPr>
                  <w:tcW w:w="990" w:type="pct"/>
                  <w:tcBorders>
                    <w:tl2br w:val="nil"/>
                    <w:tr2bl w:val="nil"/>
                  </w:tcBorders>
                  <w:noWrap w:val="0"/>
                  <w:vAlign w:val="center"/>
                </w:tcPr>
                <w:p w14:paraId="6C090DE9">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废树脂膜</w:t>
                  </w:r>
                </w:p>
              </w:tc>
              <w:tc>
                <w:tcPr>
                  <w:tcW w:w="832" w:type="pct"/>
                  <w:tcBorders>
                    <w:tl2br w:val="nil"/>
                    <w:tr2bl w:val="nil"/>
                  </w:tcBorders>
                  <w:noWrap w:val="0"/>
                  <w:vAlign w:val="center"/>
                </w:tcPr>
                <w:p w14:paraId="37B5501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纯水制备</w:t>
                  </w:r>
                </w:p>
              </w:tc>
              <w:tc>
                <w:tcPr>
                  <w:tcW w:w="833" w:type="pct"/>
                  <w:vMerge w:val="continue"/>
                  <w:tcBorders>
                    <w:tl2br w:val="nil"/>
                    <w:tr2bl w:val="nil"/>
                  </w:tcBorders>
                  <w:noWrap w:val="0"/>
                  <w:vAlign w:val="center"/>
                </w:tcPr>
                <w:p w14:paraId="778F19B6">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5087C86C">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833" w:type="pct"/>
                  <w:vMerge w:val="continue"/>
                  <w:tcBorders>
                    <w:tl2br w:val="nil"/>
                    <w:tr2bl w:val="nil"/>
                  </w:tcBorders>
                  <w:noWrap w:val="0"/>
                  <w:vAlign w:val="center"/>
                </w:tcPr>
                <w:p w14:paraId="0B701A17">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132C8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0" w:type="dxa"/>
                  <w:tcBorders>
                    <w:tl2br w:val="nil"/>
                    <w:tr2bl w:val="nil"/>
                  </w:tcBorders>
                  <w:noWrap w:val="0"/>
                  <w:vAlign w:val="center"/>
                </w:tcPr>
                <w:p w14:paraId="059FC14E">
                  <w:pPr>
                    <w:pStyle w:val="6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7</w:t>
                  </w:r>
                </w:p>
              </w:tc>
              <w:tc>
                <w:tcPr>
                  <w:tcW w:w="990" w:type="pct"/>
                  <w:tcBorders>
                    <w:tl2br w:val="nil"/>
                    <w:tr2bl w:val="nil"/>
                  </w:tcBorders>
                  <w:noWrap w:val="0"/>
                  <w:vAlign w:val="center"/>
                </w:tcPr>
                <w:p w14:paraId="7AFA83CE">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布袋收集尘</w:t>
                  </w:r>
                </w:p>
              </w:tc>
              <w:tc>
                <w:tcPr>
                  <w:tcW w:w="832" w:type="pct"/>
                  <w:tcBorders>
                    <w:tl2br w:val="nil"/>
                    <w:tr2bl w:val="nil"/>
                  </w:tcBorders>
                  <w:noWrap w:val="0"/>
                  <w:vAlign w:val="center"/>
                </w:tcPr>
                <w:p w14:paraId="3EA89AB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废气处理</w:t>
                  </w:r>
                </w:p>
              </w:tc>
              <w:tc>
                <w:tcPr>
                  <w:tcW w:w="833" w:type="pct"/>
                  <w:vMerge w:val="continue"/>
                  <w:tcBorders>
                    <w:tl2br w:val="nil"/>
                    <w:tr2bl w:val="nil"/>
                  </w:tcBorders>
                  <w:noWrap w:val="0"/>
                  <w:vAlign w:val="center"/>
                </w:tcPr>
                <w:p w14:paraId="1536808B">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4615AC15">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17.08</w:t>
                  </w:r>
                </w:p>
              </w:tc>
              <w:tc>
                <w:tcPr>
                  <w:tcW w:w="833" w:type="pct"/>
                  <w:vMerge w:val="continue"/>
                  <w:tcBorders>
                    <w:tl2br w:val="nil"/>
                    <w:tr2bl w:val="nil"/>
                  </w:tcBorders>
                  <w:noWrap w:val="0"/>
                  <w:vAlign w:val="center"/>
                </w:tcPr>
                <w:p w14:paraId="0DB4D951">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4A56C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2A97B11E">
                  <w:pPr>
                    <w:pStyle w:val="6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r>
                    <w:rPr>
                      <w:rFonts w:hint="eastAsia" w:ascii="Times New Roman" w:hAnsi="Times New Roman" w:eastAsia="宋体" w:cs="Times New Roman"/>
                      <w:color w:val="auto"/>
                      <w:sz w:val="18"/>
                      <w:szCs w:val="18"/>
                      <w:lang w:val="en-US" w:eastAsia="zh-CN"/>
                    </w:rPr>
                    <w:t>8</w:t>
                  </w:r>
                </w:p>
              </w:tc>
              <w:tc>
                <w:tcPr>
                  <w:tcW w:w="990" w:type="pct"/>
                  <w:tcBorders>
                    <w:tl2br w:val="nil"/>
                    <w:tr2bl w:val="nil"/>
                  </w:tcBorders>
                  <w:noWrap w:val="0"/>
                  <w:vAlign w:val="center"/>
                </w:tcPr>
                <w:p w14:paraId="7336B966">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废钢瓶</w:t>
                  </w:r>
                </w:p>
              </w:tc>
              <w:tc>
                <w:tcPr>
                  <w:tcW w:w="832" w:type="pct"/>
                  <w:tcBorders>
                    <w:tl2br w:val="nil"/>
                    <w:tr2bl w:val="nil"/>
                  </w:tcBorders>
                  <w:noWrap w:val="0"/>
                  <w:vAlign w:val="center"/>
                </w:tcPr>
                <w:p w14:paraId="66AB26B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原辅料使用</w:t>
                  </w:r>
                </w:p>
              </w:tc>
              <w:tc>
                <w:tcPr>
                  <w:tcW w:w="833" w:type="pct"/>
                  <w:vMerge w:val="continue"/>
                  <w:tcBorders>
                    <w:tl2br w:val="nil"/>
                    <w:tr2bl w:val="nil"/>
                  </w:tcBorders>
                  <w:noWrap w:val="0"/>
                  <w:vAlign w:val="center"/>
                </w:tcPr>
                <w:p w14:paraId="2CB5BFB2">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c>
                <w:tcPr>
                  <w:tcW w:w="833" w:type="pct"/>
                  <w:tcBorders>
                    <w:tl2br w:val="nil"/>
                    <w:tr2bl w:val="nil"/>
                  </w:tcBorders>
                  <w:noWrap w:val="0"/>
                  <w:vAlign w:val="center"/>
                </w:tcPr>
                <w:p w14:paraId="1A4651F4">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w:t>
                  </w:r>
                </w:p>
              </w:tc>
              <w:tc>
                <w:tcPr>
                  <w:tcW w:w="833" w:type="pct"/>
                  <w:vMerge w:val="continue"/>
                  <w:tcBorders>
                    <w:tl2br w:val="nil"/>
                    <w:tr2bl w:val="nil"/>
                  </w:tcBorders>
                  <w:noWrap w:val="0"/>
                  <w:vAlign w:val="center"/>
                </w:tcPr>
                <w:p w14:paraId="404A4E5E">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p>
              </w:tc>
            </w:tr>
            <w:tr w14:paraId="0B1AD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pct"/>
                  <w:tcBorders>
                    <w:tl2br w:val="nil"/>
                    <w:tr2bl w:val="nil"/>
                  </w:tcBorders>
                  <w:noWrap w:val="0"/>
                  <w:vAlign w:val="center"/>
                </w:tcPr>
                <w:p w14:paraId="1319A7F5">
                  <w:pPr>
                    <w:pStyle w:val="6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r>
                    <w:rPr>
                      <w:rFonts w:hint="eastAsia" w:ascii="Times New Roman" w:hAnsi="Times New Roman" w:eastAsia="宋体" w:cs="Times New Roman"/>
                      <w:color w:val="auto"/>
                      <w:sz w:val="18"/>
                      <w:szCs w:val="18"/>
                      <w:lang w:val="en-US" w:eastAsia="zh-CN"/>
                    </w:rPr>
                    <w:t>9</w:t>
                  </w:r>
                </w:p>
              </w:tc>
              <w:tc>
                <w:tcPr>
                  <w:tcW w:w="990" w:type="pct"/>
                  <w:tcBorders>
                    <w:tl2br w:val="nil"/>
                    <w:tr2bl w:val="nil"/>
                  </w:tcBorders>
                  <w:noWrap w:val="0"/>
                  <w:vAlign w:val="center"/>
                </w:tcPr>
                <w:p w14:paraId="70A033F4">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832" w:type="pct"/>
                  <w:tcBorders>
                    <w:tl2br w:val="nil"/>
                    <w:tr2bl w:val="nil"/>
                  </w:tcBorders>
                  <w:noWrap w:val="0"/>
                  <w:vAlign w:val="center"/>
                </w:tcPr>
                <w:p w14:paraId="05C2BACA">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33" w:type="pct"/>
                  <w:tcBorders>
                    <w:tl2br w:val="nil"/>
                    <w:tr2bl w:val="nil"/>
                  </w:tcBorders>
                  <w:noWrap w:val="0"/>
                  <w:vAlign w:val="center"/>
                </w:tcPr>
                <w:p w14:paraId="3B8B013F">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833" w:type="pct"/>
                  <w:tcBorders>
                    <w:tl2br w:val="nil"/>
                    <w:tr2bl w:val="nil"/>
                  </w:tcBorders>
                  <w:noWrap w:val="0"/>
                  <w:vAlign w:val="center"/>
                </w:tcPr>
                <w:p w14:paraId="4E0259F8">
                  <w:pPr>
                    <w:pStyle w:val="64"/>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23.5</w:t>
                  </w:r>
                </w:p>
              </w:tc>
              <w:tc>
                <w:tcPr>
                  <w:tcW w:w="833" w:type="pct"/>
                  <w:tcBorders>
                    <w:tl2br w:val="nil"/>
                    <w:tr2bl w:val="nil"/>
                  </w:tcBorders>
                  <w:noWrap w:val="0"/>
                  <w:vAlign w:val="center"/>
                </w:tcPr>
                <w:p w14:paraId="5FD227A1">
                  <w:pPr>
                    <w:pStyle w:val="6"/>
                    <w:keepNext w:val="0"/>
                    <w:keepLines w:val="0"/>
                    <w:pageBreakBefore w:val="0"/>
                    <w:kinsoku/>
                    <w:wordWrap/>
                    <w:overflowPunct/>
                    <w:topLinePunct w:val="0"/>
                    <w:autoSpaceDE/>
                    <w:autoSpaceDN/>
                    <w:bidi w:val="0"/>
                    <w:adjustRightInd w:val="0"/>
                    <w:snapToGrid w:val="0"/>
                    <w:spacing w:before="0" w:after="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环卫清运</w:t>
                  </w:r>
                </w:p>
              </w:tc>
            </w:tr>
          </w:tbl>
          <w:p w14:paraId="5A21DBD5">
            <w:pPr>
              <w:ind w:firstLine="420"/>
              <w:rPr>
                <w:color w:val="auto"/>
              </w:rPr>
            </w:pPr>
            <w:r>
              <w:rPr>
                <w:color w:val="auto"/>
              </w:rPr>
              <w:t>从项目采用的固废利用及处置方式来分析，对产生的各类固废按其性质分类分区收集和暂存，并均能得到有效利用或妥善处置。在严格管理下，本项目的固体废物对周围环境不会产生二次污染</w:t>
            </w:r>
            <w:bookmarkEnd w:id="16"/>
            <w:r>
              <w:rPr>
                <w:color w:val="auto"/>
              </w:rPr>
              <w:t>。</w:t>
            </w:r>
          </w:p>
          <w:p w14:paraId="5FFB629A">
            <w:pPr>
              <w:ind w:firstLine="422"/>
              <w:rPr>
                <w:b/>
                <w:color w:val="auto"/>
              </w:rPr>
            </w:pPr>
            <w:r>
              <w:rPr>
                <w:b/>
                <w:bCs/>
                <w:color w:val="auto"/>
              </w:rPr>
              <w:t>（3）</w:t>
            </w:r>
            <w:bookmarkStart w:id="17" w:name="_Hlk28855071"/>
            <w:r>
              <w:rPr>
                <w:b/>
                <w:color w:val="auto"/>
              </w:rPr>
              <w:t>固废暂存场所（设施）环境影响分析</w:t>
            </w:r>
            <w:bookmarkEnd w:id="17"/>
          </w:p>
          <w:p w14:paraId="61EE6FD9">
            <w:pPr>
              <w:ind w:firstLine="420"/>
              <w:rPr>
                <w:color w:val="auto"/>
              </w:rPr>
            </w:pPr>
            <w:r>
              <w:rPr>
                <w:rFonts w:hint="eastAsia"/>
                <w:color w:val="auto"/>
              </w:rPr>
              <w:t>本项目依托现有</w:t>
            </w:r>
            <w:r>
              <w:rPr>
                <w:rFonts w:hint="eastAsia"/>
                <w:color w:val="auto"/>
                <w:lang w:val="en-US" w:eastAsia="zh-CN"/>
              </w:rPr>
              <w:t>504</w:t>
            </w:r>
            <w:r>
              <w:rPr>
                <w:color w:val="auto"/>
              </w:rPr>
              <w:t>m</w:t>
            </w:r>
            <w:r>
              <w:rPr>
                <w:color w:val="auto"/>
                <w:vertAlign w:val="superscript"/>
              </w:rPr>
              <w:t>2</w:t>
            </w:r>
            <w:r>
              <w:rPr>
                <w:color w:val="auto"/>
              </w:rPr>
              <w:t>的一般工业固废堆场，一般固废堆场已按照《一般工业固体废物贮存和填埋污染控制标准》（GB18599-2020）要求建设，对一般固废堆放区地面进行了硬化，并做好防腐、防渗和防漏处理，制定</w:t>
            </w:r>
            <w:r>
              <w:rPr>
                <w:rFonts w:hint="eastAsia"/>
                <w:color w:val="auto"/>
              </w:rPr>
              <w:t>“</w:t>
            </w:r>
            <w:r>
              <w:rPr>
                <w:color w:val="auto"/>
              </w:rPr>
              <w:t>一般固废仓库管理制度</w:t>
            </w:r>
            <w:r>
              <w:rPr>
                <w:rFonts w:hint="eastAsia"/>
                <w:color w:val="auto"/>
              </w:rPr>
              <w:t>”</w:t>
            </w:r>
            <w:r>
              <w:rPr>
                <w:color w:val="auto"/>
              </w:rPr>
              <w:t>、</w:t>
            </w:r>
            <w:r>
              <w:rPr>
                <w:rFonts w:hint="eastAsia"/>
                <w:color w:val="auto"/>
              </w:rPr>
              <w:t>“</w:t>
            </w:r>
            <w:r>
              <w:rPr>
                <w:color w:val="auto"/>
              </w:rPr>
              <w:t>一般工业固废处置管理规定</w:t>
            </w:r>
            <w:r>
              <w:rPr>
                <w:rFonts w:hint="eastAsia"/>
                <w:color w:val="auto"/>
              </w:rPr>
              <w:t>”</w:t>
            </w:r>
            <w:r>
              <w:rPr>
                <w:color w:val="auto"/>
              </w:rPr>
              <w:t>，由专人维护。因此，项目一般工业固废的收集、贮存对环境的影响较小。</w:t>
            </w:r>
          </w:p>
          <w:p w14:paraId="265A8A06">
            <w:pPr>
              <w:ind w:firstLine="422"/>
              <w:rPr>
                <w:b/>
                <w:color w:val="auto"/>
              </w:rPr>
            </w:pPr>
            <w:r>
              <w:rPr>
                <w:b/>
                <w:color w:val="auto"/>
              </w:rPr>
              <w:t>（</w:t>
            </w:r>
            <w:r>
              <w:rPr>
                <w:rFonts w:hint="eastAsia"/>
                <w:b/>
                <w:color w:val="auto"/>
                <w:lang w:val="en-US" w:eastAsia="zh-CN"/>
              </w:rPr>
              <w:t>4</w:t>
            </w:r>
            <w:r>
              <w:rPr>
                <w:b/>
                <w:color w:val="auto"/>
              </w:rPr>
              <w:t>）污染防治措施及其经济、技术分析</w:t>
            </w:r>
          </w:p>
          <w:p w14:paraId="7A6DD787">
            <w:pPr>
              <w:ind w:firstLine="420"/>
              <w:rPr>
                <w:color w:val="auto"/>
              </w:rPr>
            </w:pPr>
            <w:r>
              <w:rPr>
                <w:color w:val="auto"/>
              </w:rPr>
              <w:t>1）贮存场所（设施）污染防治措施</w:t>
            </w:r>
          </w:p>
          <w:p w14:paraId="62F23D98">
            <w:pPr>
              <w:ind w:firstLine="420"/>
              <w:rPr>
                <w:color w:val="auto"/>
              </w:rPr>
            </w:pPr>
            <w:r>
              <w:rPr>
                <w:color w:val="auto"/>
              </w:rPr>
              <w:t>A.一般固废</w:t>
            </w:r>
          </w:p>
          <w:p w14:paraId="0231CB43">
            <w:pPr>
              <w:ind w:firstLine="420"/>
              <w:rPr>
                <w:color w:val="auto"/>
              </w:rPr>
            </w:pPr>
            <w:r>
              <w:rPr>
                <w:color w:val="auto"/>
              </w:rPr>
              <w:t>本项目一般工业固废，应按照相关要求分类收集贮存，暂存场所应满足《一般工业固体废物贮存和填埋污染控制标准》（GB18599-2020）、《环境保护图形标志—固体废物贮存（处置）场》（GB15562.2-1995）等规定要求。</w:t>
            </w:r>
          </w:p>
          <w:p w14:paraId="4B4F710D">
            <w:pPr>
              <w:ind w:firstLine="420"/>
              <w:rPr>
                <w:color w:val="auto"/>
              </w:rPr>
            </w:pPr>
            <w:r>
              <w:rPr>
                <w:rFonts w:hint="eastAsia"/>
                <w:color w:val="auto"/>
              </w:rPr>
              <w:t>Ⅰ</w:t>
            </w:r>
            <w:r>
              <w:rPr>
                <w:color w:val="auto"/>
              </w:rPr>
              <w:t>、贮存、处置场的建设类型，必须与将要堆放的一般工业固体废物的类别相一致。</w:t>
            </w:r>
          </w:p>
          <w:p w14:paraId="41B0E3E8">
            <w:pPr>
              <w:ind w:firstLine="420"/>
              <w:rPr>
                <w:color w:val="auto"/>
              </w:rPr>
            </w:pPr>
            <w:r>
              <w:rPr>
                <w:rFonts w:hint="eastAsia"/>
                <w:color w:val="auto"/>
              </w:rPr>
              <w:t>Ⅱ</w:t>
            </w:r>
            <w:r>
              <w:rPr>
                <w:color w:val="auto"/>
              </w:rPr>
              <w:t>、为保障设施、设备正常运营，必要时应采取措施防止地基下沉，尤其是防止不均匀或局部下沉。</w:t>
            </w:r>
          </w:p>
          <w:p w14:paraId="3A240024">
            <w:pPr>
              <w:ind w:firstLine="420"/>
              <w:rPr>
                <w:color w:val="auto"/>
              </w:rPr>
            </w:pPr>
            <w:r>
              <w:rPr>
                <w:rFonts w:hint="eastAsia"/>
                <w:color w:val="auto"/>
              </w:rPr>
              <w:t>Ⅲ</w:t>
            </w:r>
            <w:r>
              <w:rPr>
                <w:color w:val="auto"/>
              </w:rPr>
              <w:t>、贮存、处置场的使用单位，应建立档案制度。应将入场的一般工业固体废物的种类和数量以及下列资料，详细记录在案，长期保存，供随时查阅。</w:t>
            </w:r>
          </w:p>
          <w:p w14:paraId="242A65D3">
            <w:pPr>
              <w:ind w:firstLine="422"/>
              <w:rPr>
                <w:b/>
                <w:color w:val="auto"/>
              </w:rPr>
            </w:pPr>
            <w:r>
              <w:rPr>
                <w:b/>
                <w:bCs/>
                <w:color w:val="auto"/>
              </w:rPr>
              <w:t>5.</w:t>
            </w:r>
            <w:r>
              <w:rPr>
                <w:b/>
                <w:color w:val="auto"/>
              </w:rPr>
              <w:t>土壤和地下水分区防控措施</w:t>
            </w:r>
          </w:p>
          <w:p w14:paraId="24209E78">
            <w:pPr>
              <w:ind w:firstLine="422"/>
              <w:rPr>
                <w:rFonts w:hint="default" w:eastAsia="宋体"/>
                <w:color w:val="auto"/>
                <w:lang w:val="en-US" w:eastAsia="zh-CN"/>
              </w:rPr>
            </w:pPr>
            <w:r>
              <w:rPr>
                <w:color w:val="auto"/>
              </w:rPr>
              <w:t>企业生产过程中</w:t>
            </w:r>
            <w:r>
              <w:rPr>
                <w:rFonts w:hint="eastAsia"/>
                <w:color w:val="auto"/>
                <w:lang w:val="en-US" w:eastAsia="zh-CN"/>
              </w:rPr>
              <w:t>主要原辅料为固态或气态，基本不会</w:t>
            </w:r>
            <w:r>
              <w:rPr>
                <w:color w:val="auto"/>
              </w:rPr>
              <w:t>对地下水及土壤环境造成影响</w:t>
            </w:r>
            <w:r>
              <w:rPr>
                <w:rFonts w:hint="eastAsia"/>
                <w:color w:val="auto"/>
                <w:lang w:eastAsia="zh-CN"/>
              </w:rPr>
              <w:t>，</w:t>
            </w:r>
            <w:r>
              <w:rPr>
                <w:rFonts w:hint="eastAsia"/>
                <w:color w:val="auto"/>
                <w:lang w:val="en-US" w:eastAsia="zh-CN"/>
              </w:rPr>
              <w:t>目前现有项目已对整个丙类仓库进行了重点防渗，采用加强混凝土及环氧树脂涂层，</w:t>
            </w:r>
            <w:r>
              <w:rPr>
                <w:rFonts w:ascii="Times New Roman" w:hAnsi="Times New Roman"/>
                <w:color w:val="auto"/>
              </w:rPr>
              <w:t>等效黏土防渗层Mb≥6.0m，K≤1×10</w:t>
            </w:r>
            <w:r>
              <w:rPr>
                <w:rFonts w:ascii="Times New Roman" w:hAnsi="Times New Roman"/>
                <w:color w:val="auto"/>
                <w:vertAlign w:val="superscript"/>
              </w:rPr>
              <w:t>-7</w:t>
            </w:r>
            <w:r>
              <w:rPr>
                <w:rFonts w:hint="eastAsia"/>
                <w:color w:val="auto"/>
                <w:lang w:val="en-US" w:eastAsia="zh-CN"/>
              </w:rPr>
              <w:t>，无需再进行加强。</w:t>
            </w:r>
          </w:p>
          <w:p w14:paraId="0FE9C675">
            <w:pPr>
              <w:ind w:firstLine="422"/>
              <w:rPr>
                <w:b/>
                <w:color w:val="auto"/>
              </w:rPr>
            </w:pPr>
            <w:r>
              <w:rPr>
                <w:b/>
                <w:color w:val="auto"/>
              </w:rPr>
              <w:t>6、生态环境影响及保护措施</w:t>
            </w:r>
          </w:p>
          <w:p w14:paraId="166F27E2">
            <w:pPr>
              <w:ind w:firstLine="420"/>
              <w:rPr>
                <w:color w:val="auto"/>
              </w:rPr>
            </w:pPr>
            <w:r>
              <w:rPr>
                <w:color w:val="auto"/>
              </w:rPr>
              <w:t>本项目位于</w:t>
            </w:r>
            <w:r>
              <w:rPr>
                <w:rFonts w:hint="eastAsia"/>
                <w:b w:val="0"/>
                <w:bCs w:val="0"/>
                <w:color w:val="auto"/>
                <w:kern w:val="0"/>
                <w:szCs w:val="21"/>
                <w:highlight w:val="none"/>
                <w:lang w:val="en-US" w:eastAsia="zh-CN"/>
              </w:rPr>
              <w:t>海门经济技术开发区扬子江路2288号</w:t>
            </w:r>
            <w:r>
              <w:rPr>
                <w:color w:val="auto"/>
              </w:rPr>
              <w:t>，不涉及新增用地且项目用地范围内不涉及生态环境保护目标，无需设置生态保护措施。</w:t>
            </w:r>
          </w:p>
          <w:p w14:paraId="4159D77A">
            <w:pPr>
              <w:ind w:firstLine="422"/>
              <w:rPr>
                <w:b/>
                <w:color w:val="auto"/>
              </w:rPr>
            </w:pPr>
            <w:r>
              <w:rPr>
                <w:b/>
                <w:color w:val="auto"/>
              </w:rPr>
              <w:t>7.环境风险</w:t>
            </w:r>
          </w:p>
          <w:p w14:paraId="2EAC3D03">
            <w:pPr>
              <w:ind w:firstLine="420"/>
              <w:rPr>
                <w:color w:val="auto"/>
              </w:rPr>
            </w:pPr>
            <w:r>
              <w:rPr>
                <w:rFonts w:hint="eastAsia"/>
                <w:color w:val="auto"/>
              </w:rPr>
              <w:t>环境风险评价的目的是分析和预测建设项目存在的潜在危险、有害因素，项目建设和运行期间可能发生的突发性事故或事故（一般不包括人为破坏及自然灾害），引起有毒有害和易燃易爆等物质泄漏，所造成的人身安全与环境影响和损害程度，提出合理可行的防范、应急与减缓措施，使建设项目事故率、损失和环境影响能够达到可接受水平。</w:t>
            </w:r>
          </w:p>
          <w:p w14:paraId="20AD5FD4">
            <w:pPr>
              <w:ind w:firstLine="411" w:firstLineChars="195"/>
              <w:rPr>
                <w:b/>
                <w:color w:val="auto"/>
              </w:rPr>
            </w:pPr>
            <w:r>
              <w:rPr>
                <w:rFonts w:hint="eastAsia"/>
                <w:b/>
                <w:color w:val="auto"/>
              </w:rPr>
              <w:t>（1）</w:t>
            </w:r>
            <w:r>
              <w:rPr>
                <w:b/>
                <w:color w:val="auto"/>
              </w:rPr>
              <w:t>风险调查</w:t>
            </w:r>
          </w:p>
          <w:p w14:paraId="27E2B034">
            <w:pPr>
              <w:ind w:firstLine="420"/>
              <w:rPr>
                <w:color w:val="auto"/>
              </w:rPr>
            </w:pPr>
            <w:r>
              <w:rPr>
                <w:color w:val="auto"/>
              </w:rPr>
              <w:t>根据《建设项目环境风险评价技术导则》（HJ169-2018），对照附录C，计算本项目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79A59863">
            <w:pPr>
              <w:spacing w:line="240" w:lineRule="auto"/>
              <w:ind w:firstLine="420"/>
              <w:jc w:val="center"/>
              <w:outlineLvl w:val="9"/>
              <w:rPr>
                <w:color w:val="auto"/>
              </w:rPr>
            </w:pPr>
            <w:r>
              <w:rPr>
                <w:color w:val="auto"/>
              </w:rPr>
              <w:drawing>
                <wp:inline distT="0" distB="0" distL="114300" distR="114300">
                  <wp:extent cx="1438910" cy="488315"/>
                  <wp:effectExtent l="0" t="0" r="8890" b="6985"/>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33"/>
                          <a:stretch>
                            <a:fillRect/>
                          </a:stretch>
                        </pic:blipFill>
                        <pic:spPr>
                          <a:xfrm>
                            <a:off x="0" y="0"/>
                            <a:ext cx="1438910" cy="488315"/>
                          </a:xfrm>
                          <a:prstGeom prst="rect">
                            <a:avLst/>
                          </a:prstGeom>
                          <a:noFill/>
                          <a:ln>
                            <a:noFill/>
                          </a:ln>
                        </pic:spPr>
                      </pic:pic>
                    </a:graphicData>
                  </a:graphic>
                </wp:inline>
              </w:drawing>
            </w:r>
          </w:p>
          <w:p w14:paraId="60D3FA16">
            <w:pPr>
              <w:ind w:firstLine="420"/>
              <w:rPr>
                <w:color w:val="auto"/>
              </w:rPr>
            </w:pPr>
            <w:r>
              <w:rPr>
                <w:color w:val="auto"/>
              </w:rPr>
              <w:t>式中：q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——每种危险物质的最大存在总量，t；</w:t>
            </w:r>
          </w:p>
          <w:p w14:paraId="3F2DFC07">
            <w:pPr>
              <w:ind w:firstLine="1050" w:firstLineChars="500"/>
              <w:rPr>
                <w:color w:val="auto"/>
              </w:rPr>
            </w:pP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——每种危险物质的临界量，t。</w:t>
            </w:r>
          </w:p>
          <w:p w14:paraId="622A70CF">
            <w:pPr>
              <w:ind w:firstLine="1050" w:firstLineChars="500"/>
              <w:rPr>
                <w:color w:val="auto"/>
              </w:rPr>
            </w:pPr>
            <w:r>
              <w:rPr>
                <w:color w:val="auto"/>
              </w:rPr>
              <w:t>当Q＜1时，该项目环境风险潜势为</w:t>
            </w:r>
            <w:r>
              <w:rPr>
                <w:rFonts w:hint="eastAsia"/>
                <w:color w:val="auto"/>
                <w:lang w:val="en-US" w:eastAsia="zh-CN"/>
              </w:rPr>
              <w:t>Ⅰ</w:t>
            </w:r>
            <w:r>
              <w:rPr>
                <w:color w:val="auto"/>
              </w:rPr>
              <w:t>。</w:t>
            </w:r>
          </w:p>
          <w:p w14:paraId="11368DFE">
            <w:pPr>
              <w:ind w:firstLine="1050" w:firstLineChars="500"/>
              <w:rPr>
                <w:color w:val="auto"/>
              </w:rPr>
            </w:pPr>
            <w:r>
              <w:rPr>
                <w:color w:val="auto"/>
              </w:rPr>
              <w:t>当Q≥1时，将Q值划分为：（1）1≤Q＜10；（2）10≤Q＜100；（3）Q≥100。</w:t>
            </w:r>
          </w:p>
          <w:p w14:paraId="64CDDC63">
            <w:pPr>
              <w:spacing w:line="240" w:lineRule="auto"/>
              <w:ind w:firstLine="422"/>
              <w:jc w:val="center"/>
              <w:rPr>
                <w:rFonts w:cs="Times New Roman"/>
                <w:b/>
                <w:color w:val="auto"/>
                <w:sz w:val="21"/>
                <w:szCs w:val="21"/>
              </w:rPr>
            </w:pPr>
            <w:bookmarkStart w:id="18" w:name="_Ref23151567"/>
          </w:p>
          <w:p w14:paraId="69BBFF95">
            <w:pPr>
              <w:spacing w:line="240" w:lineRule="auto"/>
              <w:ind w:firstLine="422"/>
              <w:jc w:val="center"/>
              <w:rPr>
                <w:rFonts w:cs="Times New Roman"/>
                <w:b/>
                <w:color w:val="auto"/>
                <w:sz w:val="21"/>
                <w:szCs w:val="21"/>
              </w:rPr>
            </w:pPr>
          </w:p>
          <w:p w14:paraId="7A592A68">
            <w:pPr>
              <w:spacing w:line="240" w:lineRule="auto"/>
              <w:ind w:firstLine="422"/>
              <w:jc w:val="center"/>
              <w:rPr>
                <w:rFonts w:cs="Times New Roman"/>
                <w:b/>
                <w:color w:val="auto"/>
                <w:sz w:val="21"/>
                <w:szCs w:val="21"/>
              </w:rPr>
            </w:pPr>
          </w:p>
          <w:p w14:paraId="42C2B155">
            <w:pPr>
              <w:spacing w:line="240" w:lineRule="auto"/>
              <w:ind w:firstLine="422"/>
              <w:jc w:val="center"/>
              <w:rPr>
                <w:rFonts w:cs="Times New Roman"/>
                <w:b/>
                <w:color w:val="auto"/>
                <w:sz w:val="21"/>
                <w:szCs w:val="21"/>
              </w:rPr>
            </w:pPr>
          </w:p>
          <w:p w14:paraId="74F2061D">
            <w:pPr>
              <w:spacing w:line="240" w:lineRule="auto"/>
              <w:ind w:firstLine="422"/>
              <w:jc w:val="center"/>
              <w:rPr>
                <w:rFonts w:cs="Times New Roman"/>
                <w:b/>
                <w:color w:val="auto"/>
                <w:sz w:val="21"/>
                <w:szCs w:val="21"/>
              </w:rPr>
            </w:pPr>
            <w:r>
              <w:rPr>
                <w:rFonts w:cs="Times New Roman"/>
                <w:b/>
                <w:color w:val="auto"/>
                <w:sz w:val="21"/>
                <w:szCs w:val="21"/>
              </w:rPr>
              <w:t>表</w:t>
            </w:r>
            <w:bookmarkEnd w:id="18"/>
            <w:r>
              <w:rPr>
                <w:rFonts w:cs="Times New Roman"/>
                <w:b/>
                <w:color w:val="auto"/>
                <w:sz w:val="21"/>
                <w:szCs w:val="21"/>
              </w:rPr>
              <w:t>4-</w:t>
            </w:r>
            <w:r>
              <w:rPr>
                <w:rFonts w:hint="eastAsia" w:cs="Times New Roman"/>
                <w:b/>
                <w:color w:val="auto"/>
                <w:sz w:val="21"/>
                <w:szCs w:val="21"/>
                <w:lang w:val="en-US" w:eastAsia="zh-CN"/>
              </w:rPr>
              <w:t xml:space="preserve">8  </w:t>
            </w:r>
            <w:r>
              <w:rPr>
                <w:rFonts w:hint="eastAsia" w:cs="Times New Roman"/>
                <w:b/>
                <w:color w:val="auto"/>
                <w:sz w:val="21"/>
                <w:szCs w:val="21"/>
              </w:rPr>
              <w:t>本项目</w:t>
            </w:r>
            <w:r>
              <w:rPr>
                <w:rFonts w:cs="Times New Roman"/>
                <w:b/>
                <w:color w:val="auto"/>
                <w:sz w:val="21"/>
                <w:szCs w:val="21"/>
              </w:rPr>
              <w:t>涉及的主要物质的最大储存量和辨识情况</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248"/>
              <w:gridCol w:w="2418"/>
              <w:gridCol w:w="1785"/>
              <w:gridCol w:w="1362"/>
              <w:gridCol w:w="1267"/>
            </w:tblGrid>
            <w:tr w14:paraId="00E03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pct"/>
                  <w:shd w:val="clear" w:color="auto" w:fill="D7D7D7" w:themeFill="background1" w:themeFillShade="D8"/>
                  <w:vAlign w:val="center"/>
                </w:tcPr>
                <w:p w14:paraId="03E17343">
                  <w:pPr>
                    <w:pStyle w:val="75"/>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编号</w:t>
                  </w:r>
                </w:p>
              </w:tc>
              <w:tc>
                <w:tcPr>
                  <w:tcW w:w="720" w:type="pct"/>
                  <w:shd w:val="clear" w:color="auto" w:fill="D7D7D7" w:themeFill="background1" w:themeFillShade="D8"/>
                  <w:vAlign w:val="center"/>
                </w:tcPr>
                <w:p w14:paraId="650C8B3B">
                  <w:pPr>
                    <w:pStyle w:val="75"/>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位置</w:t>
                  </w:r>
                </w:p>
              </w:tc>
              <w:tc>
                <w:tcPr>
                  <w:tcW w:w="1395" w:type="pct"/>
                  <w:shd w:val="clear" w:color="auto" w:fill="D7D7D7" w:themeFill="background1" w:themeFillShade="D8"/>
                  <w:vAlign w:val="center"/>
                </w:tcPr>
                <w:p w14:paraId="7B0F7407">
                  <w:pPr>
                    <w:pStyle w:val="75"/>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1030" w:type="pct"/>
                  <w:shd w:val="clear" w:color="auto" w:fill="D7D7D7" w:themeFill="background1" w:themeFillShade="D8"/>
                  <w:vAlign w:val="center"/>
                </w:tcPr>
                <w:p w14:paraId="1AE33492">
                  <w:pPr>
                    <w:pStyle w:val="75"/>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最大存在量（t）qn</w:t>
                  </w:r>
                </w:p>
              </w:tc>
              <w:tc>
                <w:tcPr>
                  <w:tcW w:w="786" w:type="pct"/>
                  <w:shd w:val="clear" w:color="auto" w:fill="D7D7D7" w:themeFill="background1" w:themeFillShade="D8"/>
                  <w:vAlign w:val="center"/>
                </w:tcPr>
                <w:p w14:paraId="19647A9E">
                  <w:pPr>
                    <w:pStyle w:val="75"/>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临界量（t）Qn</w:t>
                  </w:r>
                </w:p>
              </w:tc>
              <w:tc>
                <w:tcPr>
                  <w:tcW w:w="731" w:type="pct"/>
                  <w:shd w:val="clear" w:color="auto" w:fill="D7D7D7" w:themeFill="background1" w:themeFillShade="D8"/>
                  <w:vAlign w:val="center"/>
                </w:tcPr>
                <w:p w14:paraId="3EC0AE01">
                  <w:pPr>
                    <w:pStyle w:val="75"/>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qn/Qn</w:t>
                  </w:r>
                </w:p>
              </w:tc>
            </w:tr>
            <w:tr w14:paraId="12FD2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pct"/>
                  <w:vAlign w:val="center"/>
                </w:tcPr>
                <w:p w14:paraId="7D18F657">
                  <w:pPr>
                    <w:pStyle w:val="7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720" w:type="pct"/>
                  <w:vMerge w:val="restart"/>
                  <w:vAlign w:val="center"/>
                </w:tcPr>
                <w:p w14:paraId="1D0D2FE4">
                  <w:pPr>
                    <w:pStyle w:val="75"/>
                    <w:rPr>
                      <w:rFonts w:hint="default" w:ascii="Times New Roman" w:hAnsi="Times New Roman" w:eastAsia="宋体" w:cs="Times New Roman"/>
                      <w:color w:val="auto"/>
                      <w:sz w:val="18"/>
                      <w:szCs w:val="18"/>
                    </w:rPr>
                  </w:pPr>
                  <w:r>
                    <w:rPr>
                      <w:rFonts w:hint="eastAsia"/>
                      <w:color w:val="auto"/>
                      <w:spacing w:val="-1"/>
                      <w:sz w:val="18"/>
                      <w:szCs w:val="18"/>
                      <w:lang w:val="en-US" w:eastAsia="zh-CN"/>
                    </w:rPr>
                    <w:t>磁控溅射</w:t>
                  </w:r>
                  <w:r>
                    <w:rPr>
                      <w:rFonts w:hint="default" w:ascii="Times New Roman" w:hAnsi="Times New Roman" w:eastAsia="宋体" w:cs="Times New Roman"/>
                      <w:color w:val="auto"/>
                      <w:sz w:val="18"/>
                      <w:szCs w:val="18"/>
                    </w:rPr>
                    <w:t>车间</w:t>
                  </w:r>
                </w:p>
              </w:tc>
              <w:tc>
                <w:tcPr>
                  <w:tcW w:w="1395" w:type="pct"/>
                  <w:vAlign w:val="center"/>
                </w:tcPr>
                <w:p w14:paraId="3D6B0D8A">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val="en-US" w:eastAsia="zh-CN" w:bidi="ar"/>
                    </w:rPr>
                    <w:t>镍</w:t>
                  </w:r>
                </w:p>
              </w:tc>
              <w:tc>
                <w:tcPr>
                  <w:tcW w:w="1030" w:type="pct"/>
                  <w:vAlign w:val="center"/>
                </w:tcPr>
                <w:p w14:paraId="5663BA13">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w:t>
                  </w:r>
                  <w:r>
                    <w:rPr>
                      <w:rFonts w:hint="eastAsia" w:ascii="Times New Roman" w:hAnsi="Times New Roman" w:eastAsia="宋体" w:cs="Times New Roman"/>
                      <w:color w:val="auto"/>
                      <w:kern w:val="0"/>
                      <w:sz w:val="18"/>
                      <w:szCs w:val="18"/>
                      <w:lang w:val="en-US" w:eastAsia="zh-CN" w:bidi="ar"/>
                    </w:rPr>
                    <w:t>5</w:t>
                  </w:r>
                </w:p>
              </w:tc>
              <w:tc>
                <w:tcPr>
                  <w:tcW w:w="786" w:type="pct"/>
                  <w:vAlign w:val="center"/>
                </w:tcPr>
                <w:p w14:paraId="71E9C719">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0.25</w:t>
                  </w:r>
                </w:p>
              </w:tc>
              <w:tc>
                <w:tcPr>
                  <w:tcW w:w="731" w:type="pct"/>
                  <w:vAlign w:val="top"/>
                </w:tcPr>
                <w:p w14:paraId="6B76E1BD">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w:t>
                  </w:r>
                </w:p>
              </w:tc>
            </w:tr>
            <w:tr w14:paraId="299F7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pct"/>
                  <w:vAlign w:val="center"/>
                </w:tcPr>
                <w:p w14:paraId="08C6C4D5">
                  <w:pPr>
                    <w:pStyle w:val="7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720" w:type="pct"/>
                  <w:vMerge w:val="continue"/>
                  <w:vAlign w:val="center"/>
                </w:tcPr>
                <w:p w14:paraId="69C8BF97">
                  <w:pPr>
                    <w:pStyle w:val="75"/>
                    <w:rPr>
                      <w:rFonts w:hint="default" w:ascii="Times New Roman" w:hAnsi="Times New Roman" w:eastAsia="宋体" w:cs="Times New Roman"/>
                      <w:color w:val="auto"/>
                      <w:sz w:val="18"/>
                      <w:szCs w:val="18"/>
                    </w:rPr>
                  </w:pPr>
                </w:p>
              </w:tc>
              <w:tc>
                <w:tcPr>
                  <w:tcW w:w="1395" w:type="pct"/>
                  <w:vAlign w:val="center"/>
                </w:tcPr>
                <w:p w14:paraId="761E117F">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铬</w:t>
                  </w:r>
                </w:p>
              </w:tc>
              <w:tc>
                <w:tcPr>
                  <w:tcW w:w="1030" w:type="pct"/>
                  <w:vAlign w:val="center"/>
                </w:tcPr>
                <w:p w14:paraId="05BAF01F">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w:t>
                  </w:r>
                  <w:r>
                    <w:rPr>
                      <w:rFonts w:hint="eastAsia" w:ascii="Times New Roman" w:hAnsi="Times New Roman" w:eastAsia="宋体" w:cs="Times New Roman"/>
                      <w:color w:val="auto"/>
                      <w:kern w:val="0"/>
                      <w:sz w:val="18"/>
                      <w:szCs w:val="18"/>
                      <w:lang w:val="en-US" w:eastAsia="zh-CN" w:bidi="ar"/>
                    </w:rPr>
                    <w:t>5</w:t>
                  </w:r>
                </w:p>
              </w:tc>
              <w:tc>
                <w:tcPr>
                  <w:tcW w:w="786" w:type="pct"/>
                  <w:vAlign w:val="center"/>
                </w:tcPr>
                <w:p w14:paraId="2CD16FD3">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0.25</w:t>
                  </w:r>
                </w:p>
              </w:tc>
              <w:tc>
                <w:tcPr>
                  <w:tcW w:w="731" w:type="pct"/>
                  <w:vAlign w:val="top"/>
                </w:tcPr>
                <w:p w14:paraId="20FDB576">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w:t>
                  </w:r>
                </w:p>
              </w:tc>
            </w:tr>
            <w:tr w14:paraId="26B82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pct"/>
                  <w:vAlign w:val="center"/>
                </w:tcPr>
                <w:p w14:paraId="53D3F4B5">
                  <w:pPr>
                    <w:pStyle w:val="7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720" w:type="pct"/>
                  <w:vMerge w:val="continue"/>
                  <w:vAlign w:val="center"/>
                </w:tcPr>
                <w:p w14:paraId="19DED1DF">
                  <w:pPr>
                    <w:pStyle w:val="75"/>
                    <w:rPr>
                      <w:rFonts w:hint="default" w:ascii="Times New Roman" w:hAnsi="Times New Roman" w:eastAsia="宋体" w:cs="Times New Roman"/>
                      <w:color w:val="auto"/>
                      <w:sz w:val="18"/>
                      <w:szCs w:val="18"/>
                    </w:rPr>
                  </w:pPr>
                </w:p>
              </w:tc>
              <w:tc>
                <w:tcPr>
                  <w:tcW w:w="1395" w:type="pct"/>
                  <w:vAlign w:val="center"/>
                </w:tcPr>
                <w:p w14:paraId="0F193771">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银</w:t>
                  </w:r>
                </w:p>
              </w:tc>
              <w:tc>
                <w:tcPr>
                  <w:tcW w:w="1030" w:type="pct"/>
                  <w:vAlign w:val="center"/>
                </w:tcPr>
                <w:p w14:paraId="27711879">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w:t>
                  </w:r>
                  <w:r>
                    <w:rPr>
                      <w:rFonts w:hint="eastAsia" w:ascii="Times New Roman" w:hAnsi="Times New Roman" w:eastAsia="宋体" w:cs="Times New Roman"/>
                      <w:color w:val="auto"/>
                      <w:kern w:val="0"/>
                      <w:sz w:val="18"/>
                      <w:szCs w:val="18"/>
                      <w:lang w:val="en-US" w:eastAsia="zh-CN" w:bidi="ar"/>
                    </w:rPr>
                    <w:t>36</w:t>
                  </w:r>
                </w:p>
              </w:tc>
              <w:tc>
                <w:tcPr>
                  <w:tcW w:w="786" w:type="pct"/>
                  <w:vAlign w:val="center"/>
                </w:tcPr>
                <w:p w14:paraId="4E72F69D">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0.25</w:t>
                  </w:r>
                </w:p>
              </w:tc>
              <w:tc>
                <w:tcPr>
                  <w:tcW w:w="731" w:type="pct"/>
                  <w:vAlign w:val="top"/>
                </w:tcPr>
                <w:p w14:paraId="38AC213D">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0.144</w:t>
                  </w:r>
                </w:p>
              </w:tc>
            </w:tr>
            <w:tr w14:paraId="287C6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7" w:type="pct"/>
                  <w:vAlign w:val="center"/>
                </w:tcPr>
                <w:p w14:paraId="2F7DCDFE">
                  <w:pPr>
                    <w:pStyle w:val="75"/>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4</w:t>
                  </w:r>
                </w:p>
              </w:tc>
              <w:tc>
                <w:tcPr>
                  <w:tcW w:w="3931" w:type="pct"/>
                  <w:gridSpan w:val="4"/>
                  <w:vAlign w:val="center"/>
                </w:tcPr>
                <w:p w14:paraId="62D7FDEF">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Q=∑qn/Qn</w:t>
                  </w:r>
                </w:p>
              </w:tc>
              <w:tc>
                <w:tcPr>
                  <w:tcW w:w="731" w:type="pct"/>
                  <w:vAlign w:val="center"/>
                </w:tcPr>
                <w:p w14:paraId="08546391">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w:t>
                  </w:r>
                  <w:r>
                    <w:rPr>
                      <w:rFonts w:hint="eastAsia" w:cs="Times New Roman"/>
                      <w:color w:val="auto"/>
                      <w:kern w:val="0"/>
                      <w:sz w:val="18"/>
                      <w:szCs w:val="18"/>
                      <w:lang w:val="en-US" w:eastAsia="zh-CN" w:bidi="ar"/>
                    </w:rPr>
                    <w:t>544</w:t>
                  </w:r>
                </w:p>
              </w:tc>
            </w:tr>
          </w:tbl>
          <w:p w14:paraId="468C42FD">
            <w:pPr>
              <w:ind w:firstLine="420"/>
              <w:rPr>
                <w:color w:val="auto"/>
              </w:rPr>
            </w:pPr>
            <w:r>
              <w:rPr>
                <w:color w:val="auto"/>
              </w:rPr>
              <w:t>由上表可知，本项目危险物质总量与其临界量比值Q＜1，因此可直接判断企业环境风险潜势为I。</w:t>
            </w:r>
          </w:p>
          <w:p w14:paraId="0DF2B463">
            <w:pPr>
              <w:ind w:firstLine="422"/>
              <w:rPr>
                <w:b/>
                <w:color w:val="auto"/>
                <w:szCs w:val="21"/>
              </w:rPr>
            </w:pPr>
            <w:r>
              <w:rPr>
                <w:rFonts w:hint="eastAsia"/>
                <w:b/>
                <w:color w:val="auto"/>
              </w:rPr>
              <w:t>（3）环境风险识别</w:t>
            </w:r>
          </w:p>
          <w:p w14:paraId="2D7CD4EF">
            <w:pPr>
              <w:ind w:firstLine="420"/>
              <w:rPr>
                <w:color w:val="auto"/>
              </w:rPr>
            </w:pPr>
            <w:r>
              <w:rPr>
                <w:rFonts w:hint="eastAsia"/>
                <w:color w:val="auto"/>
              </w:rPr>
              <w:t>根据《关于做好生态环境和应急管理部门联动工作的意见》（苏环办〔2020〕101号）要求。</w:t>
            </w:r>
            <w:r>
              <w:rPr>
                <w:rFonts w:hint="eastAsia"/>
                <w:color w:val="auto"/>
                <w:lang w:val="en-US" w:eastAsia="zh-CN"/>
              </w:rPr>
              <w:t>纳琳科新材料（南通）有限公司</w:t>
            </w:r>
            <w:r>
              <w:rPr>
                <w:rFonts w:hint="eastAsia"/>
                <w:color w:val="auto"/>
              </w:rPr>
              <w:t>法定代表人和实际控制人是危险化学品等危险废物安全环保过程管理的第一责任人。切实履行好从危险废物产生、收集、贮存、运输、利用、处置等环保和安全职责，指定危险废物管理计划并报生态环境部门备案，受生态环境部门和应急管理部门监督管理。</w:t>
            </w:r>
            <w:r>
              <w:rPr>
                <w:rFonts w:hint="eastAsia"/>
                <w:color w:val="auto"/>
                <w:lang w:val="en-US" w:eastAsia="zh-CN"/>
              </w:rPr>
              <w:t>纳琳科新材料（南通）有限公司</w:t>
            </w:r>
            <w:r>
              <w:rPr>
                <w:rFonts w:hint="eastAsia"/>
                <w:color w:val="auto"/>
              </w:rPr>
              <w:t>是环境质量设施建设、运行、维护和拆除的责任主体，对本项目有机废气治理等环境治理设施开展安全风险辨识管控，健全内部污染防治设施稳定运行和管理责任制度，严格依据标准规范建设环境治理设施，确保环境治理设施安全、稳定、有效运行。</w:t>
            </w:r>
          </w:p>
          <w:p w14:paraId="32FEF097">
            <w:pPr>
              <w:ind w:firstLine="420"/>
              <w:rPr>
                <w:color w:val="auto"/>
              </w:rPr>
            </w:pPr>
            <w:r>
              <w:rPr>
                <w:rFonts w:hint="eastAsia"/>
                <w:color w:val="auto"/>
              </w:rPr>
              <w:t>①物质危险性识别</w:t>
            </w:r>
          </w:p>
          <w:p w14:paraId="7960944A">
            <w:pPr>
              <w:ind w:firstLine="420"/>
              <w:rPr>
                <w:color w:val="auto"/>
              </w:rPr>
            </w:pPr>
            <w:r>
              <w:rPr>
                <w:rFonts w:hint="eastAsia"/>
                <w:color w:val="auto"/>
              </w:rPr>
              <w:t>本项目风险物质为</w:t>
            </w:r>
            <w:r>
              <w:rPr>
                <w:rFonts w:hint="eastAsia"/>
                <w:color w:val="auto"/>
                <w:lang w:val="en-US" w:eastAsia="zh-CN"/>
              </w:rPr>
              <w:t>镍铬</w:t>
            </w:r>
            <w:r>
              <w:rPr>
                <w:rFonts w:hint="eastAsia"/>
                <w:color w:val="auto"/>
              </w:rPr>
              <w:t>等</w:t>
            </w:r>
            <w:r>
              <w:rPr>
                <w:rFonts w:hint="eastAsia"/>
                <w:color w:val="auto"/>
                <w:lang w:val="en-US" w:eastAsia="zh-CN"/>
              </w:rPr>
              <w:t>重金属及氢气，重金属为固态靶材所含物质，一般不会对环境产生影响</w:t>
            </w:r>
            <w:r>
              <w:rPr>
                <w:rFonts w:hint="eastAsia"/>
                <w:color w:val="auto"/>
              </w:rPr>
              <w:t>。</w:t>
            </w:r>
            <w:r>
              <w:rPr>
                <w:rFonts w:hint="eastAsia"/>
                <w:color w:val="auto"/>
                <w:lang w:val="en-US" w:eastAsia="zh-CN"/>
              </w:rPr>
              <w:t>氢气</w:t>
            </w:r>
            <w:r>
              <w:rPr>
                <w:rFonts w:hint="eastAsia"/>
                <w:color w:val="auto"/>
              </w:rPr>
              <w:t>发生火灾如不能及时扑灭，会产生</w:t>
            </w:r>
            <w:r>
              <w:rPr>
                <w:rFonts w:hint="eastAsia"/>
                <w:color w:val="auto"/>
                <w:lang w:val="en-US" w:eastAsia="zh-CN"/>
              </w:rPr>
              <w:t>二次污染物</w:t>
            </w:r>
            <w:r>
              <w:rPr>
                <w:rFonts w:hint="eastAsia"/>
                <w:color w:val="auto"/>
              </w:rPr>
              <w:t>，同时可能造成经济损失以及人员伤亡。</w:t>
            </w:r>
          </w:p>
          <w:p w14:paraId="0925C702">
            <w:pPr>
              <w:ind w:firstLine="420"/>
              <w:rPr>
                <w:color w:val="auto"/>
              </w:rPr>
            </w:pPr>
            <w:r>
              <w:rPr>
                <w:rFonts w:hint="eastAsia"/>
                <w:color w:val="auto"/>
              </w:rPr>
              <w:t>②</w:t>
            </w:r>
            <w:r>
              <w:rPr>
                <w:color w:val="auto"/>
              </w:rPr>
              <w:t>生产装置风险识别</w:t>
            </w:r>
          </w:p>
          <w:p w14:paraId="09504F67">
            <w:pPr>
              <w:ind w:firstLine="420"/>
              <w:rPr>
                <w:rFonts w:hint="eastAsia"/>
                <w:color w:val="auto"/>
              </w:rPr>
            </w:pPr>
            <w:r>
              <w:rPr>
                <w:rFonts w:hint="eastAsia"/>
                <w:color w:val="auto"/>
              </w:rPr>
              <w:t>本项目在生产过程较为简单，不涉及明火，因此风险性较低。</w:t>
            </w:r>
          </w:p>
          <w:p w14:paraId="10CA5E74">
            <w:pPr>
              <w:ind w:firstLine="422"/>
              <w:rPr>
                <w:rFonts w:cs="Times New Roman"/>
                <w:b/>
                <w:color w:val="auto"/>
                <w:szCs w:val="21"/>
              </w:rPr>
            </w:pPr>
            <w:r>
              <w:rPr>
                <w:rFonts w:hint="eastAsia"/>
                <w:b/>
                <w:color w:val="auto"/>
              </w:rPr>
              <w:t>（4）环境风险防范措施</w:t>
            </w:r>
          </w:p>
          <w:p w14:paraId="28355D44">
            <w:pPr>
              <w:ind w:firstLine="420"/>
              <w:rPr>
                <w:color w:val="auto"/>
              </w:rPr>
            </w:pPr>
            <w:r>
              <w:rPr>
                <w:rFonts w:hint="eastAsia"/>
                <w:color w:val="auto"/>
                <w:lang w:val="en-US" w:eastAsia="zh-CN"/>
              </w:rPr>
              <w:t>纳林科公司</w:t>
            </w:r>
            <w:r>
              <w:rPr>
                <w:rFonts w:hint="eastAsia"/>
                <w:color w:val="auto"/>
              </w:rPr>
              <w:t>应急物资配备情况见表4-</w:t>
            </w:r>
            <w:r>
              <w:rPr>
                <w:rFonts w:hint="eastAsia"/>
                <w:color w:val="auto"/>
                <w:lang w:val="en-US" w:eastAsia="zh-CN"/>
              </w:rPr>
              <w:t>10</w:t>
            </w:r>
            <w:r>
              <w:rPr>
                <w:rFonts w:hint="eastAsia"/>
                <w:color w:val="auto"/>
              </w:rPr>
              <w:t>。</w:t>
            </w:r>
          </w:p>
          <w:p w14:paraId="5DBA60FA">
            <w:pPr>
              <w:keepNext w:val="0"/>
              <w:keepLines w:val="0"/>
              <w:pageBreakBefore w:val="0"/>
              <w:widowControl w:val="0"/>
              <w:kinsoku/>
              <w:wordWrap/>
              <w:overflowPunct/>
              <w:topLinePunct w:val="0"/>
              <w:autoSpaceDE/>
              <w:autoSpaceDN/>
              <w:bidi w:val="0"/>
              <w:adjustRightInd w:val="0"/>
              <w:snapToGrid w:val="0"/>
              <w:spacing w:line="240" w:lineRule="auto"/>
              <w:ind w:firstLine="422"/>
              <w:jc w:val="center"/>
              <w:textAlignment w:val="auto"/>
              <w:rPr>
                <w:rFonts w:hint="default" w:ascii="Times New Roman" w:hAnsi="Times New Roman" w:cs="Times New Roman"/>
                <w:b/>
                <w:bCs/>
                <w:color w:val="auto"/>
              </w:rPr>
            </w:pPr>
            <w:bookmarkStart w:id="19" w:name="_Toc5723"/>
            <w:bookmarkStart w:id="20" w:name="_Toc16482"/>
            <w:r>
              <w:rPr>
                <w:rFonts w:hint="default" w:ascii="Times New Roman" w:hAnsi="Times New Roman" w:cs="Times New Roman"/>
                <w:b/>
                <w:bCs/>
                <w:color w:val="auto"/>
              </w:rPr>
              <w:t>表4-</w:t>
            </w:r>
            <w:r>
              <w:rPr>
                <w:rFonts w:hint="eastAsia" w:cs="Times New Roman"/>
                <w:b/>
                <w:bCs/>
                <w:color w:val="auto"/>
                <w:lang w:val="en-US" w:eastAsia="zh-CN"/>
              </w:rPr>
              <w:t>10</w:t>
            </w:r>
            <w:r>
              <w:rPr>
                <w:rFonts w:hint="default" w:ascii="Times New Roman" w:hAnsi="Times New Roman" w:cs="Times New Roman"/>
                <w:b/>
                <w:bCs/>
                <w:color w:val="auto"/>
              </w:rPr>
              <w:t xml:space="preserve">  </w:t>
            </w:r>
            <w:bookmarkEnd w:id="19"/>
            <w:bookmarkEnd w:id="20"/>
            <w:r>
              <w:rPr>
                <w:rFonts w:hint="default" w:ascii="Times New Roman" w:hAnsi="Times New Roman" w:cs="Times New Roman"/>
                <w:b/>
                <w:bCs/>
                <w:color w:val="auto"/>
              </w:rPr>
              <w:t>环境应急处置物资</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023"/>
              <w:gridCol w:w="2561"/>
              <w:gridCol w:w="1531"/>
              <w:gridCol w:w="2742"/>
            </w:tblGrid>
            <w:tr w14:paraId="5A72B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tcBorders>
                    <w:tl2br w:val="nil"/>
                    <w:tr2bl w:val="nil"/>
                  </w:tcBorders>
                  <w:shd w:val="clear" w:color="auto" w:fill="D7D7D7" w:themeFill="background1" w:themeFillShade="D8"/>
                  <w:noWrap w:val="0"/>
                  <w:vAlign w:val="center"/>
                </w:tcPr>
                <w:p w14:paraId="03F0B4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序号</w:t>
                  </w:r>
                </w:p>
              </w:tc>
              <w:tc>
                <w:tcPr>
                  <w:tcW w:w="2067" w:type="pct"/>
                  <w:gridSpan w:val="2"/>
                  <w:tcBorders>
                    <w:tl2br w:val="nil"/>
                    <w:tr2bl w:val="nil"/>
                  </w:tcBorders>
                  <w:shd w:val="clear" w:color="auto" w:fill="D7D7D7" w:themeFill="background1" w:themeFillShade="D8"/>
                  <w:noWrap w:val="0"/>
                  <w:vAlign w:val="center"/>
                </w:tcPr>
                <w:p w14:paraId="42696420">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883" w:type="pct"/>
                  <w:tcBorders>
                    <w:tl2br w:val="nil"/>
                    <w:tr2bl w:val="nil"/>
                  </w:tcBorders>
                  <w:shd w:val="clear" w:color="auto" w:fill="D7D7D7" w:themeFill="background1" w:themeFillShade="D8"/>
                  <w:noWrap w:val="0"/>
                  <w:vAlign w:val="center"/>
                </w:tcPr>
                <w:p w14:paraId="7AAB24D5">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数量</w:t>
                  </w:r>
                </w:p>
              </w:tc>
              <w:tc>
                <w:tcPr>
                  <w:tcW w:w="1581" w:type="pct"/>
                  <w:tcBorders>
                    <w:tl2br w:val="nil"/>
                    <w:tr2bl w:val="nil"/>
                  </w:tcBorders>
                  <w:shd w:val="clear" w:color="auto" w:fill="D7D7D7" w:themeFill="background1" w:themeFillShade="D8"/>
                  <w:noWrap w:val="0"/>
                  <w:vAlign w:val="center"/>
                </w:tcPr>
                <w:p w14:paraId="6E16D758">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存储地点</w:t>
                  </w:r>
                </w:p>
              </w:tc>
            </w:tr>
            <w:tr w14:paraId="1A6F7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restart"/>
                  <w:tcBorders>
                    <w:tl2br w:val="nil"/>
                    <w:tr2bl w:val="nil"/>
                  </w:tcBorders>
                  <w:noWrap w:val="0"/>
                  <w:vAlign w:val="center"/>
                </w:tcPr>
                <w:p w14:paraId="420D6DC5">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590" w:type="pct"/>
                  <w:vMerge w:val="restart"/>
                  <w:tcBorders>
                    <w:tl2br w:val="nil"/>
                    <w:tr2bl w:val="nil"/>
                  </w:tcBorders>
                  <w:noWrap w:val="0"/>
                  <w:vAlign w:val="center"/>
                </w:tcPr>
                <w:p w14:paraId="4236B8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安全防护</w:t>
                  </w:r>
                </w:p>
              </w:tc>
              <w:tc>
                <w:tcPr>
                  <w:tcW w:w="1477" w:type="pct"/>
                  <w:tcBorders>
                    <w:tl2br w:val="nil"/>
                    <w:tr2bl w:val="nil"/>
                  </w:tcBorders>
                  <w:noWrap w:val="0"/>
                  <w:vAlign w:val="center"/>
                </w:tcPr>
                <w:p w14:paraId="0CB2D8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电动长管送风呼吸器</w:t>
                  </w:r>
                </w:p>
              </w:tc>
              <w:tc>
                <w:tcPr>
                  <w:tcW w:w="883" w:type="pct"/>
                  <w:tcBorders>
                    <w:tl2br w:val="nil"/>
                    <w:tr2bl w:val="nil"/>
                  </w:tcBorders>
                  <w:noWrap w:val="0"/>
                  <w:vAlign w:val="center"/>
                </w:tcPr>
                <w:p w14:paraId="7EC2A9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2套</w:t>
                  </w:r>
                </w:p>
              </w:tc>
              <w:tc>
                <w:tcPr>
                  <w:tcW w:w="1581" w:type="pct"/>
                  <w:vMerge w:val="restart"/>
                  <w:tcBorders>
                    <w:tl2br w:val="nil"/>
                    <w:tr2bl w:val="nil"/>
                  </w:tcBorders>
                  <w:noWrap w:val="0"/>
                  <w:vAlign w:val="center"/>
                </w:tcPr>
                <w:p w14:paraId="0FA444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车间、仓库</w:t>
                  </w:r>
                </w:p>
              </w:tc>
            </w:tr>
            <w:tr w14:paraId="71C0F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0824CC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4D4E7C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6E87B46B">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防护头盔</w:t>
                  </w:r>
                </w:p>
              </w:tc>
              <w:tc>
                <w:tcPr>
                  <w:tcW w:w="883" w:type="pct"/>
                  <w:tcBorders>
                    <w:tl2br w:val="nil"/>
                    <w:tr2bl w:val="nil"/>
                  </w:tcBorders>
                  <w:noWrap w:val="0"/>
                  <w:vAlign w:val="center"/>
                </w:tcPr>
                <w:p w14:paraId="53153D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12顶</w:t>
                  </w:r>
                </w:p>
              </w:tc>
              <w:tc>
                <w:tcPr>
                  <w:tcW w:w="1581" w:type="pct"/>
                  <w:vMerge w:val="continue"/>
                  <w:tcBorders>
                    <w:tl2br w:val="nil"/>
                    <w:tr2bl w:val="nil"/>
                  </w:tcBorders>
                  <w:noWrap w:val="0"/>
                  <w:vAlign w:val="center"/>
                </w:tcPr>
                <w:p w14:paraId="5FD625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00FD6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3A1C4A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70C8E4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119B081D">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防护服</w:t>
                  </w:r>
                </w:p>
              </w:tc>
              <w:tc>
                <w:tcPr>
                  <w:tcW w:w="883" w:type="pct"/>
                  <w:tcBorders>
                    <w:tl2br w:val="nil"/>
                    <w:tr2bl w:val="nil"/>
                  </w:tcBorders>
                  <w:noWrap w:val="0"/>
                  <w:vAlign w:val="center"/>
                </w:tcPr>
                <w:p w14:paraId="6396A85A">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12套</w:t>
                  </w:r>
                </w:p>
              </w:tc>
              <w:tc>
                <w:tcPr>
                  <w:tcW w:w="1581" w:type="pct"/>
                  <w:vMerge w:val="continue"/>
                  <w:tcBorders>
                    <w:tl2br w:val="nil"/>
                    <w:tr2bl w:val="nil"/>
                  </w:tcBorders>
                  <w:noWrap w:val="0"/>
                  <w:vAlign w:val="center"/>
                </w:tcPr>
                <w:p w14:paraId="07946D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162F3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1CCD35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4778E3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4033E87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防护手套</w:t>
                  </w:r>
                </w:p>
              </w:tc>
              <w:tc>
                <w:tcPr>
                  <w:tcW w:w="883" w:type="pct"/>
                  <w:tcBorders>
                    <w:tl2br w:val="nil"/>
                    <w:tr2bl w:val="nil"/>
                  </w:tcBorders>
                  <w:noWrap w:val="0"/>
                  <w:vAlign w:val="center"/>
                </w:tcPr>
                <w:p w14:paraId="206B68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12</w:t>
                  </w:r>
                  <w:r>
                    <w:rPr>
                      <w:rFonts w:hint="default" w:ascii="Times New Roman" w:hAnsi="Times New Roman" w:eastAsia="宋体" w:cs="Times New Roman"/>
                      <w:color w:val="auto"/>
                      <w:sz w:val="18"/>
                      <w:szCs w:val="18"/>
                      <w:lang w:val="en-US" w:eastAsia="zh-CN"/>
                    </w:rPr>
                    <w:t>双</w:t>
                  </w:r>
                </w:p>
              </w:tc>
              <w:tc>
                <w:tcPr>
                  <w:tcW w:w="1581" w:type="pct"/>
                  <w:vMerge w:val="continue"/>
                  <w:tcBorders>
                    <w:tl2br w:val="nil"/>
                    <w:tr2bl w:val="nil"/>
                  </w:tcBorders>
                  <w:noWrap w:val="0"/>
                  <w:vAlign w:val="center"/>
                </w:tcPr>
                <w:p w14:paraId="444140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3ADD1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030ED6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79D920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6F2E59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防护靴</w:t>
                  </w:r>
                </w:p>
              </w:tc>
              <w:tc>
                <w:tcPr>
                  <w:tcW w:w="883" w:type="pct"/>
                  <w:tcBorders>
                    <w:tl2br w:val="nil"/>
                    <w:tr2bl w:val="nil"/>
                  </w:tcBorders>
                  <w:noWrap w:val="0"/>
                  <w:vAlign w:val="center"/>
                </w:tcPr>
                <w:p w14:paraId="6605A8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12</w:t>
                  </w:r>
                  <w:r>
                    <w:rPr>
                      <w:rFonts w:hint="default" w:ascii="Times New Roman" w:hAnsi="Times New Roman" w:eastAsia="宋体" w:cs="Times New Roman"/>
                      <w:color w:val="auto"/>
                      <w:sz w:val="18"/>
                      <w:szCs w:val="18"/>
                      <w:lang w:val="en-US" w:eastAsia="zh-CN"/>
                    </w:rPr>
                    <w:t>双</w:t>
                  </w:r>
                </w:p>
              </w:tc>
              <w:tc>
                <w:tcPr>
                  <w:tcW w:w="1581" w:type="pct"/>
                  <w:vMerge w:val="continue"/>
                  <w:tcBorders>
                    <w:tl2br w:val="nil"/>
                    <w:tr2bl w:val="nil"/>
                  </w:tcBorders>
                  <w:noWrap w:val="0"/>
                  <w:vAlign w:val="center"/>
                </w:tcPr>
                <w:p w14:paraId="6EF20E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0221D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0AB7C0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238E73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468AE48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防毒面具</w:t>
                  </w:r>
                </w:p>
              </w:tc>
              <w:tc>
                <w:tcPr>
                  <w:tcW w:w="883" w:type="pct"/>
                  <w:tcBorders>
                    <w:tl2br w:val="nil"/>
                    <w:tr2bl w:val="nil"/>
                  </w:tcBorders>
                  <w:noWrap w:val="0"/>
                  <w:vAlign w:val="center"/>
                </w:tcPr>
                <w:p w14:paraId="6156ED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12</w:t>
                  </w:r>
                  <w:r>
                    <w:rPr>
                      <w:rFonts w:hint="default" w:ascii="Times New Roman" w:hAnsi="Times New Roman" w:eastAsia="宋体" w:cs="Times New Roman"/>
                      <w:color w:val="auto"/>
                      <w:sz w:val="18"/>
                      <w:szCs w:val="18"/>
                      <w:lang w:val="en-US" w:eastAsia="zh-CN"/>
                    </w:rPr>
                    <w:t>只</w:t>
                  </w:r>
                </w:p>
              </w:tc>
              <w:tc>
                <w:tcPr>
                  <w:tcW w:w="1581" w:type="pct"/>
                  <w:vMerge w:val="continue"/>
                  <w:tcBorders>
                    <w:tl2br w:val="nil"/>
                    <w:tr2bl w:val="nil"/>
                  </w:tcBorders>
                  <w:noWrap w:val="0"/>
                  <w:vAlign w:val="center"/>
                </w:tcPr>
                <w:p w14:paraId="639D54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18BFB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0F18A6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6CE568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0C00E2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反光背心</w:t>
                  </w:r>
                </w:p>
              </w:tc>
              <w:tc>
                <w:tcPr>
                  <w:tcW w:w="883" w:type="pct"/>
                  <w:tcBorders>
                    <w:tl2br w:val="nil"/>
                    <w:tr2bl w:val="nil"/>
                  </w:tcBorders>
                  <w:noWrap w:val="0"/>
                  <w:vAlign w:val="center"/>
                </w:tcPr>
                <w:p w14:paraId="35989A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6套</w:t>
                  </w:r>
                </w:p>
              </w:tc>
              <w:tc>
                <w:tcPr>
                  <w:tcW w:w="1581" w:type="pct"/>
                  <w:vMerge w:val="continue"/>
                  <w:tcBorders>
                    <w:tl2br w:val="nil"/>
                    <w:tr2bl w:val="nil"/>
                  </w:tcBorders>
                  <w:noWrap w:val="0"/>
                  <w:vAlign w:val="center"/>
                </w:tcPr>
                <w:p w14:paraId="2128BE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35994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4A0EB7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3A1CFD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780C94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防护口罩</w:t>
                  </w:r>
                </w:p>
              </w:tc>
              <w:tc>
                <w:tcPr>
                  <w:tcW w:w="883" w:type="pct"/>
                  <w:tcBorders>
                    <w:tl2br w:val="nil"/>
                    <w:tr2bl w:val="nil"/>
                  </w:tcBorders>
                  <w:noWrap w:val="0"/>
                  <w:vAlign w:val="center"/>
                </w:tcPr>
                <w:p w14:paraId="014DBC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50只</w:t>
                  </w:r>
                </w:p>
              </w:tc>
              <w:tc>
                <w:tcPr>
                  <w:tcW w:w="1581" w:type="pct"/>
                  <w:vMerge w:val="continue"/>
                  <w:tcBorders>
                    <w:tl2br w:val="nil"/>
                    <w:tr2bl w:val="nil"/>
                  </w:tcBorders>
                  <w:noWrap w:val="0"/>
                  <w:vAlign w:val="center"/>
                </w:tcPr>
                <w:p w14:paraId="1C92F1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58937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restart"/>
                  <w:tcBorders>
                    <w:tl2br w:val="nil"/>
                    <w:tr2bl w:val="nil"/>
                  </w:tcBorders>
                  <w:noWrap w:val="0"/>
                  <w:vAlign w:val="center"/>
                </w:tcPr>
                <w:p w14:paraId="05C5A4D6">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590" w:type="pct"/>
                  <w:vMerge w:val="restart"/>
                  <w:tcBorders>
                    <w:tl2br w:val="nil"/>
                    <w:tr2bl w:val="nil"/>
                  </w:tcBorders>
                  <w:noWrap w:val="0"/>
                  <w:vAlign w:val="center"/>
                </w:tcPr>
                <w:p w14:paraId="6FF6DC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污染物控制</w:t>
                  </w:r>
                </w:p>
              </w:tc>
              <w:tc>
                <w:tcPr>
                  <w:tcW w:w="1477" w:type="pct"/>
                  <w:tcBorders>
                    <w:tl2br w:val="nil"/>
                    <w:tr2bl w:val="nil"/>
                  </w:tcBorders>
                  <w:noWrap w:val="0"/>
                  <w:vAlign w:val="center"/>
                </w:tcPr>
                <w:p w14:paraId="56CC99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消防水带</w:t>
                  </w:r>
                </w:p>
              </w:tc>
              <w:tc>
                <w:tcPr>
                  <w:tcW w:w="883" w:type="pct"/>
                  <w:tcBorders>
                    <w:tl2br w:val="nil"/>
                    <w:tr2bl w:val="nil"/>
                  </w:tcBorders>
                  <w:noWrap w:val="0"/>
                  <w:vAlign w:val="center"/>
                </w:tcPr>
                <w:p w14:paraId="11B64B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w:t>
                  </w:r>
                  <w:r>
                    <w:rPr>
                      <w:rFonts w:hint="default" w:ascii="Times New Roman" w:hAnsi="Times New Roman" w:eastAsia="宋体" w:cs="Times New Roman"/>
                      <w:color w:val="auto"/>
                      <w:sz w:val="18"/>
                      <w:szCs w:val="18"/>
                    </w:rPr>
                    <w:t>个</w:t>
                  </w:r>
                </w:p>
              </w:tc>
              <w:tc>
                <w:tcPr>
                  <w:tcW w:w="1581" w:type="pct"/>
                  <w:vMerge w:val="restart"/>
                  <w:tcBorders>
                    <w:tl2br w:val="nil"/>
                    <w:tr2bl w:val="nil"/>
                  </w:tcBorders>
                  <w:noWrap w:val="0"/>
                  <w:vAlign w:val="center"/>
                </w:tcPr>
                <w:p w14:paraId="73E761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分布厂区</w:t>
                  </w:r>
                </w:p>
              </w:tc>
            </w:tr>
            <w:tr w14:paraId="54191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7AC148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2414A2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15A1F9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消防水枪</w:t>
                  </w:r>
                </w:p>
              </w:tc>
              <w:tc>
                <w:tcPr>
                  <w:tcW w:w="883" w:type="pct"/>
                  <w:tcBorders>
                    <w:tl2br w:val="nil"/>
                    <w:tr2bl w:val="nil"/>
                  </w:tcBorders>
                  <w:noWrap w:val="0"/>
                  <w:vAlign w:val="center"/>
                </w:tcPr>
                <w:p w14:paraId="1A5636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w:t>
                  </w:r>
                  <w:r>
                    <w:rPr>
                      <w:rFonts w:hint="default" w:ascii="Times New Roman" w:hAnsi="Times New Roman" w:eastAsia="宋体" w:cs="Times New Roman"/>
                      <w:color w:val="auto"/>
                      <w:sz w:val="18"/>
                      <w:szCs w:val="18"/>
                    </w:rPr>
                    <w:t>个</w:t>
                  </w:r>
                </w:p>
              </w:tc>
              <w:tc>
                <w:tcPr>
                  <w:tcW w:w="1581" w:type="pct"/>
                  <w:vMerge w:val="continue"/>
                  <w:tcBorders>
                    <w:tl2br w:val="nil"/>
                    <w:tr2bl w:val="nil"/>
                  </w:tcBorders>
                  <w:noWrap w:val="0"/>
                  <w:vAlign w:val="center"/>
                </w:tcPr>
                <w:p w14:paraId="7C0DDF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3741C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7C2492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5FA2B9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588996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消防栓</w:t>
                  </w:r>
                </w:p>
              </w:tc>
              <w:tc>
                <w:tcPr>
                  <w:tcW w:w="883" w:type="pct"/>
                  <w:tcBorders>
                    <w:tl2br w:val="nil"/>
                    <w:tr2bl w:val="nil"/>
                  </w:tcBorders>
                  <w:noWrap w:val="0"/>
                  <w:vAlign w:val="center"/>
                </w:tcPr>
                <w:p w14:paraId="69070D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w:t>
                  </w:r>
                  <w:r>
                    <w:rPr>
                      <w:rFonts w:hint="default" w:ascii="Times New Roman" w:hAnsi="Times New Roman" w:eastAsia="宋体" w:cs="Times New Roman"/>
                      <w:color w:val="auto"/>
                      <w:sz w:val="18"/>
                      <w:szCs w:val="18"/>
                    </w:rPr>
                    <w:t>个</w:t>
                  </w:r>
                </w:p>
              </w:tc>
              <w:tc>
                <w:tcPr>
                  <w:tcW w:w="1581" w:type="pct"/>
                  <w:vMerge w:val="continue"/>
                  <w:tcBorders>
                    <w:tl2br w:val="nil"/>
                    <w:tr2bl w:val="nil"/>
                  </w:tcBorders>
                  <w:noWrap w:val="0"/>
                  <w:vAlign w:val="center"/>
                </w:tcPr>
                <w:p w14:paraId="02CFE5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13533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3B4D71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49FD7E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7D7C8F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消防水池</w:t>
                  </w:r>
                </w:p>
              </w:tc>
              <w:tc>
                <w:tcPr>
                  <w:tcW w:w="883" w:type="pct"/>
                  <w:tcBorders>
                    <w:tl2br w:val="nil"/>
                    <w:tr2bl w:val="nil"/>
                  </w:tcBorders>
                  <w:noWrap w:val="0"/>
                  <w:vAlign w:val="center"/>
                </w:tcPr>
                <w:p w14:paraId="0FF39A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个</w:t>
                  </w:r>
                </w:p>
              </w:tc>
              <w:tc>
                <w:tcPr>
                  <w:tcW w:w="1581" w:type="pct"/>
                  <w:vMerge w:val="continue"/>
                  <w:tcBorders>
                    <w:tl2br w:val="nil"/>
                    <w:tr2bl w:val="nil"/>
                  </w:tcBorders>
                  <w:noWrap w:val="0"/>
                  <w:vAlign w:val="center"/>
                </w:tcPr>
                <w:p w14:paraId="4E3719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3074A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1019D3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560B66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741A0C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消防泵</w:t>
                  </w:r>
                </w:p>
              </w:tc>
              <w:tc>
                <w:tcPr>
                  <w:tcW w:w="883" w:type="pct"/>
                  <w:tcBorders>
                    <w:tl2br w:val="nil"/>
                    <w:tr2bl w:val="nil"/>
                  </w:tcBorders>
                  <w:noWrap w:val="0"/>
                  <w:vAlign w:val="center"/>
                </w:tcPr>
                <w:p w14:paraId="4B27EC7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个</w:t>
                  </w:r>
                </w:p>
              </w:tc>
              <w:tc>
                <w:tcPr>
                  <w:tcW w:w="1581" w:type="pct"/>
                  <w:vMerge w:val="continue"/>
                  <w:tcBorders>
                    <w:tl2br w:val="nil"/>
                    <w:tr2bl w:val="nil"/>
                  </w:tcBorders>
                  <w:noWrap w:val="0"/>
                  <w:vAlign w:val="center"/>
                </w:tcPr>
                <w:p w14:paraId="3B26E4E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34085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7565A5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1674DB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24E321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干粉灭火器</w:t>
                  </w:r>
                </w:p>
              </w:tc>
              <w:tc>
                <w:tcPr>
                  <w:tcW w:w="883" w:type="pct"/>
                  <w:tcBorders>
                    <w:tl2br w:val="nil"/>
                    <w:tr2bl w:val="nil"/>
                  </w:tcBorders>
                  <w:noWrap w:val="0"/>
                  <w:vAlign w:val="center"/>
                </w:tcPr>
                <w:p w14:paraId="1C9454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10组</w:t>
                  </w:r>
                </w:p>
              </w:tc>
              <w:tc>
                <w:tcPr>
                  <w:tcW w:w="1581" w:type="pct"/>
                  <w:vMerge w:val="continue"/>
                  <w:tcBorders>
                    <w:tl2br w:val="nil"/>
                    <w:tr2bl w:val="nil"/>
                  </w:tcBorders>
                  <w:noWrap w:val="0"/>
                  <w:vAlign w:val="center"/>
                </w:tcPr>
                <w:p w14:paraId="7E8234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7298E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restart"/>
                  <w:tcBorders>
                    <w:tl2br w:val="nil"/>
                    <w:tr2bl w:val="nil"/>
                  </w:tcBorders>
                  <w:noWrap w:val="0"/>
                  <w:vAlign w:val="center"/>
                </w:tcPr>
                <w:p w14:paraId="70E963E1">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w:t>
                  </w:r>
                </w:p>
              </w:tc>
              <w:tc>
                <w:tcPr>
                  <w:tcW w:w="590" w:type="pct"/>
                  <w:vMerge w:val="restart"/>
                  <w:tcBorders>
                    <w:tl2br w:val="nil"/>
                    <w:tr2bl w:val="nil"/>
                  </w:tcBorders>
                  <w:noWrap w:val="0"/>
                  <w:vAlign w:val="center"/>
                </w:tcPr>
                <w:p w14:paraId="52444A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污染物收集</w:t>
                  </w:r>
                </w:p>
              </w:tc>
              <w:tc>
                <w:tcPr>
                  <w:tcW w:w="1477" w:type="pct"/>
                  <w:tcBorders>
                    <w:tl2br w:val="nil"/>
                    <w:tr2bl w:val="nil"/>
                  </w:tcBorders>
                  <w:noWrap w:val="0"/>
                  <w:vAlign w:val="center"/>
                </w:tcPr>
                <w:p w14:paraId="44BA87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收集桶</w:t>
                  </w:r>
                </w:p>
              </w:tc>
              <w:tc>
                <w:tcPr>
                  <w:tcW w:w="883" w:type="pct"/>
                  <w:tcBorders>
                    <w:tl2br w:val="nil"/>
                    <w:tr2bl w:val="nil"/>
                  </w:tcBorders>
                  <w:noWrap w:val="0"/>
                  <w:vAlign w:val="center"/>
                </w:tcPr>
                <w:p w14:paraId="57CF85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6个</w:t>
                  </w:r>
                </w:p>
              </w:tc>
              <w:tc>
                <w:tcPr>
                  <w:tcW w:w="1581" w:type="pct"/>
                  <w:vMerge w:val="restart"/>
                  <w:tcBorders>
                    <w:tl2br w:val="nil"/>
                    <w:tr2bl w:val="nil"/>
                  </w:tcBorders>
                  <w:noWrap w:val="0"/>
                  <w:vAlign w:val="center"/>
                </w:tcPr>
                <w:p w14:paraId="2A5B3A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车间、仓库</w:t>
                  </w:r>
                </w:p>
              </w:tc>
            </w:tr>
            <w:tr w14:paraId="5788C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482771F3">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rPr>
                  </w:pPr>
                </w:p>
              </w:tc>
              <w:tc>
                <w:tcPr>
                  <w:tcW w:w="590" w:type="pct"/>
                  <w:vMerge w:val="continue"/>
                  <w:tcBorders>
                    <w:tl2br w:val="nil"/>
                    <w:tr2bl w:val="nil"/>
                  </w:tcBorders>
                  <w:noWrap w:val="0"/>
                  <w:vAlign w:val="center"/>
                </w:tcPr>
                <w:p w14:paraId="1EE342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1477" w:type="pct"/>
                  <w:tcBorders>
                    <w:tl2br w:val="nil"/>
                    <w:tr2bl w:val="nil"/>
                  </w:tcBorders>
                  <w:noWrap w:val="0"/>
                  <w:vAlign w:val="center"/>
                </w:tcPr>
                <w:p w14:paraId="7B41ED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黄沙箱</w:t>
                  </w:r>
                </w:p>
              </w:tc>
              <w:tc>
                <w:tcPr>
                  <w:tcW w:w="883" w:type="pct"/>
                  <w:tcBorders>
                    <w:tl2br w:val="nil"/>
                    <w:tr2bl w:val="nil"/>
                  </w:tcBorders>
                  <w:noWrap w:val="0"/>
                  <w:vAlign w:val="center"/>
                </w:tcPr>
                <w:p w14:paraId="470785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2个</w:t>
                  </w:r>
                </w:p>
              </w:tc>
              <w:tc>
                <w:tcPr>
                  <w:tcW w:w="1581" w:type="pct"/>
                  <w:vMerge w:val="continue"/>
                  <w:tcBorders>
                    <w:tl2br w:val="nil"/>
                    <w:tr2bl w:val="nil"/>
                  </w:tcBorders>
                  <w:noWrap w:val="0"/>
                  <w:vAlign w:val="center"/>
                </w:tcPr>
                <w:p w14:paraId="487940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r w14:paraId="1BFAC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6220C5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010534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3D8A6C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消防铲</w:t>
                  </w:r>
                </w:p>
              </w:tc>
              <w:tc>
                <w:tcPr>
                  <w:tcW w:w="883" w:type="pct"/>
                  <w:tcBorders>
                    <w:tl2br w:val="nil"/>
                    <w:tr2bl w:val="nil"/>
                  </w:tcBorders>
                  <w:noWrap w:val="0"/>
                  <w:vAlign w:val="center"/>
                </w:tcPr>
                <w:p w14:paraId="7262F3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6个</w:t>
                  </w:r>
                </w:p>
              </w:tc>
              <w:tc>
                <w:tcPr>
                  <w:tcW w:w="1581" w:type="pct"/>
                  <w:vMerge w:val="continue"/>
                  <w:tcBorders>
                    <w:tl2br w:val="nil"/>
                    <w:tr2bl w:val="nil"/>
                  </w:tcBorders>
                  <w:noWrap w:val="0"/>
                  <w:vAlign w:val="center"/>
                </w:tcPr>
                <w:p w14:paraId="216293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5ED6F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restart"/>
                  <w:tcBorders>
                    <w:tl2br w:val="nil"/>
                    <w:tr2bl w:val="nil"/>
                  </w:tcBorders>
                  <w:noWrap w:val="0"/>
                  <w:vAlign w:val="center"/>
                </w:tcPr>
                <w:p w14:paraId="26C3271E">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4</w:t>
                  </w:r>
                </w:p>
              </w:tc>
              <w:tc>
                <w:tcPr>
                  <w:tcW w:w="590" w:type="pct"/>
                  <w:vMerge w:val="restart"/>
                  <w:tcBorders>
                    <w:tl2br w:val="nil"/>
                    <w:tr2bl w:val="nil"/>
                  </w:tcBorders>
                  <w:noWrap w:val="0"/>
                  <w:vAlign w:val="center"/>
                </w:tcPr>
                <w:p w14:paraId="459088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应急通信和指挥</w:t>
                  </w:r>
                </w:p>
              </w:tc>
              <w:tc>
                <w:tcPr>
                  <w:tcW w:w="1477" w:type="pct"/>
                  <w:tcBorders>
                    <w:tl2br w:val="nil"/>
                    <w:tr2bl w:val="nil"/>
                  </w:tcBorders>
                  <w:noWrap w:val="0"/>
                  <w:vAlign w:val="center"/>
                </w:tcPr>
                <w:p w14:paraId="4568B7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视频监控</w:t>
                  </w:r>
                </w:p>
              </w:tc>
              <w:tc>
                <w:tcPr>
                  <w:tcW w:w="883" w:type="pct"/>
                  <w:tcBorders>
                    <w:tl2br w:val="nil"/>
                    <w:tr2bl w:val="nil"/>
                  </w:tcBorders>
                  <w:noWrap w:val="0"/>
                  <w:vAlign w:val="center"/>
                </w:tcPr>
                <w:p w14:paraId="514FD3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1个</w:t>
                  </w:r>
                </w:p>
              </w:tc>
              <w:tc>
                <w:tcPr>
                  <w:tcW w:w="1581" w:type="pct"/>
                  <w:vMerge w:val="restart"/>
                  <w:tcBorders>
                    <w:tl2br w:val="nil"/>
                    <w:tr2bl w:val="nil"/>
                  </w:tcBorders>
                  <w:noWrap w:val="0"/>
                  <w:vAlign w:val="center"/>
                </w:tcPr>
                <w:p w14:paraId="7D3AF6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车间、仓库</w:t>
                  </w:r>
                </w:p>
              </w:tc>
            </w:tr>
            <w:tr w14:paraId="32602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04A0FECF">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rPr>
                  </w:pPr>
                </w:p>
              </w:tc>
              <w:tc>
                <w:tcPr>
                  <w:tcW w:w="590" w:type="pct"/>
                  <w:vMerge w:val="continue"/>
                  <w:tcBorders>
                    <w:tl2br w:val="nil"/>
                    <w:tr2bl w:val="nil"/>
                  </w:tcBorders>
                  <w:noWrap w:val="0"/>
                  <w:vAlign w:val="center"/>
                </w:tcPr>
                <w:p w14:paraId="5666AD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1477" w:type="pct"/>
                  <w:tcBorders>
                    <w:tl2br w:val="nil"/>
                    <w:tr2bl w:val="nil"/>
                  </w:tcBorders>
                  <w:noWrap w:val="0"/>
                  <w:vAlign w:val="center"/>
                </w:tcPr>
                <w:p w14:paraId="03E42E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可燃气体报警器</w:t>
                  </w:r>
                </w:p>
              </w:tc>
              <w:tc>
                <w:tcPr>
                  <w:tcW w:w="883" w:type="pct"/>
                  <w:tcBorders>
                    <w:tl2br w:val="nil"/>
                    <w:tr2bl w:val="nil"/>
                  </w:tcBorders>
                  <w:noWrap w:val="0"/>
                  <w:vAlign w:val="center"/>
                </w:tcPr>
                <w:p w14:paraId="3ED89A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12个</w:t>
                  </w:r>
                </w:p>
              </w:tc>
              <w:tc>
                <w:tcPr>
                  <w:tcW w:w="1581" w:type="pct"/>
                  <w:vMerge w:val="continue"/>
                  <w:tcBorders>
                    <w:tl2br w:val="nil"/>
                    <w:tr2bl w:val="nil"/>
                  </w:tcBorders>
                  <w:noWrap w:val="0"/>
                  <w:vAlign w:val="center"/>
                </w:tcPr>
                <w:p w14:paraId="06C1EA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r>
            <w:tr w14:paraId="025DB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2A0DC7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31B94E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70AB5E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对讲机</w:t>
                  </w:r>
                </w:p>
              </w:tc>
              <w:tc>
                <w:tcPr>
                  <w:tcW w:w="883" w:type="pct"/>
                  <w:tcBorders>
                    <w:tl2br w:val="nil"/>
                    <w:tr2bl w:val="nil"/>
                  </w:tcBorders>
                  <w:noWrap w:val="0"/>
                  <w:vAlign w:val="center"/>
                </w:tcPr>
                <w:p w14:paraId="6E31DD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2个</w:t>
                  </w:r>
                </w:p>
              </w:tc>
              <w:tc>
                <w:tcPr>
                  <w:tcW w:w="1581" w:type="pct"/>
                  <w:vMerge w:val="continue"/>
                  <w:tcBorders>
                    <w:tl2br w:val="nil"/>
                    <w:tr2bl w:val="nil"/>
                  </w:tcBorders>
                  <w:noWrap w:val="0"/>
                  <w:vAlign w:val="center"/>
                </w:tcPr>
                <w:p w14:paraId="7AFA9D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5CA97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000EC2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76A11E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45E78D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应急照明灯</w:t>
                  </w:r>
                </w:p>
              </w:tc>
              <w:tc>
                <w:tcPr>
                  <w:tcW w:w="883" w:type="pct"/>
                  <w:tcBorders>
                    <w:tl2br w:val="nil"/>
                    <w:tr2bl w:val="nil"/>
                  </w:tcBorders>
                  <w:noWrap w:val="0"/>
                  <w:vAlign w:val="center"/>
                </w:tcPr>
                <w:p w14:paraId="19B2CC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5盏</w:t>
                  </w:r>
                </w:p>
              </w:tc>
              <w:tc>
                <w:tcPr>
                  <w:tcW w:w="1581" w:type="pct"/>
                  <w:vMerge w:val="continue"/>
                  <w:tcBorders>
                    <w:tl2br w:val="nil"/>
                    <w:tr2bl w:val="nil"/>
                  </w:tcBorders>
                  <w:noWrap w:val="0"/>
                  <w:vAlign w:val="center"/>
                </w:tcPr>
                <w:p w14:paraId="5ACA4B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r w14:paraId="47682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restart"/>
                  <w:tcBorders>
                    <w:tl2br w:val="nil"/>
                    <w:tr2bl w:val="nil"/>
                  </w:tcBorders>
                  <w:noWrap w:val="0"/>
                  <w:vAlign w:val="center"/>
                </w:tcPr>
                <w:p w14:paraId="58BBEC6C">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5</w:t>
                  </w:r>
                </w:p>
              </w:tc>
              <w:tc>
                <w:tcPr>
                  <w:tcW w:w="590" w:type="pct"/>
                  <w:vMerge w:val="restart"/>
                  <w:tcBorders>
                    <w:tl2br w:val="nil"/>
                    <w:tr2bl w:val="nil"/>
                  </w:tcBorders>
                  <w:noWrap w:val="0"/>
                  <w:vAlign w:val="center"/>
                </w:tcPr>
                <w:p w14:paraId="527B74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急救物资</w:t>
                  </w:r>
                </w:p>
              </w:tc>
              <w:tc>
                <w:tcPr>
                  <w:tcW w:w="1477" w:type="pct"/>
                  <w:tcBorders>
                    <w:tl2br w:val="nil"/>
                    <w:tr2bl w:val="nil"/>
                  </w:tcBorders>
                  <w:noWrap w:val="0"/>
                  <w:vAlign w:val="center"/>
                </w:tcPr>
                <w:p w14:paraId="5B6052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应急救援箱</w:t>
                  </w:r>
                </w:p>
              </w:tc>
              <w:tc>
                <w:tcPr>
                  <w:tcW w:w="883" w:type="pct"/>
                  <w:tcBorders>
                    <w:tl2br w:val="nil"/>
                    <w:tr2bl w:val="nil"/>
                  </w:tcBorders>
                  <w:noWrap w:val="0"/>
                  <w:vAlign w:val="center"/>
                </w:tcPr>
                <w:p w14:paraId="600FDE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1只</w:t>
                  </w:r>
                </w:p>
              </w:tc>
              <w:tc>
                <w:tcPr>
                  <w:tcW w:w="1581" w:type="pct"/>
                  <w:vMerge w:val="restart"/>
                  <w:tcBorders>
                    <w:tl2br w:val="nil"/>
                    <w:tr2bl w:val="nil"/>
                  </w:tcBorders>
                  <w:noWrap w:val="0"/>
                  <w:vAlign w:val="center"/>
                </w:tcPr>
                <w:p w14:paraId="511B11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车间、仓库</w:t>
                  </w:r>
                </w:p>
              </w:tc>
            </w:tr>
            <w:tr w14:paraId="20C14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7BA480F9">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rPr>
                  </w:pPr>
                </w:p>
              </w:tc>
              <w:tc>
                <w:tcPr>
                  <w:tcW w:w="590" w:type="pct"/>
                  <w:vMerge w:val="continue"/>
                  <w:tcBorders>
                    <w:tl2br w:val="nil"/>
                    <w:tr2bl w:val="nil"/>
                  </w:tcBorders>
                  <w:noWrap w:val="0"/>
                  <w:vAlign w:val="center"/>
                </w:tcPr>
                <w:p w14:paraId="3E46DE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5CC004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安全绳</w:t>
                  </w:r>
                </w:p>
              </w:tc>
              <w:tc>
                <w:tcPr>
                  <w:tcW w:w="883" w:type="pct"/>
                  <w:tcBorders>
                    <w:tl2br w:val="nil"/>
                    <w:tr2bl w:val="nil"/>
                  </w:tcBorders>
                  <w:noWrap w:val="0"/>
                  <w:vAlign w:val="center"/>
                </w:tcPr>
                <w:p w14:paraId="4B39EA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6组</w:t>
                  </w:r>
                </w:p>
              </w:tc>
              <w:tc>
                <w:tcPr>
                  <w:tcW w:w="1581" w:type="pct"/>
                  <w:vMerge w:val="continue"/>
                  <w:tcBorders>
                    <w:tl2br w:val="nil"/>
                    <w:tr2bl w:val="nil"/>
                  </w:tcBorders>
                  <w:noWrap w:val="0"/>
                  <w:vAlign w:val="center"/>
                </w:tcPr>
                <w:p w14:paraId="4E458D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r w14:paraId="64663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1B2423A6">
                  <w:pPr>
                    <w:pStyle w:val="189"/>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rPr>
                  </w:pPr>
                </w:p>
              </w:tc>
              <w:tc>
                <w:tcPr>
                  <w:tcW w:w="590" w:type="pct"/>
                  <w:vMerge w:val="continue"/>
                  <w:tcBorders>
                    <w:tl2br w:val="nil"/>
                    <w:tr2bl w:val="nil"/>
                  </w:tcBorders>
                  <w:noWrap w:val="0"/>
                  <w:vAlign w:val="center"/>
                </w:tcPr>
                <w:p w14:paraId="620C03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1FBCF8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应急救援药</w:t>
                  </w:r>
                </w:p>
              </w:tc>
              <w:tc>
                <w:tcPr>
                  <w:tcW w:w="883" w:type="pct"/>
                  <w:tcBorders>
                    <w:tl2br w:val="nil"/>
                    <w:tr2bl w:val="nil"/>
                  </w:tcBorders>
                  <w:noWrap w:val="0"/>
                  <w:vAlign w:val="center"/>
                </w:tcPr>
                <w:p w14:paraId="1369C5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6个</w:t>
                  </w:r>
                </w:p>
              </w:tc>
              <w:tc>
                <w:tcPr>
                  <w:tcW w:w="1581" w:type="pct"/>
                  <w:vMerge w:val="continue"/>
                  <w:tcBorders>
                    <w:tl2br w:val="nil"/>
                    <w:tr2bl w:val="nil"/>
                  </w:tcBorders>
                  <w:noWrap w:val="0"/>
                  <w:vAlign w:val="center"/>
                </w:tcPr>
                <w:p w14:paraId="577923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p>
              </w:tc>
            </w:tr>
            <w:tr w14:paraId="37027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 w:type="pct"/>
                  <w:vMerge w:val="continue"/>
                  <w:tcBorders>
                    <w:tl2br w:val="nil"/>
                    <w:tr2bl w:val="nil"/>
                  </w:tcBorders>
                  <w:noWrap w:val="0"/>
                  <w:vAlign w:val="center"/>
                </w:tcPr>
                <w:p w14:paraId="73D8B4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18"/>
                      <w:szCs w:val="18"/>
                    </w:rPr>
                  </w:pPr>
                </w:p>
              </w:tc>
              <w:tc>
                <w:tcPr>
                  <w:tcW w:w="590" w:type="pct"/>
                  <w:vMerge w:val="continue"/>
                  <w:tcBorders>
                    <w:tl2br w:val="nil"/>
                    <w:tr2bl w:val="nil"/>
                  </w:tcBorders>
                  <w:noWrap w:val="0"/>
                  <w:vAlign w:val="center"/>
                </w:tcPr>
                <w:p w14:paraId="19E0FF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c>
                <w:tcPr>
                  <w:tcW w:w="1477" w:type="pct"/>
                  <w:tcBorders>
                    <w:tl2br w:val="nil"/>
                    <w:tr2bl w:val="nil"/>
                  </w:tcBorders>
                  <w:noWrap w:val="0"/>
                  <w:vAlign w:val="center"/>
                </w:tcPr>
                <w:p w14:paraId="7A3D7A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吸油棉</w:t>
                  </w:r>
                </w:p>
              </w:tc>
              <w:tc>
                <w:tcPr>
                  <w:tcW w:w="883" w:type="pct"/>
                  <w:tcBorders>
                    <w:tl2br w:val="nil"/>
                    <w:tr2bl w:val="nil"/>
                  </w:tcBorders>
                  <w:noWrap w:val="0"/>
                  <w:vAlign w:val="center"/>
                </w:tcPr>
                <w:p w14:paraId="058E9D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若干</w:t>
                  </w:r>
                </w:p>
              </w:tc>
              <w:tc>
                <w:tcPr>
                  <w:tcW w:w="1581" w:type="pct"/>
                  <w:vMerge w:val="continue"/>
                  <w:tcBorders>
                    <w:tl2br w:val="nil"/>
                    <w:tr2bl w:val="nil"/>
                  </w:tcBorders>
                  <w:noWrap w:val="0"/>
                  <w:vAlign w:val="center"/>
                </w:tcPr>
                <w:p w14:paraId="302811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rPr>
                  </w:pPr>
                </w:p>
              </w:tc>
            </w:tr>
          </w:tbl>
          <w:p w14:paraId="3E96371F">
            <w:pPr>
              <w:ind w:firstLine="420"/>
              <w:rPr>
                <w:color w:val="auto"/>
              </w:rPr>
            </w:pPr>
            <w:r>
              <w:rPr>
                <w:rFonts w:hint="eastAsia"/>
                <w:color w:val="auto"/>
              </w:rPr>
              <w:t>1）贮运工程风险防范措施</w:t>
            </w:r>
          </w:p>
          <w:p w14:paraId="23CD75D5">
            <w:pPr>
              <w:ind w:firstLine="420"/>
              <w:rPr>
                <w:color w:val="auto"/>
              </w:rPr>
            </w:pPr>
            <w:r>
              <w:rPr>
                <w:rFonts w:hint="eastAsia"/>
                <w:color w:val="auto"/>
              </w:rPr>
              <w:t>a.原料不得露天堆放，储存于阴凉通风仓间内，远离火种、热源，防止阳光直射，应与易燃或可燃物分开存放。搬运时轻装轻卸，防止原料桶破损或倾倒。</w:t>
            </w:r>
          </w:p>
          <w:p w14:paraId="1C2E307E">
            <w:pPr>
              <w:ind w:firstLine="420"/>
              <w:rPr>
                <w:color w:val="auto"/>
              </w:rPr>
            </w:pPr>
            <w:r>
              <w:rPr>
                <w:rFonts w:hint="eastAsia"/>
                <w:color w:val="auto"/>
              </w:rPr>
              <w:t>b.划定禁火区，在明显地点设有警示标志，输配电线、灯具、火灾事故照明和疏散指示标志均应符合安全要求；严禁未安装灭火星装置的车辆出入生产装置区。</w:t>
            </w:r>
          </w:p>
          <w:p w14:paraId="33070985">
            <w:pPr>
              <w:ind w:firstLine="420"/>
              <w:rPr>
                <w:color w:val="auto"/>
              </w:rPr>
            </w:pPr>
            <w:r>
              <w:rPr>
                <w:rFonts w:hint="eastAsia"/>
                <w:color w:val="auto"/>
              </w:rPr>
              <w:t>c.合理规划运输路线及时间，加强危险化学物品运输车辆的管理，严格遵守危险品运输管理规定，避免运输过程事故的发生。</w:t>
            </w:r>
          </w:p>
          <w:p w14:paraId="3005128D">
            <w:pPr>
              <w:ind w:firstLine="420"/>
              <w:rPr>
                <w:color w:val="auto"/>
              </w:rPr>
            </w:pPr>
            <w:r>
              <w:rPr>
                <w:rFonts w:hint="eastAsia"/>
                <w:color w:val="auto"/>
              </w:rPr>
              <w:t>2）生产过程防范措施</w:t>
            </w:r>
          </w:p>
          <w:p w14:paraId="4DA57FE4">
            <w:pPr>
              <w:ind w:firstLine="420"/>
              <w:rPr>
                <w:color w:val="auto"/>
              </w:rPr>
            </w:pPr>
            <w:r>
              <w:rPr>
                <w:rFonts w:hint="eastAsia"/>
                <w:color w:val="auto"/>
              </w:rPr>
              <w:t>公司应加强对员工的工艺操作规程、安全操作规程等的培训。工厂工艺技术尽量应用自动化、密闭化及远程化控制手段。生产过程须按规程要求正确控制各种工艺参数和操作时间，各项控制参数的检测、分析、控制应考虑双重检测和联锁，并且应考虑在发生突然停电、停水情况等应急状态的措施。严格执行开停车规程和检修操作规程，作好物料置换和检测等工作。</w:t>
            </w:r>
          </w:p>
          <w:p w14:paraId="61283168">
            <w:pPr>
              <w:ind w:firstLine="420"/>
              <w:rPr>
                <w:color w:val="auto"/>
              </w:rPr>
            </w:pPr>
            <w:r>
              <w:rPr>
                <w:rFonts w:hint="eastAsia"/>
                <w:color w:val="auto"/>
              </w:rPr>
              <w:t>3）危险废物安全防范措施</w:t>
            </w:r>
          </w:p>
          <w:p w14:paraId="5DFC4BFB">
            <w:pPr>
              <w:ind w:firstLine="420"/>
              <w:rPr>
                <w:color w:val="auto"/>
              </w:rPr>
            </w:pPr>
            <w:r>
              <w:rPr>
                <w:rFonts w:hint="eastAsia"/>
                <w:color w:val="auto"/>
              </w:rPr>
              <w:t>为了最大限度减少对周围环境的风险，危险废物处置的管理应符合国家、地区或地方的相关要求。储存风险物质的区域，需进行地面硬化处理，旁边放置吸附棉等泄漏应急物资，确保发生泄漏时能及时处理；配备灭火消防设备；危废暂存间采取防渗防腐蚀处理。</w:t>
            </w:r>
          </w:p>
          <w:p w14:paraId="4BB000E3">
            <w:pPr>
              <w:autoSpaceDE w:val="0"/>
              <w:autoSpaceDN w:val="0"/>
              <w:spacing w:line="360" w:lineRule="auto"/>
              <w:ind w:firstLine="420"/>
              <w:rPr>
                <w:rFonts w:hint="eastAsia" w:ascii="宋体" w:hAnsi="宋体"/>
                <w:color w:val="auto"/>
              </w:rPr>
            </w:pPr>
            <w:r>
              <w:rPr>
                <w:rFonts w:hint="eastAsia" w:ascii="宋体" w:hAnsi="宋体"/>
                <w:color w:val="auto"/>
              </w:rPr>
              <w:t>①应加强车间内的通风次数；</w:t>
            </w:r>
          </w:p>
          <w:p w14:paraId="2F996B65">
            <w:pPr>
              <w:autoSpaceDE w:val="0"/>
              <w:autoSpaceDN w:val="0"/>
              <w:spacing w:line="360" w:lineRule="auto"/>
              <w:ind w:firstLine="420"/>
              <w:rPr>
                <w:rFonts w:hint="eastAsia" w:ascii="宋体" w:hAnsi="宋体"/>
                <w:color w:val="auto"/>
              </w:rPr>
            </w:pPr>
            <w:r>
              <w:rPr>
                <w:rFonts w:hint="eastAsia" w:ascii="宋体" w:hAnsi="宋体"/>
                <w:color w:val="auto"/>
              </w:rPr>
              <w:t>②除尘器应进行防爆设计处理</w:t>
            </w:r>
            <w:r>
              <w:rPr>
                <w:rFonts w:hint="eastAsia" w:ascii="宋体" w:hAnsi="宋体"/>
                <w:color w:val="auto"/>
                <w:lang w:eastAsia="zh-CN"/>
              </w:rPr>
              <w:t>，</w:t>
            </w:r>
            <w:r>
              <w:rPr>
                <w:rFonts w:hint="eastAsia" w:ascii="宋体" w:hAnsi="宋体"/>
                <w:color w:val="auto"/>
                <w:lang w:val="en-US" w:eastAsia="zh-CN"/>
              </w:rPr>
              <w:t>采用阻燃材料及防静电设计</w:t>
            </w:r>
            <w:r>
              <w:rPr>
                <w:rFonts w:hint="eastAsia" w:ascii="宋体" w:hAnsi="宋体"/>
                <w:color w:val="auto"/>
              </w:rPr>
              <w:t>。</w:t>
            </w:r>
          </w:p>
          <w:p w14:paraId="3A1EE87F">
            <w:pPr>
              <w:autoSpaceDE w:val="0"/>
              <w:autoSpaceDN w:val="0"/>
              <w:spacing w:line="360" w:lineRule="auto"/>
              <w:ind w:firstLine="420"/>
              <w:rPr>
                <w:rFonts w:hint="eastAsia" w:ascii="宋体" w:hAnsi="宋体"/>
                <w:color w:val="auto"/>
              </w:rPr>
            </w:pPr>
            <w:r>
              <w:rPr>
                <w:rFonts w:hint="eastAsia" w:ascii="宋体" w:hAnsi="宋体"/>
                <w:color w:val="auto"/>
              </w:rPr>
              <w:t>③采购合格原料，远离热源和明火，保证周围环境通风、干燥；</w:t>
            </w:r>
          </w:p>
          <w:p w14:paraId="4ECA166B">
            <w:pPr>
              <w:autoSpaceDE w:val="0"/>
              <w:autoSpaceDN w:val="0"/>
              <w:spacing w:line="360" w:lineRule="auto"/>
              <w:ind w:firstLine="420"/>
              <w:rPr>
                <w:color w:val="auto"/>
              </w:rPr>
            </w:pPr>
            <w:r>
              <w:rPr>
                <w:rFonts w:hint="eastAsia" w:ascii="宋体" w:hAnsi="宋体"/>
                <w:color w:val="auto"/>
              </w:rPr>
              <w:t>④建立健全各种有关消防与安全生产的规章制度，建立岗位责任制。仓库、生产车间严禁明火。生产车间、仓库等场所配置足量的泡沫、干粉等灭火器，并保持完好状态。</w:t>
            </w:r>
          </w:p>
          <w:p w14:paraId="39CAEF3F">
            <w:pPr>
              <w:autoSpaceDE w:val="0"/>
              <w:autoSpaceDN w:val="0"/>
              <w:spacing w:line="360" w:lineRule="auto"/>
              <w:ind w:firstLine="420"/>
              <w:rPr>
                <w:color w:val="auto"/>
              </w:rPr>
            </w:pPr>
            <w:r>
              <w:rPr>
                <w:rFonts w:cs="Times New Roman"/>
                <w:color w:val="auto"/>
              </w:rPr>
              <w:t>⑤</w:t>
            </w:r>
            <w:r>
              <w:rPr>
                <w:rFonts w:hint="eastAsia" w:ascii="宋体" w:hAnsi="宋体"/>
                <w:color w:val="auto"/>
              </w:rPr>
              <w:t>厂区留有足够的消防通道。生产车间、仓库设置消防给水管道和消防栓。企业要组织义务消防员，并进行定期的培训和训练。对有火灾危险的场所设置自动报警系统，一旦发生火灾，立即做出应急反应。</w:t>
            </w:r>
          </w:p>
          <w:p w14:paraId="39491EB3">
            <w:pPr>
              <w:autoSpaceDE w:val="0"/>
              <w:autoSpaceDN w:val="0"/>
              <w:spacing w:line="360" w:lineRule="auto"/>
              <w:ind w:firstLine="420"/>
              <w:rPr>
                <w:rFonts w:cs="Times New Roman"/>
                <w:color w:val="auto"/>
              </w:rPr>
            </w:pPr>
            <w:r>
              <w:rPr>
                <w:rFonts w:cs="Times New Roman"/>
                <w:color w:val="auto"/>
              </w:rPr>
              <w:t>⑥组建专职环境管理部门或设置环保管理专员专人专岗，具体负责企业内部的日常环境管理事务，联合安全生产职能管理部门或安全生产管理人员，做好安全和环境风险防范管理。</w:t>
            </w:r>
          </w:p>
          <w:p w14:paraId="452B9890">
            <w:pPr>
              <w:spacing w:line="360" w:lineRule="auto"/>
              <w:ind w:firstLine="420"/>
              <w:rPr>
                <w:rFonts w:cs="Times New Roman"/>
                <w:color w:val="auto"/>
              </w:rPr>
            </w:pPr>
            <w:r>
              <w:rPr>
                <w:rFonts w:hint="eastAsia" w:cs="Times New Roman"/>
                <w:color w:val="auto"/>
              </w:rPr>
              <w:t>⑦</w:t>
            </w:r>
            <w:r>
              <w:rPr>
                <w:rFonts w:cs="Times New Roman"/>
                <w:color w:val="auto"/>
              </w:rPr>
              <w:t>事故应急储存设施</w:t>
            </w:r>
          </w:p>
          <w:p w14:paraId="16A94BF0">
            <w:pPr>
              <w:autoSpaceDE w:val="0"/>
              <w:autoSpaceDN w:val="0"/>
              <w:spacing w:line="360" w:lineRule="auto"/>
              <w:ind w:firstLine="420"/>
              <w:rPr>
                <w:color w:val="auto"/>
              </w:rPr>
            </w:pPr>
            <w:r>
              <w:rPr>
                <w:rFonts w:hint="eastAsia" w:cs="Times New Roman"/>
                <w:color w:val="auto"/>
                <w:lang w:val="en-US" w:eastAsia="zh-CN"/>
              </w:rPr>
              <w:t>本项目不改变厂房防火等级，不新增用地面积，无需新增事故应急池容积</w:t>
            </w:r>
            <w:r>
              <w:rPr>
                <w:rFonts w:hint="eastAsia"/>
                <w:color w:val="auto"/>
              </w:rPr>
              <w:t>。</w:t>
            </w:r>
          </w:p>
          <w:p w14:paraId="1678C4B1">
            <w:pPr>
              <w:ind w:firstLine="422"/>
              <w:rPr>
                <w:rFonts w:hint="default"/>
                <w:b/>
                <w:color w:val="auto"/>
                <w:lang w:val="en-US" w:eastAsia="zh-CN"/>
              </w:rPr>
            </w:pPr>
            <w:r>
              <w:rPr>
                <w:rFonts w:hint="eastAsia"/>
                <w:b/>
                <w:color w:val="auto"/>
                <w:lang w:val="en-US" w:eastAsia="zh-CN"/>
              </w:rPr>
              <w:t>（5）应急监测</w:t>
            </w:r>
          </w:p>
          <w:p w14:paraId="2FDED1D6">
            <w:pPr>
              <w:autoSpaceDE w:val="0"/>
              <w:autoSpaceDN w:val="0"/>
              <w:spacing w:line="360" w:lineRule="auto"/>
              <w:ind w:firstLine="420"/>
              <w:rPr>
                <w:rFonts w:hint="eastAsia" w:ascii="Times New Roman" w:hAnsi="Times New Roman" w:cs="Times New Roman"/>
                <w:color w:val="auto"/>
              </w:rPr>
            </w:pPr>
            <w:r>
              <w:rPr>
                <w:rFonts w:hint="eastAsia" w:ascii="Times New Roman" w:hAnsi="Times New Roman" w:cs="Times New Roman"/>
                <w:color w:val="auto"/>
              </w:rPr>
              <w:t>企业不具备应急监测能力，发生事故时由企业委托资质单位负责对事故现场进行现场应急监测，对事故性质、参数与后果进行评估，为指挥部门提供决策依据。根据《突发环境事件应急监测技术规范》（HJ589-2021）的要求，结合本项目情况，制定应急监测方案。</w:t>
            </w:r>
          </w:p>
          <w:p w14:paraId="443FFB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bCs/>
                <w:color w:val="auto"/>
              </w:rPr>
            </w:pPr>
            <w:r>
              <w:rPr>
                <w:rFonts w:ascii="Times New Roman" w:hAnsi="Times New Roman" w:cs="Times New Roman"/>
                <w:b/>
                <w:bCs/>
                <w:color w:val="auto"/>
              </w:rPr>
              <w:t>表4-</w:t>
            </w:r>
            <w:r>
              <w:rPr>
                <w:rFonts w:hint="eastAsia" w:cs="Times New Roman"/>
                <w:b/>
                <w:bCs/>
                <w:color w:val="auto"/>
                <w:lang w:val="en-US" w:eastAsia="zh-CN"/>
              </w:rPr>
              <w:t>11</w:t>
            </w:r>
            <w:r>
              <w:rPr>
                <w:rFonts w:ascii="Times New Roman" w:hAnsi="Times New Roman" w:cs="Times New Roman"/>
                <w:b/>
                <w:bCs/>
                <w:color w:val="auto"/>
              </w:rPr>
              <w:t xml:space="preserve"> 应急监测方案</w:t>
            </w:r>
          </w:p>
          <w:tbl>
            <w:tblPr>
              <w:tblStyle w:val="15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67"/>
              <w:gridCol w:w="2132"/>
              <w:gridCol w:w="3265"/>
            </w:tblGrid>
            <w:tr w14:paraId="5C19FB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85" w:type="pct"/>
                  <w:tcBorders>
                    <w:tl2br w:val="nil"/>
                    <w:tr2bl w:val="nil"/>
                  </w:tcBorders>
                  <w:shd w:val="clear" w:color="auto" w:fill="D7D7D7" w:themeFill="background1" w:themeFillShade="D8"/>
                  <w:vAlign w:val="center"/>
                </w:tcPr>
                <w:p w14:paraId="753B6CA8">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6"/>
                      <w:sz w:val="18"/>
                      <w:szCs w:val="18"/>
                    </w:rPr>
                    <w:t>监测点位</w:t>
                  </w:r>
                </w:p>
              </w:tc>
              <w:tc>
                <w:tcPr>
                  <w:tcW w:w="1230" w:type="pct"/>
                  <w:tcBorders>
                    <w:tl2br w:val="nil"/>
                    <w:tr2bl w:val="nil"/>
                  </w:tcBorders>
                  <w:shd w:val="clear" w:color="auto" w:fill="D7D7D7" w:themeFill="background1" w:themeFillShade="D8"/>
                  <w:vAlign w:val="center"/>
                </w:tcPr>
                <w:p w14:paraId="096D5E17">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6"/>
                      <w:sz w:val="18"/>
                      <w:szCs w:val="18"/>
                    </w:rPr>
                    <w:t>监测指标</w:t>
                  </w:r>
                </w:p>
              </w:tc>
              <w:tc>
                <w:tcPr>
                  <w:tcW w:w="1884" w:type="pct"/>
                  <w:tcBorders>
                    <w:tl2br w:val="nil"/>
                    <w:tr2bl w:val="nil"/>
                  </w:tcBorders>
                  <w:shd w:val="clear" w:color="auto" w:fill="D7D7D7" w:themeFill="background1" w:themeFillShade="D8"/>
                  <w:vAlign w:val="center"/>
                </w:tcPr>
                <w:p w14:paraId="71B0E005">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6"/>
                      <w:sz w:val="18"/>
                      <w:szCs w:val="18"/>
                    </w:rPr>
                    <w:t>监测频次</w:t>
                  </w:r>
                </w:p>
              </w:tc>
            </w:tr>
            <w:tr w14:paraId="06B7C5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85" w:type="pct"/>
                  <w:tcBorders>
                    <w:tl2br w:val="nil"/>
                    <w:tr2bl w:val="nil"/>
                  </w:tcBorders>
                  <w:vAlign w:val="center"/>
                </w:tcPr>
                <w:p w14:paraId="1E45B483">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采用扇形布点法，在上风向100m</w:t>
                  </w:r>
                  <w:r>
                    <w:rPr>
                      <w:rFonts w:hint="default" w:ascii="Times New Roman" w:hAnsi="Times New Roman" w:eastAsia="宋体" w:cs="Times New Roman"/>
                      <w:color w:val="auto"/>
                      <w:spacing w:val="6"/>
                      <w:sz w:val="18"/>
                      <w:szCs w:val="18"/>
                    </w:rPr>
                    <w:t>设一对照点，以事故发生时的下</w:t>
                  </w:r>
                  <w:r>
                    <w:rPr>
                      <w:rFonts w:hint="default" w:ascii="Times New Roman" w:hAnsi="Times New Roman" w:eastAsia="宋体" w:cs="Times New Roman"/>
                      <w:color w:val="auto"/>
                      <w:spacing w:val="-3"/>
                      <w:sz w:val="18"/>
                      <w:szCs w:val="18"/>
                    </w:rPr>
                    <w:t>风向为轴心，污染源为圆心，300m</w:t>
                  </w:r>
                  <w:r>
                    <w:rPr>
                      <w:rFonts w:hint="default" w:ascii="Times New Roman" w:hAnsi="Times New Roman" w:eastAsia="宋体" w:cs="Times New Roman"/>
                      <w:color w:val="auto"/>
                      <w:spacing w:val="1"/>
                      <w:sz w:val="18"/>
                      <w:szCs w:val="18"/>
                    </w:rPr>
                    <w:t>和1500m半径作60°扇形，扇形</w:t>
                  </w:r>
                  <w:r>
                    <w:rPr>
                      <w:rFonts w:hint="default" w:ascii="Times New Roman" w:hAnsi="Times New Roman" w:eastAsia="宋体" w:cs="Times New Roman"/>
                      <w:color w:val="auto"/>
                      <w:spacing w:val="8"/>
                      <w:sz w:val="18"/>
                      <w:szCs w:val="18"/>
                    </w:rPr>
                    <w:t>区为应急监测区，监测区内间隔</w:t>
                  </w:r>
                  <w:r>
                    <w:rPr>
                      <w:rFonts w:hint="default" w:ascii="Times New Roman" w:hAnsi="Times New Roman" w:eastAsia="宋体" w:cs="Times New Roman"/>
                      <w:color w:val="auto"/>
                      <w:spacing w:val="6"/>
                      <w:sz w:val="18"/>
                      <w:szCs w:val="18"/>
                    </w:rPr>
                    <w:t>200m布设一条弧线，每条弧线上设置3～5个监测点。在不利气象</w:t>
                  </w:r>
                  <w:r>
                    <w:rPr>
                      <w:rFonts w:hint="default" w:ascii="Times New Roman" w:hAnsi="Times New Roman" w:eastAsia="宋体" w:cs="Times New Roman"/>
                      <w:color w:val="auto"/>
                      <w:spacing w:val="8"/>
                      <w:sz w:val="18"/>
                      <w:szCs w:val="18"/>
                    </w:rPr>
                    <w:t>条件下，监测区域还需扩大</w:t>
                  </w:r>
                </w:p>
              </w:tc>
              <w:tc>
                <w:tcPr>
                  <w:tcW w:w="1230" w:type="pct"/>
                  <w:tcBorders>
                    <w:tl2br w:val="nil"/>
                    <w:tr2bl w:val="nil"/>
                  </w:tcBorders>
                  <w:vAlign w:val="center"/>
                </w:tcPr>
                <w:p w14:paraId="06CD4DF9">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一氧化碳、</w:t>
                  </w:r>
                  <w:r>
                    <w:rPr>
                      <w:rFonts w:hint="eastAsia" w:ascii="Times New Roman" w:hAnsi="Times New Roman" w:cs="Times New Roman"/>
                      <w:color w:val="auto"/>
                      <w:spacing w:val="1"/>
                      <w:sz w:val="18"/>
                      <w:szCs w:val="18"/>
                      <w:lang w:val="en-US" w:eastAsia="zh-CN"/>
                    </w:rPr>
                    <w:t>颗粒物</w:t>
                  </w:r>
                  <w:r>
                    <w:rPr>
                      <w:rFonts w:hint="default" w:ascii="Times New Roman" w:hAnsi="Times New Roman" w:eastAsia="宋体" w:cs="Times New Roman"/>
                      <w:color w:val="auto"/>
                      <w:spacing w:val="1"/>
                      <w:sz w:val="18"/>
                      <w:szCs w:val="18"/>
                    </w:rPr>
                    <w:t>、氮氧化物、</w:t>
                  </w:r>
                  <w:r>
                    <w:rPr>
                      <w:rFonts w:hint="eastAsia" w:ascii="Times New Roman" w:hAnsi="Times New Roman" w:cs="Times New Roman"/>
                      <w:color w:val="auto"/>
                      <w:spacing w:val="1"/>
                      <w:sz w:val="18"/>
                      <w:szCs w:val="18"/>
                      <w:lang w:val="en-US" w:eastAsia="zh-CN"/>
                    </w:rPr>
                    <w:t>二氧化硫、非甲烷总烃</w:t>
                  </w:r>
                  <w:r>
                    <w:rPr>
                      <w:rFonts w:hint="default" w:ascii="Times New Roman" w:hAnsi="Times New Roman" w:eastAsia="宋体" w:cs="Times New Roman"/>
                      <w:color w:val="auto"/>
                      <w:spacing w:val="1"/>
                      <w:sz w:val="18"/>
                      <w:szCs w:val="18"/>
                    </w:rPr>
                    <w:t>、</w:t>
                  </w:r>
                  <w:r>
                    <w:rPr>
                      <w:rFonts w:hint="eastAsia" w:ascii="Times New Roman" w:hAnsi="Times New Roman" w:cs="Times New Roman"/>
                      <w:color w:val="auto"/>
                      <w:spacing w:val="1"/>
                      <w:sz w:val="18"/>
                      <w:szCs w:val="18"/>
                      <w:lang w:val="en-US" w:eastAsia="zh-CN"/>
                    </w:rPr>
                    <w:t>苯系物</w:t>
                  </w:r>
                  <w:r>
                    <w:rPr>
                      <w:rFonts w:hint="default" w:ascii="Times New Roman" w:hAnsi="Times New Roman" w:eastAsia="宋体" w:cs="Times New Roman"/>
                      <w:color w:val="auto"/>
                      <w:spacing w:val="6"/>
                      <w:sz w:val="18"/>
                      <w:szCs w:val="18"/>
                    </w:rPr>
                    <w:t>等</w:t>
                  </w:r>
                </w:p>
              </w:tc>
              <w:tc>
                <w:tcPr>
                  <w:tcW w:w="1884" w:type="pct"/>
                  <w:tcBorders>
                    <w:tl2br w:val="nil"/>
                    <w:tr2bl w:val="nil"/>
                  </w:tcBorders>
                  <w:vAlign w:val="center"/>
                </w:tcPr>
                <w:p w14:paraId="56EBEFAC">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2"/>
                      <w:sz w:val="18"/>
                      <w:szCs w:val="18"/>
                    </w:rPr>
                    <w:t>根据事故发生的时间而有所变</w:t>
                  </w:r>
                  <w:r>
                    <w:rPr>
                      <w:rFonts w:hint="default" w:ascii="Times New Roman" w:hAnsi="Times New Roman" w:eastAsia="宋体" w:cs="Times New Roman"/>
                      <w:color w:val="auto"/>
                      <w:spacing w:val="6"/>
                      <w:sz w:val="18"/>
                      <w:szCs w:val="18"/>
                    </w:rPr>
                    <w:t>化，根据污染物的状况，在事发</w:t>
                  </w:r>
                  <w:r>
                    <w:rPr>
                      <w:rFonts w:hint="default" w:ascii="Times New Roman" w:hAnsi="Times New Roman" w:eastAsia="宋体" w:cs="Times New Roman"/>
                      <w:color w:val="auto"/>
                      <w:spacing w:val="4"/>
                      <w:sz w:val="18"/>
                      <w:szCs w:val="18"/>
                    </w:rPr>
                    <w:t>初期应当增加频次，不少于2小</w:t>
                  </w:r>
                  <w:r>
                    <w:rPr>
                      <w:rFonts w:hint="default" w:ascii="Times New Roman" w:hAnsi="Times New Roman" w:eastAsia="宋体" w:cs="Times New Roman"/>
                      <w:color w:val="auto"/>
                      <w:spacing w:val="6"/>
                      <w:sz w:val="18"/>
                      <w:szCs w:val="18"/>
                    </w:rPr>
                    <w:t>时采样一次；待摸清规律后可适</w:t>
                  </w:r>
                  <w:r>
                    <w:rPr>
                      <w:rFonts w:hint="default" w:ascii="Times New Roman" w:hAnsi="Times New Roman" w:eastAsia="宋体" w:cs="Times New Roman"/>
                      <w:color w:val="auto"/>
                      <w:spacing w:val="4"/>
                      <w:sz w:val="18"/>
                      <w:szCs w:val="18"/>
                    </w:rPr>
                    <w:t>当减小，不少于6小时一次；应</w:t>
                  </w:r>
                  <w:r>
                    <w:rPr>
                      <w:rFonts w:hint="default" w:ascii="Times New Roman" w:hAnsi="Times New Roman" w:eastAsia="宋体" w:cs="Times New Roman"/>
                      <w:color w:val="auto"/>
                      <w:spacing w:val="11"/>
                      <w:sz w:val="18"/>
                      <w:szCs w:val="18"/>
                    </w:rPr>
                    <w:t>急终止后可24小时一次进行取</w:t>
                  </w:r>
                  <w:r>
                    <w:rPr>
                      <w:rFonts w:hint="default" w:ascii="Times New Roman" w:hAnsi="Times New Roman" w:eastAsia="宋体" w:cs="Times New Roman"/>
                      <w:color w:val="auto"/>
                      <w:spacing w:val="6"/>
                      <w:sz w:val="18"/>
                      <w:szCs w:val="18"/>
                    </w:rPr>
                    <w:t>样。至影响完全消失后方可停止</w:t>
                  </w:r>
                  <w:r>
                    <w:rPr>
                      <w:rFonts w:hint="default" w:ascii="Times New Roman" w:hAnsi="Times New Roman" w:eastAsia="宋体" w:cs="Times New Roman"/>
                      <w:color w:val="auto"/>
                      <w:spacing w:val="3"/>
                      <w:sz w:val="18"/>
                      <w:szCs w:val="18"/>
                    </w:rPr>
                    <w:t>取样。</w:t>
                  </w:r>
                </w:p>
              </w:tc>
            </w:tr>
            <w:tr w14:paraId="50C0A0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85" w:type="pct"/>
                  <w:tcBorders>
                    <w:tl2br w:val="nil"/>
                    <w:tr2bl w:val="nil"/>
                  </w:tcBorders>
                  <w:vAlign w:val="center"/>
                </w:tcPr>
                <w:p w14:paraId="0F95B5EC">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污水排口、雨水排口、事故发生</w:t>
                  </w:r>
                  <w:r>
                    <w:rPr>
                      <w:rFonts w:hint="default" w:ascii="Times New Roman" w:hAnsi="Times New Roman" w:eastAsia="宋体" w:cs="Times New Roman"/>
                      <w:color w:val="auto"/>
                      <w:spacing w:val="3"/>
                      <w:sz w:val="18"/>
                      <w:szCs w:val="18"/>
                    </w:rPr>
                    <w:t>地，水体纳污点1-3m处布设污染</w:t>
                  </w:r>
                  <w:r>
                    <w:rPr>
                      <w:rFonts w:hint="default" w:ascii="Times New Roman" w:hAnsi="Times New Roman" w:eastAsia="宋体" w:cs="Times New Roman"/>
                      <w:color w:val="auto"/>
                      <w:spacing w:val="6"/>
                      <w:sz w:val="18"/>
                      <w:szCs w:val="18"/>
                    </w:rPr>
                    <w:t>控制点，在水体上游10m处布设</w:t>
                  </w:r>
                  <w:r>
                    <w:rPr>
                      <w:rFonts w:hint="default" w:ascii="Times New Roman" w:hAnsi="Times New Roman" w:eastAsia="宋体" w:cs="Times New Roman"/>
                      <w:color w:val="auto"/>
                      <w:spacing w:val="4"/>
                      <w:sz w:val="18"/>
                      <w:szCs w:val="18"/>
                    </w:rPr>
                    <w:t>对照点；在下游50m、100m、</w:t>
                  </w:r>
                  <w:r>
                    <w:rPr>
                      <w:rFonts w:hint="default" w:ascii="Times New Roman" w:hAnsi="Times New Roman" w:eastAsia="宋体" w:cs="Times New Roman"/>
                      <w:color w:val="auto"/>
                      <w:spacing w:val="5"/>
                      <w:sz w:val="18"/>
                      <w:szCs w:val="18"/>
                    </w:rPr>
                    <w:t>500m、1000m等处布设监测点</w:t>
                  </w:r>
                </w:p>
              </w:tc>
              <w:tc>
                <w:tcPr>
                  <w:tcW w:w="1230" w:type="pct"/>
                  <w:tcBorders>
                    <w:tl2br w:val="nil"/>
                    <w:tr2bl w:val="nil"/>
                  </w:tcBorders>
                  <w:vAlign w:val="center"/>
                </w:tcPr>
                <w:p w14:paraId="1EEA3AA8">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6"/>
                      <w:sz w:val="18"/>
                      <w:szCs w:val="18"/>
                    </w:rPr>
                    <w:t>pH、COD、SS、NH</w:t>
                  </w:r>
                  <w:r>
                    <w:rPr>
                      <w:rFonts w:hint="default" w:ascii="Times New Roman" w:hAnsi="Times New Roman" w:eastAsia="宋体" w:cs="Times New Roman"/>
                      <w:color w:val="auto"/>
                      <w:spacing w:val="-3"/>
                      <w:sz w:val="18"/>
                      <w:szCs w:val="18"/>
                      <w:vertAlign w:val="subscript"/>
                    </w:rPr>
                    <w:t>3</w:t>
                  </w:r>
                  <w:r>
                    <w:rPr>
                      <w:rFonts w:hint="default" w:ascii="Times New Roman" w:hAnsi="Times New Roman" w:eastAsia="宋体" w:cs="Times New Roman"/>
                      <w:color w:val="auto"/>
                      <w:spacing w:val="-3"/>
                      <w:sz w:val="18"/>
                      <w:szCs w:val="18"/>
                    </w:rPr>
                    <w:t>-N、</w:t>
                  </w:r>
                  <w:r>
                    <w:rPr>
                      <w:rFonts w:hint="default" w:ascii="Times New Roman" w:hAnsi="Times New Roman" w:eastAsia="宋体" w:cs="Times New Roman"/>
                      <w:color w:val="auto"/>
                      <w:sz w:val="18"/>
                      <w:szCs w:val="18"/>
                    </w:rPr>
                    <w:t>TP</w:t>
                  </w:r>
                  <w:r>
                    <w:rPr>
                      <w:rFonts w:hint="default" w:ascii="Times New Roman" w:hAnsi="Times New Roman" w:eastAsia="宋体" w:cs="Times New Roman"/>
                      <w:color w:val="auto"/>
                      <w:spacing w:val="5"/>
                      <w:sz w:val="18"/>
                      <w:szCs w:val="18"/>
                    </w:rPr>
                    <w:t>、</w:t>
                  </w:r>
                  <w:r>
                    <w:rPr>
                      <w:rFonts w:hint="default" w:ascii="Times New Roman" w:hAnsi="Times New Roman" w:eastAsia="宋体" w:cs="Times New Roman"/>
                      <w:color w:val="auto"/>
                      <w:sz w:val="18"/>
                      <w:szCs w:val="18"/>
                    </w:rPr>
                    <w:t>TN</w:t>
                  </w:r>
                  <w:r>
                    <w:rPr>
                      <w:rFonts w:hint="default" w:ascii="Times New Roman" w:hAnsi="Times New Roman" w:eastAsia="宋体" w:cs="Times New Roman"/>
                      <w:color w:val="auto"/>
                      <w:spacing w:val="5"/>
                      <w:sz w:val="18"/>
                      <w:szCs w:val="18"/>
                    </w:rPr>
                    <w:t>、泄漏污染物</w:t>
                  </w:r>
                  <w:r>
                    <w:rPr>
                      <w:rFonts w:hint="default" w:ascii="Times New Roman" w:hAnsi="Times New Roman" w:eastAsia="宋体" w:cs="Times New Roman"/>
                      <w:color w:val="auto"/>
                      <w:sz w:val="18"/>
                      <w:szCs w:val="18"/>
                    </w:rPr>
                    <w:t>等</w:t>
                  </w:r>
                </w:p>
              </w:tc>
              <w:tc>
                <w:tcPr>
                  <w:tcW w:w="1884" w:type="pct"/>
                  <w:tcBorders>
                    <w:tl2br w:val="nil"/>
                    <w:tr2bl w:val="nil"/>
                  </w:tcBorders>
                  <w:vAlign w:val="center"/>
                </w:tcPr>
                <w:p w14:paraId="54241D3E">
                  <w:pPr>
                    <w:pStyle w:val="16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事故发生后进行连续监测，直至</w:t>
                  </w:r>
                  <w:r>
                    <w:rPr>
                      <w:rFonts w:hint="default" w:ascii="Times New Roman" w:hAnsi="Times New Roman" w:eastAsia="宋体" w:cs="Times New Roman"/>
                      <w:color w:val="auto"/>
                      <w:spacing w:val="6"/>
                      <w:sz w:val="18"/>
                      <w:szCs w:val="18"/>
                    </w:rPr>
                    <w:t>污染解除</w:t>
                  </w:r>
                </w:p>
              </w:tc>
            </w:tr>
          </w:tbl>
          <w:p w14:paraId="77D2F3ED">
            <w:pPr>
              <w:ind w:firstLine="422"/>
              <w:rPr>
                <w:b/>
                <w:color w:val="auto"/>
              </w:rPr>
            </w:pPr>
            <w:r>
              <w:rPr>
                <w:rFonts w:hint="eastAsia"/>
                <w:b/>
                <w:color w:val="auto"/>
              </w:rPr>
              <w:t>（</w:t>
            </w:r>
            <w:r>
              <w:rPr>
                <w:rFonts w:hint="eastAsia"/>
                <w:b/>
                <w:color w:val="auto"/>
                <w:lang w:val="en-US" w:eastAsia="zh-CN"/>
              </w:rPr>
              <w:t>7</w:t>
            </w:r>
            <w:r>
              <w:rPr>
                <w:rFonts w:hint="eastAsia"/>
                <w:b/>
                <w:color w:val="auto"/>
              </w:rPr>
              <w:t>）</w:t>
            </w:r>
            <w:r>
              <w:rPr>
                <w:b/>
                <w:color w:val="auto"/>
              </w:rPr>
              <w:t>风险</w:t>
            </w:r>
            <w:r>
              <w:rPr>
                <w:rFonts w:hint="eastAsia"/>
                <w:b/>
                <w:color w:val="auto"/>
              </w:rPr>
              <w:t>评价</w:t>
            </w:r>
            <w:r>
              <w:rPr>
                <w:b/>
                <w:color w:val="auto"/>
              </w:rPr>
              <w:t>结论</w:t>
            </w:r>
          </w:p>
          <w:p w14:paraId="72E4BEB6">
            <w:pPr>
              <w:ind w:firstLine="420"/>
              <w:rPr>
                <w:color w:val="auto"/>
              </w:rPr>
            </w:pPr>
            <w:r>
              <w:rPr>
                <w:color w:val="auto"/>
              </w:rPr>
              <w:t>在各环境风险防范措施落实到位的情况下，可降低建设项目的环境风险，最大程度减少对环境可能造成的危害，项目对环境的风险影响可接受。</w:t>
            </w:r>
          </w:p>
          <w:p w14:paraId="4C753072">
            <w:pPr>
              <w:ind w:firstLine="422"/>
              <w:rPr>
                <w:b/>
                <w:color w:val="auto"/>
              </w:rPr>
            </w:pPr>
            <w:r>
              <w:rPr>
                <w:rFonts w:hint="eastAsia"/>
                <w:b/>
                <w:color w:val="auto"/>
              </w:rPr>
              <w:t>8、电磁辐射</w:t>
            </w:r>
          </w:p>
          <w:p w14:paraId="46D067A5">
            <w:pPr>
              <w:ind w:firstLine="420"/>
              <w:rPr>
                <w:color w:val="auto"/>
              </w:rPr>
            </w:pPr>
            <w:r>
              <w:rPr>
                <w:rFonts w:hint="eastAsia"/>
                <w:color w:val="auto"/>
              </w:rPr>
              <w:t>本项目不涉及电磁辐射。</w:t>
            </w:r>
          </w:p>
          <w:p w14:paraId="442503CD">
            <w:pPr>
              <w:ind w:firstLine="422"/>
              <w:rPr>
                <w:b/>
                <w:color w:val="auto"/>
              </w:rPr>
            </w:pPr>
            <w:r>
              <w:rPr>
                <w:rFonts w:hint="eastAsia"/>
                <w:b/>
                <w:color w:val="auto"/>
              </w:rPr>
              <w:t>9、环境管理</w:t>
            </w:r>
          </w:p>
          <w:p w14:paraId="0D73220A">
            <w:pPr>
              <w:ind w:firstLine="420"/>
              <w:rPr>
                <w:color w:val="auto"/>
              </w:rPr>
            </w:pPr>
            <w:r>
              <w:rPr>
                <w:color w:val="auto"/>
              </w:rPr>
              <w:t>对照现有环评，现有环境管理计划如下：</w:t>
            </w:r>
          </w:p>
          <w:p w14:paraId="06BA51E9">
            <w:pPr>
              <w:ind w:firstLine="420"/>
              <w:rPr>
                <w:color w:val="auto"/>
              </w:rPr>
            </w:pPr>
            <w:r>
              <w:rPr>
                <w:color w:val="auto"/>
              </w:rPr>
              <w:t>①履行</w:t>
            </w:r>
            <w:r>
              <w:rPr>
                <w:rFonts w:hint="eastAsia"/>
                <w:color w:val="auto"/>
                <w:lang w:val="en-US" w:eastAsia="zh-CN"/>
              </w:rPr>
              <w:t>排污许可</w:t>
            </w:r>
            <w:r>
              <w:rPr>
                <w:color w:val="auto"/>
              </w:rPr>
              <w:t>制度；</w:t>
            </w:r>
          </w:p>
          <w:p w14:paraId="005B72B4">
            <w:pPr>
              <w:ind w:firstLine="420"/>
              <w:rPr>
                <w:color w:val="auto"/>
              </w:rPr>
            </w:pPr>
            <w:r>
              <w:rPr>
                <w:color w:val="auto"/>
              </w:rPr>
              <w:t>②建立台账管理制度，企业须做好危险废物情况的记录，记录上需注明危险废物的名称、来源、数量、特性和包装容器的类别；</w:t>
            </w:r>
          </w:p>
          <w:p w14:paraId="0491DFFB">
            <w:pPr>
              <w:ind w:firstLine="420"/>
              <w:rPr>
                <w:color w:val="auto"/>
              </w:rPr>
            </w:pPr>
            <w:r>
              <w:rPr>
                <w:color w:val="auto"/>
              </w:rPr>
              <w:t>③委托处置应执行报批和转移联单等制度；</w:t>
            </w:r>
          </w:p>
          <w:p w14:paraId="1B5C6D72">
            <w:pPr>
              <w:ind w:firstLine="420"/>
              <w:rPr>
                <w:color w:val="auto"/>
              </w:rPr>
            </w:pPr>
            <w:r>
              <w:rPr>
                <w:color w:val="auto"/>
              </w:rPr>
              <w:t>④定期对暂存的危险废物包装容器及贮存设施进行检查，及早发现破损，及时采取措施清理更换；</w:t>
            </w:r>
          </w:p>
          <w:p w14:paraId="6567BCAB">
            <w:pPr>
              <w:ind w:firstLine="420"/>
              <w:rPr>
                <w:color w:val="auto"/>
              </w:rPr>
            </w:pPr>
            <w:r>
              <w:rPr>
                <w:color w:val="auto"/>
              </w:rPr>
              <w:t>⑤直接从事收集、贮存、运输、利用、处置危险废物的人员，应当接受专业培训，经考核合格，方可从事该项工作。</w:t>
            </w:r>
          </w:p>
          <w:p w14:paraId="20DD305A">
            <w:pPr>
              <w:ind w:firstLine="420"/>
              <w:rPr>
                <w:color w:val="auto"/>
              </w:rPr>
            </w:pPr>
            <w:r>
              <w:rPr>
                <w:color w:val="auto"/>
              </w:rPr>
              <w:t>⑥固废贮存</w:t>
            </w:r>
            <w:r>
              <w:rPr>
                <w:rFonts w:hint="eastAsia"/>
                <w:color w:val="auto"/>
              </w:rPr>
              <w:t>（</w:t>
            </w:r>
            <w:r>
              <w:rPr>
                <w:color w:val="auto"/>
              </w:rPr>
              <w:t>处置</w:t>
            </w:r>
            <w:r>
              <w:rPr>
                <w:rFonts w:hint="eastAsia"/>
                <w:color w:val="auto"/>
              </w:rPr>
              <w:t>）</w:t>
            </w:r>
            <w:r>
              <w:rPr>
                <w:color w:val="auto"/>
              </w:rPr>
              <w:t>场所规范化设置，固体废物贮存</w:t>
            </w:r>
            <w:r>
              <w:rPr>
                <w:rFonts w:hint="eastAsia"/>
                <w:color w:val="auto"/>
              </w:rPr>
              <w:t>（</w:t>
            </w:r>
            <w:r>
              <w:rPr>
                <w:color w:val="auto"/>
              </w:rPr>
              <w:t>处置</w:t>
            </w:r>
            <w:r>
              <w:rPr>
                <w:rFonts w:hint="eastAsia"/>
                <w:color w:val="auto"/>
              </w:rPr>
              <w:t>）</w:t>
            </w:r>
            <w:r>
              <w:rPr>
                <w:color w:val="auto"/>
              </w:rPr>
              <w:t>场所应在醒目处设置标志牌。</w:t>
            </w:r>
          </w:p>
          <w:p w14:paraId="414D902F">
            <w:pPr>
              <w:ind w:firstLine="420"/>
              <w:rPr>
                <w:color w:val="auto"/>
              </w:rPr>
            </w:pPr>
            <w:r>
              <w:rPr>
                <w:color w:val="auto"/>
              </w:rPr>
              <w:t>⑦危废应根据其化学特性选择合适的容器和存放地点，通过密闭容器存放，不可混合贮存，容器标签必须标明废物种类、贮存时间，定期处理。</w:t>
            </w:r>
          </w:p>
          <w:p w14:paraId="0C966B73">
            <w:pPr>
              <w:ind w:firstLine="420"/>
              <w:rPr>
                <w:color w:val="auto"/>
              </w:rPr>
            </w:pPr>
            <w:r>
              <w:rPr>
                <w:color w:val="auto"/>
              </w:rPr>
              <w:t>⑧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474CB7CD">
            <w:pPr>
              <w:ind w:firstLine="420"/>
              <w:rPr>
                <w:color w:val="auto"/>
              </w:rPr>
            </w:pPr>
            <w:r>
              <w:rPr>
                <w:color w:val="auto"/>
              </w:rPr>
              <w:t>本项目建成后提出以下环境管理计划如下：</w:t>
            </w:r>
          </w:p>
          <w:p w14:paraId="1EF57214">
            <w:pPr>
              <w:ind w:firstLine="420"/>
              <w:rPr>
                <w:color w:val="auto"/>
              </w:rPr>
            </w:pPr>
            <w:r>
              <w:rPr>
                <w:color w:val="auto"/>
              </w:rPr>
              <w:t>①严格执行</w:t>
            </w:r>
            <w:r>
              <w:rPr>
                <w:rFonts w:hint="eastAsia"/>
                <w:color w:val="auto"/>
              </w:rPr>
              <w:t>“</w:t>
            </w:r>
            <w:r>
              <w:rPr>
                <w:color w:val="auto"/>
              </w:rPr>
              <w:t>三同时</w:t>
            </w:r>
            <w:r>
              <w:rPr>
                <w:rFonts w:hint="eastAsia"/>
                <w:color w:val="auto"/>
              </w:rPr>
              <w:t>”</w:t>
            </w:r>
            <w:r>
              <w:rPr>
                <w:color w:val="auto"/>
              </w:rPr>
              <w:t>制度在项目筹备、设计和施工建设不同阶段，均应严格执行</w:t>
            </w:r>
            <w:r>
              <w:rPr>
                <w:rFonts w:hint="eastAsia"/>
                <w:color w:val="auto"/>
              </w:rPr>
              <w:t>“</w:t>
            </w:r>
            <w:r>
              <w:rPr>
                <w:color w:val="auto"/>
              </w:rPr>
              <w:t>三同时</w:t>
            </w:r>
            <w:r>
              <w:rPr>
                <w:rFonts w:hint="eastAsia"/>
                <w:color w:val="auto"/>
              </w:rPr>
              <w:t>”</w:t>
            </w:r>
            <w:r>
              <w:rPr>
                <w:color w:val="auto"/>
              </w:rPr>
              <w:t>制度，确保污染处理设施能够与生产工艺设施</w:t>
            </w:r>
            <w:r>
              <w:rPr>
                <w:rFonts w:hint="eastAsia"/>
                <w:color w:val="auto"/>
              </w:rPr>
              <w:t>“</w:t>
            </w:r>
            <w:r>
              <w:rPr>
                <w:color w:val="auto"/>
              </w:rPr>
              <w:t>同时设计、同时施工、同时竣工</w:t>
            </w:r>
            <w:r>
              <w:rPr>
                <w:rFonts w:hint="eastAsia"/>
                <w:color w:val="auto"/>
              </w:rPr>
              <w:t>”</w:t>
            </w:r>
            <w:r>
              <w:rPr>
                <w:color w:val="auto"/>
              </w:rPr>
              <w:t>。</w:t>
            </w:r>
          </w:p>
          <w:p w14:paraId="758946D5">
            <w:pPr>
              <w:ind w:firstLine="420"/>
              <w:rPr>
                <w:color w:val="auto"/>
              </w:rPr>
            </w:pPr>
            <w:r>
              <w:rPr>
                <w:color w:val="auto"/>
              </w:rPr>
              <w:t>②建立环境报告制度应按有关法规的要求，严格执行排污申报制度；此外，在项目工程排污发生重大变化、污染治理设施发生重大改变或拟实施新、改、扩建项目时必须及时向相关环保行政主管部门申报。</w:t>
            </w:r>
          </w:p>
          <w:p w14:paraId="7907D1D5">
            <w:pPr>
              <w:ind w:firstLine="420"/>
              <w:rPr>
                <w:color w:val="auto"/>
              </w:rPr>
            </w:pPr>
            <w:r>
              <w:rPr>
                <w:color w:val="auto"/>
              </w:rPr>
              <w:t>③健全污染治理设施管理制度，建立健全污染治理设施的运行、检修、维护保养的作业规程和管理制度，将污染治理设施的管理与生产经营管理一同纳入公司日常管理工作的范畴，落实责任人，建立管理台账。避免擅自拆除或闲置现有的污染处理设施现象的发生，严禁故意不正常使用污染处理设施。</w:t>
            </w:r>
          </w:p>
          <w:p w14:paraId="59AF3726">
            <w:pPr>
              <w:ind w:firstLine="420"/>
              <w:rPr>
                <w:color w:val="auto"/>
              </w:rPr>
            </w:pPr>
            <w:r>
              <w:rPr>
                <w:color w:val="auto"/>
              </w:rPr>
              <w:t>④建立环境目标管理责任制和奖惩条例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p>
          <w:p w14:paraId="0A7822BB">
            <w:pPr>
              <w:ind w:firstLine="420"/>
              <w:rPr>
                <w:color w:val="auto"/>
              </w:rPr>
            </w:pPr>
            <w:r>
              <w:rPr>
                <w:color w:val="auto"/>
              </w:rPr>
              <w:t>⑤建设单位应通过</w:t>
            </w:r>
            <w:r>
              <w:rPr>
                <w:rFonts w:hint="eastAsia"/>
                <w:color w:val="auto"/>
              </w:rPr>
              <w:t>“</w:t>
            </w:r>
            <w:r>
              <w:rPr>
                <w:color w:val="auto"/>
              </w:rPr>
              <w:t>江苏省危险废物动态管理信息系统</w:t>
            </w:r>
            <w:r>
              <w:rPr>
                <w:rFonts w:hint="eastAsia"/>
                <w:color w:val="auto"/>
              </w:rPr>
              <w:t>”（</w:t>
            </w:r>
            <w:r>
              <w:rPr>
                <w:color w:val="auto"/>
              </w:rPr>
              <w:t>江苏省环保厅网站</w:t>
            </w:r>
            <w:r>
              <w:rPr>
                <w:rFonts w:hint="eastAsia"/>
                <w:color w:val="auto"/>
              </w:rPr>
              <w:t>）</w:t>
            </w:r>
            <w:r>
              <w:rPr>
                <w:color w:val="auto"/>
              </w:rPr>
              <w:t>进行危险废物申报登记。将危险废物的实际产生、贮存、利用、处置等情况纳入生产记录，建立危险废物管理台账和企业内部产生和收集、贮存、转移等部门危险废物交接制度。</w:t>
            </w:r>
          </w:p>
          <w:p w14:paraId="31271AB6">
            <w:pPr>
              <w:ind w:firstLine="420"/>
              <w:rPr>
                <w:color w:val="auto"/>
              </w:rPr>
            </w:pPr>
            <w:r>
              <w:rPr>
                <w:color w:val="auto"/>
              </w:rPr>
              <w:t>⑥根据《安全现状评价导则》，企业应委托相关单位根据生产设施、设备、装置实际运行状况及管理状况、环保工程、危废暂存场情况等，进行安全现状评价。</w:t>
            </w:r>
          </w:p>
          <w:p w14:paraId="1D00FE9C">
            <w:pPr>
              <w:ind w:firstLine="420"/>
              <w:rPr>
                <w:color w:val="auto"/>
              </w:rPr>
            </w:pPr>
            <w:r>
              <w:rPr>
                <w:color w:val="auto"/>
              </w:rPr>
              <w:t>⑦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p>
          <w:p w14:paraId="15E03D3A">
            <w:pPr>
              <w:pStyle w:val="75"/>
              <w:jc w:val="both"/>
              <w:rPr>
                <w:color w:val="auto"/>
              </w:rPr>
            </w:pPr>
          </w:p>
        </w:tc>
      </w:tr>
    </w:tbl>
    <w:p w14:paraId="1543C096">
      <w:pPr>
        <w:ind w:firstLine="420"/>
        <w:rPr>
          <w:color w:val="auto"/>
        </w:rPr>
        <w:sectPr>
          <w:pgSz w:w="11907" w:h="16840"/>
          <w:pgMar w:top="1418" w:right="1418" w:bottom="1418" w:left="1418" w:header="851" w:footer="851" w:gutter="284"/>
          <w:pgBorders>
            <w:top w:val="none" w:sz="0" w:space="0"/>
            <w:left w:val="none" w:sz="0" w:space="0"/>
            <w:bottom w:val="none" w:sz="0" w:space="0"/>
            <w:right w:val="none" w:sz="0" w:space="0"/>
          </w:pgBorders>
          <w:cols w:space="720" w:num="1"/>
          <w:docGrid w:linePitch="312" w:charSpace="0"/>
        </w:sectPr>
      </w:pPr>
    </w:p>
    <w:p w14:paraId="017F4155">
      <w:pPr>
        <w:pStyle w:val="3"/>
        <w:ind w:firstLine="602"/>
        <w:rPr>
          <w:color w:val="auto"/>
        </w:rPr>
      </w:pPr>
      <w:r>
        <w:rPr>
          <w:color w:val="auto"/>
        </w:rPr>
        <w:t>五、</w:t>
      </w:r>
      <w:bookmarkStart w:id="21" w:name="_Hlk54167917"/>
      <w:r>
        <w:rPr>
          <w:color w:val="auto"/>
        </w:rPr>
        <w:t>环境保护措施监督检查清单</w:t>
      </w:r>
      <w:bookmarkEnd w:id="21"/>
    </w:p>
    <w:tbl>
      <w:tblPr>
        <w:tblStyle w:val="3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126"/>
        <w:gridCol w:w="1405"/>
        <w:gridCol w:w="1730"/>
        <w:gridCol w:w="2556"/>
      </w:tblGrid>
      <w:tr w14:paraId="034C11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tcBorders>
              <w:tl2br w:val="single" w:color="auto" w:sz="4" w:space="0"/>
            </w:tcBorders>
          </w:tcPr>
          <w:p w14:paraId="09F9FC80">
            <w:pPr>
              <w:pStyle w:val="75"/>
              <w:rPr>
                <w:color w:val="auto"/>
              </w:rPr>
            </w:pPr>
            <w:r>
              <w:rPr>
                <w:color w:val="auto"/>
              </w:rPr>
              <w:t>内容</w:t>
            </w:r>
          </w:p>
          <w:p w14:paraId="56586AD4">
            <w:pPr>
              <w:pStyle w:val="75"/>
              <w:jc w:val="both"/>
              <w:rPr>
                <w:color w:val="auto"/>
              </w:rPr>
            </w:pPr>
            <w:r>
              <w:rPr>
                <w:color w:val="auto"/>
              </w:rPr>
              <w:t>要素</w:t>
            </w:r>
          </w:p>
        </w:tc>
        <w:tc>
          <w:tcPr>
            <w:tcW w:w="2126" w:type="dxa"/>
            <w:vAlign w:val="center"/>
          </w:tcPr>
          <w:p w14:paraId="1907326E">
            <w:pPr>
              <w:pStyle w:val="75"/>
              <w:rPr>
                <w:color w:val="auto"/>
              </w:rPr>
            </w:pPr>
            <w:r>
              <w:rPr>
                <w:color w:val="auto"/>
              </w:rPr>
              <w:t>排放口</w:t>
            </w:r>
            <w:r>
              <w:rPr>
                <w:rFonts w:hint="eastAsia"/>
                <w:color w:val="auto"/>
              </w:rPr>
              <w:t>（</w:t>
            </w:r>
            <w:r>
              <w:rPr>
                <w:color w:val="auto"/>
              </w:rPr>
              <w:t>编号、</w:t>
            </w:r>
          </w:p>
          <w:p w14:paraId="442654DE">
            <w:pPr>
              <w:pStyle w:val="75"/>
              <w:rPr>
                <w:color w:val="auto"/>
              </w:rPr>
            </w:pPr>
            <w:r>
              <w:rPr>
                <w:color w:val="auto"/>
              </w:rPr>
              <w:t>名称</w:t>
            </w:r>
            <w:r>
              <w:rPr>
                <w:rFonts w:hint="eastAsia"/>
                <w:color w:val="auto"/>
              </w:rPr>
              <w:t>）</w:t>
            </w:r>
            <w:r>
              <w:rPr>
                <w:color w:val="auto"/>
              </w:rPr>
              <w:t>/污染源</w:t>
            </w:r>
          </w:p>
        </w:tc>
        <w:tc>
          <w:tcPr>
            <w:tcW w:w="1405" w:type="dxa"/>
            <w:vAlign w:val="center"/>
          </w:tcPr>
          <w:p w14:paraId="0D929740">
            <w:pPr>
              <w:pStyle w:val="75"/>
              <w:rPr>
                <w:color w:val="auto"/>
              </w:rPr>
            </w:pPr>
            <w:r>
              <w:rPr>
                <w:color w:val="auto"/>
              </w:rPr>
              <w:t>污染物项目</w:t>
            </w:r>
          </w:p>
        </w:tc>
        <w:tc>
          <w:tcPr>
            <w:tcW w:w="1730" w:type="dxa"/>
            <w:vAlign w:val="center"/>
          </w:tcPr>
          <w:p w14:paraId="4BC13A7B">
            <w:pPr>
              <w:pStyle w:val="75"/>
              <w:rPr>
                <w:color w:val="auto"/>
              </w:rPr>
            </w:pPr>
            <w:r>
              <w:rPr>
                <w:color w:val="auto"/>
              </w:rPr>
              <w:t>环境保护措施</w:t>
            </w:r>
          </w:p>
        </w:tc>
        <w:tc>
          <w:tcPr>
            <w:tcW w:w="2556" w:type="dxa"/>
            <w:vAlign w:val="center"/>
          </w:tcPr>
          <w:p w14:paraId="4EED5E6B">
            <w:pPr>
              <w:pStyle w:val="75"/>
              <w:rPr>
                <w:color w:val="auto"/>
              </w:rPr>
            </w:pPr>
            <w:r>
              <w:rPr>
                <w:color w:val="auto"/>
              </w:rPr>
              <w:t>执行标准</w:t>
            </w:r>
          </w:p>
        </w:tc>
      </w:tr>
      <w:tr w14:paraId="7070C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shd w:val="clear" w:color="auto" w:fill="auto"/>
            <w:vAlign w:val="center"/>
          </w:tcPr>
          <w:p w14:paraId="6206E9F1">
            <w:pPr>
              <w:pStyle w:val="75"/>
              <w:rPr>
                <w:color w:val="auto"/>
              </w:rPr>
            </w:pPr>
            <w:r>
              <w:rPr>
                <w:color w:val="auto"/>
              </w:rPr>
              <w:t>声环境</w:t>
            </w:r>
          </w:p>
        </w:tc>
        <w:tc>
          <w:tcPr>
            <w:tcW w:w="2126" w:type="dxa"/>
            <w:shd w:val="clear" w:color="auto" w:fill="auto"/>
            <w:vAlign w:val="center"/>
          </w:tcPr>
          <w:p w14:paraId="3E499E7D">
            <w:pPr>
              <w:pStyle w:val="75"/>
              <w:rPr>
                <w:rFonts w:hint="default" w:eastAsia="宋体"/>
                <w:color w:val="auto"/>
                <w:lang w:val="en-US" w:eastAsia="zh-CN"/>
              </w:rPr>
            </w:pPr>
            <w:r>
              <w:rPr>
                <w:rFonts w:hint="eastAsia"/>
                <w:color w:val="auto"/>
                <w:lang w:val="en-US" w:eastAsia="zh-CN"/>
              </w:rPr>
              <w:t>磁控溅射设备、气体传输系统</w:t>
            </w:r>
          </w:p>
        </w:tc>
        <w:tc>
          <w:tcPr>
            <w:tcW w:w="1405" w:type="dxa"/>
            <w:vAlign w:val="center"/>
          </w:tcPr>
          <w:p w14:paraId="2951F661">
            <w:pPr>
              <w:pStyle w:val="75"/>
              <w:rPr>
                <w:color w:val="auto"/>
              </w:rPr>
            </w:pPr>
            <w:r>
              <w:rPr>
                <w:color w:val="auto"/>
              </w:rPr>
              <w:t>Leq</w:t>
            </w:r>
            <w:r>
              <w:rPr>
                <w:rFonts w:hint="eastAsia"/>
                <w:color w:val="auto"/>
              </w:rPr>
              <w:t>（</w:t>
            </w:r>
            <w:r>
              <w:rPr>
                <w:color w:val="auto"/>
              </w:rPr>
              <w:t>A</w:t>
            </w:r>
            <w:r>
              <w:rPr>
                <w:rFonts w:hint="eastAsia"/>
                <w:color w:val="auto"/>
              </w:rPr>
              <w:t>）</w:t>
            </w:r>
          </w:p>
        </w:tc>
        <w:tc>
          <w:tcPr>
            <w:tcW w:w="1730" w:type="dxa"/>
            <w:vAlign w:val="center"/>
          </w:tcPr>
          <w:p w14:paraId="4865C054">
            <w:pPr>
              <w:pStyle w:val="75"/>
              <w:rPr>
                <w:color w:val="auto"/>
              </w:rPr>
            </w:pPr>
            <w:r>
              <w:rPr>
                <w:color w:val="auto"/>
              </w:rPr>
              <w:t>采取合理布局、选用低噪声设备、设备减振、加强管理等</w:t>
            </w:r>
          </w:p>
        </w:tc>
        <w:tc>
          <w:tcPr>
            <w:tcW w:w="2556" w:type="dxa"/>
            <w:vAlign w:val="center"/>
          </w:tcPr>
          <w:p w14:paraId="02902F3C">
            <w:pPr>
              <w:pStyle w:val="75"/>
              <w:rPr>
                <w:color w:val="auto"/>
              </w:rPr>
            </w:pPr>
            <w:r>
              <w:rPr>
                <w:color w:val="auto"/>
              </w:rPr>
              <w:t>《工业企业厂界环境噪声排放标准》（GB12348-2008）中3类标准</w:t>
            </w:r>
          </w:p>
        </w:tc>
      </w:tr>
      <w:tr w14:paraId="62C83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vAlign w:val="center"/>
          </w:tcPr>
          <w:p w14:paraId="31827EF7">
            <w:pPr>
              <w:pStyle w:val="75"/>
              <w:rPr>
                <w:color w:val="auto"/>
              </w:rPr>
            </w:pPr>
            <w:r>
              <w:rPr>
                <w:color w:val="auto"/>
              </w:rPr>
              <w:t>电磁辐射</w:t>
            </w:r>
          </w:p>
        </w:tc>
        <w:tc>
          <w:tcPr>
            <w:tcW w:w="2126" w:type="dxa"/>
            <w:vAlign w:val="center"/>
          </w:tcPr>
          <w:p w14:paraId="764DA969">
            <w:pPr>
              <w:pStyle w:val="75"/>
              <w:rPr>
                <w:color w:val="auto"/>
              </w:rPr>
            </w:pPr>
            <w:r>
              <w:rPr>
                <w:color w:val="auto"/>
              </w:rPr>
              <w:t>/</w:t>
            </w:r>
          </w:p>
        </w:tc>
        <w:tc>
          <w:tcPr>
            <w:tcW w:w="1405" w:type="dxa"/>
            <w:vAlign w:val="center"/>
          </w:tcPr>
          <w:p w14:paraId="1C691FA0">
            <w:pPr>
              <w:pStyle w:val="75"/>
              <w:rPr>
                <w:color w:val="auto"/>
              </w:rPr>
            </w:pPr>
            <w:r>
              <w:rPr>
                <w:color w:val="auto"/>
              </w:rPr>
              <w:t>/</w:t>
            </w:r>
          </w:p>
        </w:tc>
        <w:tc>
          <w:tcPr>
            <w:tcW w:w="1730" w:type="dxa"/>
            <w:vAlign w:val="center"/>
          </w:tcPr>
          <w:p w14:paraId="07EF07FB">
            <w:pPr>
              <w:pStyle w:val="75"/>
              <w:rPr>
                <w:color w:val="auto"/>
              </w:rPr>
            </w:pPr>
            <w:r>
              <w:rPr>
                <w:color w:val="auto"/>
              </w:rPr>
              <w:t>/</w:t>
            </w:r>
          </w:p>
        </w:tc>
        <w:tc>
          <w:tcPr>
            <w:tcW w:w="2556" w:type="dxa"/>
            <w:vAlign w:val="center"/>
          </w:tcPr>
          <w:p w14:paraId="7811ED44">
            <w:pPr>
              <w:pStyle w:val="75"/>
              <w:rPr>
                <w:color w:val="auto"/>
              </w:rPr>
            </w:pPr>
            <w:r>
              <w:rPr>
                <w:color w:val="auto"/>
              </w:rPr>
              <w:t>/</w:t>
            </w:r>
          </w:p>
        </w:tc>
      </w:tr>
      <w:tr w14:paraId="523E2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vAlign w:val="center"/>
          </w:tcPr>
          <w:p w14:paraId="35BFFDF2">
            <w:pPr>
              <w:pStyle w:val="75"/>
              <w:rPr>
                <w:color w:val="auto"/>
              </w:rPr>
            </w:pPr>
            <w:r>
              <w:rPr>
                <w:color w:val="auto"/>
              </w:rPr>
              <w:t>固体废物</w:t>
            </w:r>
          </w:p>
        </w:tc>
        <w:tc>
          <w:tcPr>
            <w:tcW w:w="7817" w:type="dxa"/>
            <w:gridSpan w:val="4"/>
            <w:vAlign w:val="center"/>
          </w:tcPr>
          <w:p w14:paraId="7BD5C046">
            <w:pPr>
              <w:ind w:firstLine="420"/>
              <w:rPr>
                <w:color w:val="auto"/>
              </w:rPr>
            </w:pPr>
            <w:r>
              <w:rPr>
                <w:rFonts w:hint="eastAsia"/>
                <w:color w:val="auto"/>
              </w:rPr>
              <w:t>本项目依托现有</w:t>
            </w:r>
            <w:r>
              <w:rPr>
                <w:rFonts w:hint="eastAsia"/>
                <w:color w:val="auto"/>
                <w:lang w:val="en-US" w:eastAsia="zh-CN"/>
              </w:rPr>
              <w:t>504</w:t>
            </w:r>
            <w:r>
              <w:rPr>
                <w:color w:val="auto"/>
              </w:rPr>
              <w:t>m</w:t>
            </w:r>
            <w:r>
              <w:rPr>
                <w:color w:val="auto"/>
                <w:vertAlign w:val="superscript"/>
              </w:rPr>
              <w:t>2</w:t>
            </w:r>
            <w:r>
              <w:rPr>
                <w:color w:val="auto"/>
              </w:rPr>
              <w:t>的一般工业固废堆场，按照《一般工业固体废物贮存和填埋污染控制标准》（GB18599-2020）贮存。</w:t>
            </w:r>
          </w:p>
        </w:tc>
      </w:tr>
      <w:tr w14:paraId="0C460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vAlign w:val="center"/>
          </w:tcPr>
          <w:p w14:paraId="35850791">
            <w:pPr>
              <w:pStyle w:val="75"/>
              <w:rPr>
                <w:color w:val="auto"/>
              </w:rPr>
            </w:pPr>
            <w:r>
              <w:rPr>
                <w:color w:val="auto"/>
              </w:rPr>
              <w:t>土壤及地下水污染防治措施</w:t>
            </w:r>
          </w:p>
        </w:tc>
        <w:tc>
          <w:tcPr>
            <w:tcW w:w="7817" w:type="dxa"/>
            <w:gridSpan w:val="4"/>
            <w:vAlign w:val="center"/>
          </w:tcPr>
          <w:p w14:paraId="4B8018D9">
            <w:pPr>
              <w:ind w:firstLine="420"/>
              <w:rPr>
                <w:rFonts w:hint="eastAsia" w:eastAsia="宋体"/>
                <w:color w:val="auto"/>
                <w:lang w:eastAsia="zh-CN"/>
              </w:rPr>
            </w:pPr>
            <w:r>
              <w:rPr>
                <w:rFonts w:hint="eastAsia"/>
                <w:color w:val="auto"/>
                <w:lang w:val="en-US" w:eastAsia="zh-CN"/>
              </w:rPr>
              <w:t>/</w:t>
            </w:r>
          </w:p>
        </w:tc>
      </w:tr>
      <w:tr w14:paraId="15314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vAlign w:val="center"/>
          </w:tcPr>
          <w:p w14:paraId="75B2EF3E">
            <w:pPr>
              <w:pStyle w:val="75"/>
              <w:rPr>
                <w:color w:val="auto"/>
              </w:rPr>
            </w:pPr>
            <w:r>
              <w:rPr>
                <w:color w:val="auto"/>
              </w:rPr>
              <w:t>生态保护措施</w:t>
            </w:r>
          </w:p>
        </w:tc>
        <w:tc>
          <w:tcPr>
            <w:tcW w:w="7817" w:type="dxa"/>
            <w:gridSpan w:val="4"/>
            <w:vAlign w:val="center"/>
          </w:tcPr>
          <w:p w14:paraId="6C911721">
            <w:pPr>
              <w:ind w:firstLine="420"/>
              <w:rPr>
                <w:color w:val="auto"/>
              </w:rPr>
            </w:pPr>
            <w:r>
              <w:rPr>
                <w:color w:val="auto"/>
              </w:rPr>
              <w:t>/</w:t>
            </w:r>
          </w:p>
        </w:tc>
      </w:tr>
      <w:tr w14:paraId="6842D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vAlign w:val="center"/>
          </w:tcPr>
          <w:p w14:paraId="1E4BAF7C">
            <w:pPr>
              <w:pStyle w:val="75"/>
              <w:rPr>
                <w:color w:val="auto"/>
              </w:rPr>
            </w:pPr>
            <w:r>
              <w:rPr>
                <w:color w:val="auto"/>
              </w:rPr>
              <w:t>环境风险</w:t>
            </w:r>
          </w:p>
          <w:p w14:paraId="5897D826">
            <w:pPr>
              <w:pStyle w:val="75"/>
              <w:rPr>
                <w:color w:val="auto"/>
              </w:rPr>
            </w:pPr>
            <w:r>
              <w:rPr>
                <w:color w:val="auto"/>
              </w:rPr>
              <w:t>防范措施</w:t>
            </w:r>
          </w:p>
        </w:tc>
        <w:tc>
          <w:tcPr>
            <w:tcW w:w="7817" w:type="dxa"/>
            <w:gridSpan w:val="4"/>
            <w:vAlign w:val="center"/>
          </w:tcPr>
          <w:p w14:paraId="544C1B2C">
            <w:pPr>
              <w:ind w:firstLine="420"/>
              <w:rPr>
                <w:color w:val="auto"/>
              </w:rPr>
            </w:pPr>
            <w:r>
              <w:rPr>
                <w:color w:val="auto"/>
              </w:rPr>
              <w:t>1、从生产管理、工艺技术设计、自动控制设计、电气及电讯、消防及火灾报警系统等方面制定相应的环境风险防范措施。</w:t>
            </w:r>
          </w:p>
          <w:p w14:paraId="06BB3A02">
            <w:pPr>
              <w:ind w:firstLine="420"/>
              <w:rPr>
                <w:color w:val="auto"/>
              </w:rPr>
            </w:pPr>
            <w:r>
              <w:rPr>
                <w:color w:val="auto"/>
              </w:rPr>
              <w:t>2、建立健全各种有关消防与安全生产的规章制度，建立岗位责任制。仓库、生产车间严禁明火。生产车间、仓库等场所配置足量的泡沫、干粉等灭火器，并保持完好状态。</w:t>
            </w:r>
          </w:p>
          <w:p w14:paraId="57AD1C17">
            <w:pPr>
              <w:ind w:firstLine="420"/>
              <w:rPr>
                <w:color w:val="auto"/>
              </w:rPr>
            </w:pPr>
            <w:r>
              <w:rPr>
                <w:color w:val="auto"/>
              </w:rPr>
              <w:t>3、项目应做好生产车间的防渗措施。</w:t>
            </w:r>
          </w:p>
          <w:p w14:paraId="271B957E">
            <w:pPr>
              <w:ind w:firstLine="420"/>
              <w:rPr>
                <w:color w:val="auto"/>
              </w:rPr>
            </w:pPr>
            <w:r>
              <w:rPr>
                <w:color w:val="auto"/>
              </w:rPr>
              <w:t>4、</w:t>
            </w:r>
            <w:r>
              <w:rPr>
                <w:rFonts w:hint="eastAsia"/>
                <w:color w:val="auto"/>
              </w:rPr>
              <w:t>厂区已设置</w:t>
            </w:r>
            <w:r>
              <w:rPr>
                <w:rFonts w:hint="eastAsia"/>
                <w:color w:val="auto"/>
                <w:lang w:val="en-US" w:eastAsia="zh-CN"/>
              </w:rPr>
              <w:t>310</w:t>
            </w:r>
            <w:r>
              <w:rPr>
                <w:rFonts w:hint="eastAsia"/>
                <w:color w:val="auto"/>
              </w:rPr>
              <w:t>m</w:t>
            </w:r>
            <w:r>
              <w:rPr>
                <w:rFonts w:hint="eastAsia"/>
                <w:color w:val="auto"/>
                <w:vertAlign w:val="superscript"/>
              </w:rPr>
              <w:t>3</w:t>
            </w:r>
            <w:r>
              <w:rPr>
                <w:rFonts w:hint="eastAsia"/>
                <w:color w:val="auto"/>
              </w:rPr>
              <w:t>应急事故池及相应切断</w:t>
            </w:r>
            <w:r>
              <w:rPr>
                <w:color w:val="auto"/>
              </w:rPr>
              <w:t>切换阀</w:t>
            </w:r>
            <w:r>
              <w:rPr>
                <w:rFonts w:hint="eastAsia"/>
                <w:color w:val="auto"/>
              </w:rPr>
              <w:t>，</w:t>
            </w:r>
            <w:r>
              <w:rPr>
                <w:color w:val="auto"/>
              </w:rPr>
              <w:t>厂区内的雨水管道、事故沟收集系统严格分开。</w:t>
            </w:r>
          </w:p>
        </w:tc>
      </w:tr>
      <w:tr w14:paraId="36B11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3" w:type="dxa"/>
            <w:vAlign w:val="center"/>
          </w:tcPr>
          <w:p w14:paraId="66FC9161">
            <w:pPr>
              <w:pStyle w:val="75"/>
              <w:rPr>
                <w:color w:val="auto"/>
              </w:rPr>
            </w:pPr>
            <w:r>
              <w:rPr>
                <w:color w:val="auto"/>
              </w:rPr>
              <w:t>其他环境管理要求</w:t>
            </w:r>
          </w:p>
        </w:tc>
        <w:tc>
          <w:tcPr>
            <w:tcW w:w="7817" w:type="dxa"/>
            <w:gridSpan w:val="4"/>
            <w:vAlign w:val="center"/>
          </w:tcPr>
          <w:p w14:paraId="026223DD">
            <w:pPr>
              <w:ind w:firstLine="420"/>
              <w:rPr>
                <w:color w:val="auto"/>
              </w:rPr>
            </w:pPr>
            <w:r>
              <w:rPr>
                <w:color w:val="auto"/>
              </w:rPr>
              <w:t>1、应按有关法规的要求，严格执行排污许可制度。</w:t>
            </w:r>
          </w:p>
          <w:p w14:paraId="0A067ECD">
            <w:pPr>
              <w:ind w:firstLine="420"/>
              <w:rPr>
                <w:color w:val="auto"/>
              </w:rPr>
            </w:pPr>
            <w:r>
              <w:rPr>
                <w:color w:val="auto"/>
              </w:rPr>
              <w:t>2、本项目配套建设的环境保护设施必须与主体工程同时建成和投产使用，并按规定程序实施竣工环境保护验收，验收合格方可投入生产。</w:t>
            </w:r>
          </w:p>
          <w:p w14:paraId="3378478E">
            <w:pPr>
              <w:ind w:firstLine="420"/>
              <w:rPr>
                <w:color w:val="auto"/>
              </w:rPr>
            </w:pPr>
          </w:p>
          <w:p w14:paraId="285DEF46">
            <w:pPr>
              <w:ind w:firstLine="420"/>
              <w:rPr>
                <w:color w:val="auto"/>
              </w:rPr>
            </w:pPr>
          </w:p>
        </w:tc>
      </w:tr>
    </w:tbl>
    <w:p w14:paraId="43E65F4D">
      <w:pPr>
        <w:pStyle w:val="3"/>
        <w:ind w:firstLine="602"/>
        <w:rPr>
          <w:color w:val="auto"/>
        </w:rPr>
      </w:pPr>
      <w:r>
        <w:rPr>
          <w:color w:val="auto"/>
        </w:rPr>
        <w:br w:type="page"/>
      </w:r>
      <w:r>
        <w:rPr>
          <w:color w:val="auto"/>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7222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7E2E96E">
            <w:pPr>
              <w:ind w:firstLine="420"/>
              <w:rPr>
                <w:color w:val="auto"/>
              </w:rPr>
            </w:pPr>
            <w:r>
              <w:rPr>
                <w:color w:val="auto"/>
                <w:sz w:val="21"/>
                <w:szCs w:val="21"/>
              </w:rPr>
              <w:t>本项目符合国家及地方产业政策，地址选择符合用地规划要求；项目生产过程中产生的污染在采取有效的治理措施之后，对周围环境影响较小，不会改变当地环境质量现状；同时本项目对周边环境产生的影响较小，事故风险水平可被接受。因此，从环保的角度出发，该项目在坚持</w:t>
            </w:r>
            <w:r>
              <w:rPr>
                <w:rFonts w:hint="eastAsia"/>
                <w:color w:val="auto"/>
                <w:sz w:val="21"/>
                <w:szCs w:val="21"/>
              </w:rPr>
              <w:t>“</w:t>
            </w:r>
            <w:r>
              <w:rPr>
                <w:color w:val="auto"/>
                <w:sz w:val="21"/>
                <w:szCs w:val="21"/>
              </w:rPr>
              <w:t>三同时</w:t>
            </w:r>
            <w:r>
              <w:rPr>
                <w:rFonts w:hint="eastAsia"/>
                <w:color w:val="auto"/>
                <w:sz w:val="21"/>
                <w:szCs w:val="21"/>
              </w:rPr>
              <w:t>”</w:t>
            </w:r>
            <w:r>
              <w:rPr>
                <w:color w:val="auto"/>
                <w:sz w:val="21"/>
                <w:szCs w:val="21"/>
              </w:rPr>
              <w:t>原则并按照本报告中提出的各项环保措施治理后环境影响是可行的。</w:t>
            </w:r>
          </w:p>
        </w:tc>
      </w:tr>
    </w:tbl>
    <w:p w14:paraId="073F4EA4">
      <w:pPr>
        <w:ind w:firstLine="420"/>
        <w:rPr>
          <w:color w:val="auto"/>
        </w:rPr>
        <w:sectPr>
          <w:pgSz w:w="11906" w:h="16838"/>
          <w:pgMar w:top="1418" w:right="1418" w:bottom="1418" w:left="1418" w:header="851" w:footer="851" w:gutter="284"/>
          <w:pgBorders>
            <w:top w:val="none" w:sz="0" w:space="0"/>
            <w:left w:val="none" w:sz="0" w:space="0"/>
            <w:bottom w:val="none" w:sz="0" w:space="0"/>
            <w:right w:val="none" w:sz="0" w:space="0"/>
          </w:pgBorders>
          <w:cols w:space="720" w:num="1"/>
          <w:docGrid w:linePitch="312" w:charSpace="0"/>
        </w:sectPr>
      </w:pPr>
    </w:p>
    <w:p w14:paraId="62D014A1">
      <w:pPr>
        <w:pStyle w:val="3"/>
        <w:ind w:firstLine="602"/>
        <w:rPr>
          <w:color w:val="auto"/>
        </w:rPr>
      </w:pPr>
      <w:r>
        <w:rPr>
          <w:color w:val="auto"/>
        </w:rPr>
        <w:t>附表</w:t>
      </w:r>
    </w:p>
    <w:p w14:paraId="63B44A50">
      <w:pPr>
        <w:pStyle w:val="106"/>
        <w:rPr>
          <w:color w:val="auto"/>
        </w:rPr>
      </w:pPr>
      <w:r>
        <w:rPr>
          <w:color w:val="auto"/>
        </w:rPr>
        <w:t>建设项目污染物排放量汇总表单位：t/a</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589"/>
        <w:gridCol w:w="1435"/>
        <w:gridCol w:w="1628"/>
        <w:gridCol w:w="1301"/>
        <w:gridCol w:w="1732"/>
        <w:gridCol w:w="1590"/>
        <w:gridCol w:w="1796"/>
        <w:gridCol w:w="1780"/>
        <w:gridCol w:w="1063"/>
      </w:tblGrid>
      <w:tr w14:paraId="2517D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44" w:type="dxa"/>
            <w:tcBorders>
              <w:tl2br w:val="single" w:color="auto" w:sz="4" w:space="0"/>
            </w:tcBorders>
            <w:tcMar>
              <w:left w:w="28" w:type="dxa"/>
              <w:right w:w="28" w:type="dxa"/>
            </w:tcMar>
            <w:vAlign w:val="center"/>
          </w:tcPr>
          <w:p w14:paraId="1693D980">
            <w:pPr>
              <w:pStyle w:val="75"/>
              <w:rPr>
                <w:color w:val="auto"/>
              </w:rPr>
            </w:pPr>
            <w:r>
              <w:rPr>
                <w:color w:val="auto"/>
              </w:rPr>
              <w:t>项目</w:t>
            </w:r>
          </w:p>
          <w:p w14:paraId="410BAF55">
            <w:pPr>
              <w:pStyle w:val="75"/>
              <w:jc w:val="both"/>
              <w:rPr>
                <w:color w:val="auto"/>
              </w:rPr>
            </w:pPr>
            <w:r>
              <w:rPr>
                <w:color w:val="auto"/>
              </w:rPr>
              <w:t>分类</w:t>
            </w:r>
          </w:p>
        </w:tc>
        <w:tc>
          <w:tcPr>
            <w:tcW w:w="2024" w:type="dxa"/>
            <w:gridSpan w:val="2"/>
            <w:tcMar>
              <w:left w:w="28" w:type="dxa"/>
              <w:right w:w="28" w:type="dxa"/>
            </w:tcMar>
            <w:vAlign w:val="center"/>
          </w:tcPr>
          <w:p w14:paraId="785233AE">
            <w:pPr>
              <w:pStyle w:val="75"/>
              <w:rPr>
                <w:color w:val="auto"/>
              </w:rPr>
            </w:pPr>
            <w:r>
              <w:rPr>
                <w:color w:val="auto"/>
              </w:rPr>
              <w:t>污染物名称</w:t>
            </w:r>
          </w:p>
        </w:tc>
        <w:tc>
          <w:tcPr>
            <w:tcW w:w="1628" w:type="dxa"/>
            <w:tcMar>
              <w:left w:w="28" w:type="dxa"/>
              <w:right w:w="28" w:type="dxa"/>
            </w:tcMar>
            <w:vAlign w:val="center"/>
          </w:tcPr>
          <w:p w14:paraId="04959852">
            <w:pPr>
              <w:pStyle w:val="75"/>
              <w:rPr>
                <w:color w:val="auto"/>
              </w:rPr>
            </w:pPr>
            <w:r>
              <w:rPr>
                <w:color w:val="auto"/>
              </w:rPr>
              <w:t>现有工程</w:t>
            </w:r>
          </w:p>
          <w:p w14:paraId="7A0129DF">
            <w:pPr>
              <w:pStyle w:val="75"/>
              <w:rPr>
                <w:color w:val="auto"/>
              </w:rPr>
            </w:pPr>
            <w:r>
              <w:rPr>
                <w:color w:val="auto"/>
              </w:rPr>
              <w:t>排放量（固体废物产生量）</w:t>
            </w:r>
            <w:r>
              <w:rPr>
                <w:color w:val="auto"/>
              </w:rPr>
              <w:fldChar w:fldCharType="begin"/>
            </w:r>
            <w:r>
              <w:rPr>
                <w:color w:val="auto"/>
              </w:rPr>
              <w:instrText xml:space="preserve"> = 1 \* GB3 \* MERGEFORMAT </w:instrText>
            </w:r>
            <w:r>
              <w:rPr>
                <w:color w:val="auto"/>
              </w:rPr>
              <w:fldChar w:fldCharType="separate"/>
            </w:r>
            <w:r>
              <w:rPr>
                <w:rFonts w:hint="eastAsia"/>
                <w:color w:val="auto"/>
              </w:rPr>
              <w:t>①</w:t>
            </w:r>
            <w:r>
              <w:rPr>
                <w:color w:val="auto"/>
              </w:rPr>
              <w:fldChar w:fldCharType="end"/>
            </w:r>
          </w:p>
        </w:tc>
        <w:tc>
          <w:tcPr>
            <w:tcW w:w="1301" w:type="dxa"/>
            <w:tcMar>
              <w:left w:w="28" w:type="dxa"/>
              <w:right w:w="28" w:type="dxa"/>
            </w:tcMar>
            <w:vAlign w:val="center"/>
          </w:tcPr>
          <w:p w14:paraId="19B05709">
            <w:pPr>
              <w:pStyle w:val="75"/>
              <w:rPr>
                <w:color w:val="auto"/>
              </w:rPr>
            </w:pPr>
            <w:r>
              <w:rPr>
                <w:color w:val="auto"/>
              </w:rPr>
              <w:t>现有工程</w:t>
            </w:r>
          </w:p>
          <w:p w14:paraId="1D07B409">
            <w:pPr>
              <w:pStyle w:val="75"/>
              <w:rPr>
                <w:color w:val="auto"/>
              </w:rPr>
            </w:pPr>
            <w:r>
              <w:rPr>
                <w:color w:val="auto"/>
              </w:rPr>
              <w:t>许可排放量</w:t>
            </w:r>
          </w:p>
          <w:p w14:paraId="4B9286D9">
            <w:pPr>
              <w:pStyle w:val="75"/>
              <w:rPr>
                <w:color w:val="auto"/>
              </w:rPr>
            </w:pPr>
            <w:r>
              <w:rPr>
                <w:color w:val="auto"/>
              </w:rPr>
              <w:fldChar w:fldCharType="begin"/>
            </w:r>
            <w:r>
              <w:rPr>
                <w:color w:val="auto"/>
              </w:rPr>
              <w:instrText xml:space="preserve"> = 2 \* GB3 \* MERGEFORMAT </w:instrText>
            </w:r>
            <w:r>
              <w:rPr>
                <w:color w:val="auto"/>
              </w:rPr>
              <w:fldChar w:fldCharType="separate"/>
            </w:r>
            <w:r>
              <w:rPr>
                <w:rFonts w:hint="eastAsia"/>
                <w:color w:val="auto"/>
              </w:rPr>
              <w:t>②</w:t>
            </w:r>
            <w:r>
              <w:rPr>
                <w:color w:val="auto"/>
              </w:rPr>
              <w:fldChar w:fldCharType="end"/>
            </w:r>
          </w:p>
        </w:tc>
        <w:tc>
          <w:tcPr>
            <w:tcW w:w="1732" w:type="dxa"/>
            <w:tcMar>
              <w:left w:w="28" w:type="dxa"/>
              <w:right w:w="28" w:type="dxa"/>
            </w:tcMar>
            <w:vAlign w:val="center"/>
          </w:tcPr>
          <w:p w14:paraId="4F4C1AE8">
            <w:pPr>
              <w:pStyle w:val="75"/>
              <w:rPr>
                <w:color w:val="auto"/>
              </w:rPr>
            </w:pPr>
            <w:r>
              <w:rPr>
                <w:color w:val="auto"/>
              </w:rPr>
              <w:t>在建工程</w:t>
            </w:r>
          </w:p>
          <w:p w14:paraId="35B11B96">
            <w:pPr>
              <w:pStyle w:val="75"/>
              <w:rPr>
                <w:color w:val="auto"/>
              </w:rPr>
            </w:pPr>
            <w:r>
              <w:rPr>
                <w:color w:val="auto"/>
              </w:rPr>
              <w:t>排放量（固体废物产生量）</w:t>
            </w:r>
            <w:r>
              <w:rPr>
                <w:color w:val="auto"/>
              </w:rPr>
              <w:fldChar w:fldCharType="begin"/>
            </w:r>
            <w:r>
              <w:rPr>
                <w:color w:val="auto"/>
              </w:rPr>
              <w:instrText xml:space="preserve"> = 3 \* GB3 \* MERGEFORMAT </w:instrText>
            </w:r>
            <w:r>
              <w:rPr>
                <w:color w:val="auto"/>
              </w:rPr>
              <w:fldChar w:fldCharType="separate"/>
            </w:r>
            <w:r>
              <w:rPr>
                <w:rFonts w:hint="eastAsia"/>
                <w:color w:val="auto"/>
              </w:rPr>
              <w:t>③</w:t>
            </w:r>
            <w:r>
              <w:rPr>
                <w:color w:val="auto"/>
              </w:rPr>
              <w:fldChar w:fldCharType="end"/>
            </w:r>
          </w:p>
        </w:tc>
        <w:tc>
          <w:tcPr>
            <w:tcW w:w="1590" w:type="dxa"/>
            <w:tcMar>
              <w:left w:w="28" w:type="dxa"/>
              <w:right w:w="28" w:type="dxa"/>
            </w:tcMar>
            <w:vAlign w:val="center"/>
          </w:tcPr>
          <w:p w14:paraId="667C1325">
            <w:pPr>
              <w:pStyle w:val="75"/>
              <w:rPr>
                <w:color w:val="auto"/>
              </w:rPr>
            </w:pPr>
            <w:r>
              <w:rPr>
                <w:color w:val="auto"/>
              </w:rPr>
              <w:t>本项目</w:t>
            </w:r>
          </w:p>
          <w:p w14:paraId="40F7617C">
            <w:pPr>
              <w:pStyle w:val="75"/>
              <w:rPr>
                <w:color w:val="auto"/>
              </w:rPr>
            </w:pPr>
            <w:r>
              <w:rPr>
                <w:color w:val="auto"/>
              </w:rPr>
              <w:t>排放量（固体废物产生量）</w:t>
            </w:r>
            <w:r>
              <w:rPr>
                <w:color w:val="auto"/>
              </w:rPr>
              <w:fldChar w:fldCharType="begin"/>
            </w:r>
            <w:r>
              <w:rPr>
                <w:color w:val="auto"/>
              </w:rPr>
              <w:instrText xml:space="preserve"> = 4 \* GB3 \* MERGEFORMAT </w:instrText>
            </w:r>
            <w:r>
              <w:rPr>
                <w:color w:val="auto"/>
              </w:rPr>
              <w:fldChar w:fldCharType="separate"/>
            </w:r>
            <w:r>
              <w:rPr>
                <w:rFonts w:hint="eastAsia"/>
                <w:color w:val="auto"/>
              </w:rPr>
              <w:t>④</w:t>
            </w:r>
            <w:r>
              <w:rPr>
                <w:color w:val="auto"/>
              </w:rPr>
              <w:fldChar w:fldCharType="end"/>
            </w:r>
          </w:p>
        </w:tc>
        <w:tc>
          <w:tcPr>
            <w:tcW w:w="1796" w:type="dxa"/>
            <w:tcMar>
              <w:left w:w="28" w:type="dxa"/>
              <w:right w:w="28" w:type="dxa"/>
            </w:tcMar>
            <w:vAlign w:val="center"/>
          </w:tcPr>
          <w:p w14:paraId="6D63B33A">
            <w:pPr>
              <w:pStyle w:val="75"/>
              <w:rPr>
                <w:color w:val="auto"/>
              </w:rPr>
            </w:pPr>
            <w:r>
              <w:rPr>
                <w:color w:val="auto"/>
              </w:rPr>
              <w:t>以新带老削减量</w:t>
            </w:r>
          </w:p>
          <w:p w14:paraId="24DFA877">
            <w:pPr>
              <w:pStyle w:val="75"/>
              <w:rPr>
                <w:color w:val="auto"/>
              </w:rPr>
            </w:pPr>
            <w:r>
              <w:rPr>
                <w:color w:val="auto"/>
              </w:rPr>
              <w:t>（新建项目不填）</w:t>
            </w:r>
            <w:r>
              <w:rPr>
                <w:color w:val="auto"/>
              </w:rPr>
              <w:fldChar w:fldCharType="begin"/>
            </w:r>
            <w:r>
              <w:rPr>
                <w:color w:val="auto"/>
              </w:rPr>
              <w:instrText xml:space="preserve"> = 5 \* GB3 \* MERGEFORMAT </w:instrText>
            </w:r>
            <w:r>
              <w:rPr>
                <w:color w:val="auto"/>
              </w:rPr>
              <w:fldChar w:fldCharType="separate"/>
            </w:r>
            <w:r>
              <w:rPr>
                <w:rFonts w:hint="eastAsia"/>
                <w:color w:val="auto"/>
              </w:rPr>
              <w:t>⑤</w:t>
            </w:r>
            <w:r>
              <w:rPr>
                <w:color w:val="auto"/>
              </w:rPr>
              <w:fldChar w:fldCharType="end"/>
            </w:r>
          </w:p>
        </w:tc>
        <w:tc>
          <w:tcPr>
            <w:tcW w:w="1780" w:type="dxa"/>
            <w:tcMar>
              <w:left w:w="28" w:type="dxa"/>
              <w:right w:w="28" w:type="dxa"/>
            </w:tcMar>
            <w:vAlign w:val="center"/>
          </w:tcPr>
          <w:p w14:paraId="334EA264">
            <w:pPr>
              <w:pStyle w:val="75"/>
              <w:rPr>
                <w:color w:val="auto"/>
              </w:rPr>
            </w:pPr>
            <w:r>
              <w:rPr>
                <w:color w:val="auto"/>
              </w:rPr>
              <w:t>本项目建成后</w:t>
            </w:r>
          </w:p>
          <w:p w14:paraId="6AB8A2E7">
            <w:pPr>
              <w:pStyle w:val="75"/>
              <w:rPr>
                <w:color w:val="auto"/>
              </w:rPr>
            </w:pPr>
            <w:r>
              <w:rPr>
                <w:color w:val="auto"/>
              </w:rPr>
              <w:t>全厂排放量（固体废物产生量）</w:t>
            </w:r>
            <w:r>
              <w:rPr>
                <w:color w:val="auto"/>
              </w:rPr>
              <w:fldChar w:fldCharType="begin"/>
            </w:r>
            <w:r>
              <w:rPr>
                <w:color w:val="auto"/>
              </w:rPr>
              <w:instrText xml:space="preserve"> = 6 \* GB3 \* MERGEFORMAT </w:instrText>
            </w:r>
            <w:r>
              <w:rPr>
                <w:color w:val="auto"/>
              </w:rPr>
              <w:fldChar w:fldCharType="separate"/>
            </w:r>
            <w:r>
              <w:rPr>
                <w:rFonts w:hint="eastAsia"/>
                <w:color w:val="auto"/>
              </w:rPr>
              <w:t>⑥</w:t>
            </w:r>
            <w:r>
              <w:rPr>
                <w:color w:val="auto"/>
              </w:rPr>
              <w:fldChar w:fldCharType="end"/>
            </w:r>
          </w:p>
        </w:tc>
        <w:tc>
          <w:tcPr>
            <w:tcW w:w="1063" w:type="dxa"/>
            <w:tcMar>
              <w:left w:w="28" w:type="dxa"/>
              <w:right w:w="28" w:type="dxa"/>
            </w:tcMar>
            <w:vAlign w:val="center"/>
          </w:tcPr>
          <w:p w14:paraId="484E6A2F">
            <w:pPr>
              <w:pStyle w:val="75"/>
              <w:rPr>
                <w:color w:val="auto"/>
              </w:rPr>
            </w:pPr>
            <w:r>
              <w:rPr>
                <w:color w:val="auto"/>
              </w:rPr>
              <w:t>变化量</w:t>
            </w:r>
          </w:p>
          <w:p w14:paraId="034C66FE">
            <w:pPr>
              <w:pStyle w:val="75"/>
              <w:rPr>
                <w:color w:val="auto"/>
              </w:rPr>
            </w:pPr>
            <w:r>
              <w:rPr>
                <w:color w:val="auto"/>
              </w:rPr>
              <w:fldChar w:fldCharType="begin"/>
            </w:r>
            <w:r>
              <w:rPr>
                <w:color w:val="auto"/>
              </w:rPr>
              <w:instrText xml:space="preserve"> = 7 \* GB3 \* MERGEFORMAT </w:instrText>
            </w:r>
            <w:r>
              <w:rPr>
                <w:color w:val="auto"/>
              </w:rPr>
              <w:fldChar w:fldCharType="separate"/>
            </w:r>
            <w:r>
              <w:rPr>
                <w:rFonts w:hint="eastAsia"/>
                <w:color w:val="auto"/>
              </w:rPr>
              <w:t>⑦</w:t>
            </w:r>
            <w:r>
              <w:rPr>
                <w:color w:val="auto"/>
              </w:rPr>
              <w:fldChar w:fldCharType="end"/>
            </w:r>
          </w:p>
        </w:tc>
      </w:tr>
      <w:tr w14:paraId="2FC66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restart"/>
            <w:vAlign w:val="center"/>
          </w:tcPr>
          <w:p w14:paraId="1DA8867F">
            <w:pPr>
              <w:pStyle w:val="75"/>
              <w:rPr>
                <w:color w:val="auto"/>
              </w:rPr>
            </w:pPr>
            <w:r>
              <w:rPr>
                <w:color w:val="auto"/>
              </w:rPr>
              <w:t>废气</w:t>
            </w:r>
          </w:p>
        </w:tc>
        <w:tc>
          <w:tcPr>
            <w:tcW w:w="589" w:type="dxa"/>
            <w:vMerge w:val="restart"/>
            <w:vAlign w:val="center"/>
          </w:tcPr>
          <w:p w14:paraId="653C7560">
            <w:pPr>
              <w:pStyle w:val="75"/>
              <w:rPr>
                <w:color w:val="auto"/>
              </w:rPr>
            </w:pPr>
            <w:r>
              <w:rPr>
                <w:rFonts w:hint="eastAsia"/>
                <w:color w:val="auto"/>
              </w:rPr>
              <w:t>有组织</w:t>
            </w:r>
          </w:p>
        </w:tc>
        <w:tc>
          <w:tcPr>
            <w:tcW w:w="1435" w:type="dxa"/>
            <w:vAlign w:val="center"/>
          </w:tcPr>
          <w:p w14:paraId="5B6FC967">
            <w:pPr>
              <w:widowControl/>
              <w:spacing w:line="240" w:lineRule="auto"/>
              <w:ind w:firstLine="0" w:firstLineChars="0"/>
              <w:jc w:val="center"/>
              <w:textAlignment w:val="center"/>
              <w:rPr>
                <w:rFonts w:hint="eastAsia" w:eastAsia="宋体"/>
                <w:color w:val="auto"/>
                <w:lang w:val="en-US" w:eastAsia="zh-CN"/>
              </w:rPr>
            </w:pPr>
            <w:r>
              <w:rPr>
                <w:rFonts w:hint="eastAsia" w:ascii="Times New Roman" w:hAnsi="Times New Roman" w:eastAsia="宋体" w:cs="Times New Roman"/>
                <w:color w:val="auto"/>
                <w:kern w:val="0"/>
                <w:sz w:val="18"/>
                <w:szCs w:val="18"/>
                <w:lang w:bidi="ar"/>
              </w:rPr>
              <w:t>颗粒物</w:t>
            </w:r>
          </w:p>
        </w:tc>
        <w:tc>
          <w:tcPr>
            <w:tcW w:w="1628" w:type="dxa"/>
            <w:vAlign w:val="center"/>
          </w:tcPr>
          <w:p w14:paraId="6A8E52F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0.173</w:t>
            </w:r>
          </w:p>
        </w:tc>
        <w:tc>
          <w:tcPr>
            <w:tcW w:w="1301" w:type="dxa"/>
            <w:vAlign w:val="center"/>
          </w:tcPr>
          <w:p w14:paraId="7112238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5FE8C7CE">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00460FA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1AD3C0D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4899573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3DB3A4C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1C45B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6A2FA433">
            <w:pPr>
              <w:pStyle w:val="75"/>
              <w:rPr>
                <w:color w:val="auto"/>
              </w:rPr>
            </w:pPr>
          </w:p>
        </w:tc>
        <w:tc>
          <w:tcPr>
            <w:tcW w:w="589" w:type="dxa"/>
            <w:vMerge w:val="continue"/>
            <w:vAlign w:val="center"/>
          </w:tcPr>
          <w:p w14:paraId="250C53F0">
            <w:pPr>
              <w:pStyle w:val="75"/>
              <w:rPr>
                <w:color w:val="auto"/>
              </w:rPr>
            </w:pPr>
          </w:p>
        </w:tc>
        <w:tc>
          <w:tcPr>
            <w:tcW w:w="1435" w:type="dxa"/>
            <w:vAlign w:val="center"/>
          </w:tcPr>
          <w:p w14:paraId="7D49A10C">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乙酸乙酯</w:t>
            </w:r>
          </w:p>
        </w:tc>
        <w:tc>
          <w:tcPr>
            <w:tcW w:w="1628" w:type="dxa"/>
            <w:vAlign w:val="center"/>
          </w:tcPr>
          <w:p w14:paraId="12CB4C3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5.851</w:t>
            </w:r>
          </w:p>
        </w:tc>
        <w:tc>
          <w:tcPr>
            <w:tcW w:w="1301" w:type="dxa"/>
            <w:vAlign w:val="center"/>
          </w:tcPr>
          <w:p w14:paraId="7F7F1E4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0C4291E2">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45B7CE3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5CC9AC0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47A1077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3CD3C4E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739FD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1B6D84CD">
            <w:pPr>
              <w:pStyle w:val="75"/>
              <w:rPr>
                <w:color w:val="auto"/>
              </w:rPr>
            </w:pPr>
          </w:p>
        </w:tc>
        <w:tc>
          <w:tcPr>
            <w:tcW w:w="589" w:type="dxa"/>
            <w:vMerge w:val="continue"/>
            <w:vAlign w:val="center"/>
          </w:tcPr>
          <w:p w14:paraId="3EA5E071">
            <w:pPr>
              <w:pStyle w:val="75"/>
              <w:rPr>
                <w:color w:val="auto"/>
              </w:rPr>
            </w:pPr>
          </w:p>
        </w:tc>
        <w:tc>
          <w:tcPr>
            <w:tcW w:w="1435" w:type="dxa"/>
            <w:vAlign w:val="center"/>
          </w:tcPr>
          <w:p w14:paraId="4C733C90">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乙酸丁酯</w:t>
            </w:r>
          </w:p>
        </w:tc>
        <w:tc>
          <w:tcPr>
            <w:tcW w:w="1628" w:type="dxa"/>
            <w:vAlign w:val="center"/>
          </w:tcPr>
          <w:p w14:paraId="21A8AAA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0.048</w:t>
            </w:r>
          </w:p>
        </w:tc>
        <w:tc>
          <w:tcPr>
            <w:tcW w:w="1301" w:type="dxa"/>
            <w:vAlign w:val="center"/>
          </w:tcPr>
          <w:p w14:paraId="1B74723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0423759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2D8FB24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1ED88BD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09DC138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1CAAC57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4DB98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667877A1">
            <w:pPr>
              <w:pStyle w:val="75"/>
              <w:rPr>
                <w:color w:val="auto"/>
              </w:rPr>
            </w:pPr>
          </w:p>
        </w:tc>
        <w:tc>
          <w:tcPr>
            <w:tcW w:w="589" w:type="dxa"/>
            <w:vMerge w:val="continue"/>
            <w:vAlign w:val="center"/>
          </w:tcPr>
          <w:p w14:paraId="6CF47A7E">
            <w:pPr>
              <w:pStyle w:val="75"/>
              <w:rPr>
                <w:color w:val="auto"/>
              </w:rPr>
            </w:pPr>
          </w:p>
        </w:tc>
        <w:tc>
          <w:tcPr>
            <w:tcW w:w="1435" w:type="dxa"/>
            <w:vAlign w:val="center"/>
          </w:tcPr>
          <w:p w14:paraId="5F653E07">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丁酮</w:t>
            </w:r>
          </w:p>
        </w:tc>
        <w:tc>
          <w:tcPr>
            <w:tcW w:w="1628" w:type="dxa"/>
            <w:vAlign w:val="center"/>
          </w:tcPr>
          <w:p w14:paraId="7078B8F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0.318</w:t>
            </w:r>
          </w:p>
        </w:tc>
        <w:tc>
          <w:tcPr>
            <w:tcW w:w="1301" w:type="dxa"/>
            <w:vAlign w:val="center"/>
          </w:tcPr>
          <w:p w14:paraId="6D69E30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1BD5850E">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43AA624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17B7EEF2">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5CB02F7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3707ED8E">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7147E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78801CDC">
            <w:pPr>
              <w:pStyle w:val="75"/>
              <w:rPr>
                <w:color w:val="auto"/>
              </w:rPr>
            </w:pPr>
          </w:p>
        </w:tc>
        <w:tc>
          <w:tcPr>
            <w:tcW w:w="589" w:type="dxa"/>
            <w:vMerge w:val="continue"/>
            <w:vAlign w:val="center"/>
          </w:tcPr>
          <w:p w14:paraId="7A77A89B">
            <w:pPr>
              <w:pStyle w:val="75"/>
              <w:rPr>
                <w:color w:val="auto"/>
              </w:rPr>
            </w:pPr>
          </w:p>
        </w:tc>
        <w:tc>
          <w:tcPr>
            <w:tcW w:w="1435" w:type="dxa"/>
            <w:vAlign w:val="center"/>
          </w:tcPr>
          <w:p w14:paraId="3647B3FC">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甲苯</w:t>
            </w:r>
          </w:p>
        </w:tc>
        <w:tc>
          <w:tcPr>
            <w:tcW w:w="1628" w:type="dxa"/>
            <w:vAlign w:val="center"/>
          </w:tcPr>
          <w:p w14:paraId="4FAE76E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0.318</w:t>
            </w:r>
          </w:p>
        </w:tc>
        <w:tc>
          <w:tcPr>
            <w:tcW w:w="1301" w:type="dxa"/>
            <w:vAlign w:val="center"/>
          </w:tcPr>
          <w:p w14:paraId="32371E3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53E0D57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16EC251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2D1A546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35A22AB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637CFF2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5FB5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61AF7602">
            <w:pPr>
              <w:pStyle w:val="75"/>
              <w:rPr>
                <w:color w:val="auto"/>
              </w:rPr>
            </w:pPr>
          </w:p>
        </w:tc>
        <w:tc>
          <w:tcPr>
            <w:tcW w:w="589" w:type="dxa"/>
            <w:vMerge w:val="continue"/>
            <w:vAlign w:val="center"/>
          </w:tcPr>
          <w:p w14:paraId="156EAA5C">
            <w:pPr>
              <w:pStyle w:val="75"/>
              <w:rPr>
                <w:color w:val="auto"/>
              </w:rPr>
            </w:pPr>
          </w:p>
        </w:tc>
        <w:tc>
          <w:tcPr>
            <w:tcW w:w="1435" w:type="dxa"/>
            <w:vAlign w:val="center"/>
          </w:tcPr>
          <w:p w14:paraId="67DDA91B">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非甲烷总烃</w:t>
            </w:r>
          </w:p>
        </w:tc>
        <w:tc>
          <w:tcPr>
            <w:tcW w:w="1628" w:type="dxa"/>
            <w:vAlign w:val="center"/>
          </w:tcPr>
          <w:p w14:paraId="2C35CAA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5.147</w:t>
            </w:r>
          </w:p>
        </w:tc>
        <w:tc>
          <w:tcPr>
            <w:tcW w:w="1301" w:type="dxa"/>
            <w:vAlign w:val="center"/>
          </w:tcPr>
          <w:p w14:paraId="0F4758E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000632B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01D48A8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5048981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47F6D49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6D87AAF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C792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05B46F4F">
            <w:pPr>
              <w:pStyle w:val="75"/>
              <w:rPr>
                <w:color w:val="auto"/>
              </w:rPr>
            </w:pPr>
          </w:p>
        </w:tc>
        <w:tc>
          <w:tcPr>
            <w:tcW w:w="589" w:type="dxa"/>
            <w:vMerge w:val="continue"/>
            <w:vAlign w:val="center"/>
          </w:tcPr>
          <w:p w14:paraId="3AFBFB4A">
            <w:pPr>
              <w:pStyle w:val="75"/>
              <w:rPr>
                <w:color w:val="auto"/>
              </w:rPr>
            </w:pPr>
          </w:p>
        </w:tc>
        <w:tc>
          <w:tcPr>
            <w:tcW w:w="1435" w:type="dxa"/>
            <w:vAlign w:val="center"/>
          </w:tcPr>
          <w:p w14:paraId="759C7501">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VOCs</w:t>
            </w:r>
          </w:p>
        </w:tc>
        <w:tc>
          <w:tcPr>
            <w:tcW w:w="1628" w:type="dxa"/>
            <w:vAlign w:val="center"/>
          </w:tcPr>
          <w:p w14:paraId="71BF70F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11.682</w:t>
            </w:r>
          </w:p>
        </w:tc>
        <w:tc>
          <w:tcPr>
            <w:tcW w:w="1301" w:type="dxa"/>
            <w:vAlign w:val="center"/>
          </w:tcPr>
          <w:p w14:paraId="3575BE2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405FFE0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75F61CDE">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36ECC43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3ED974F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3153F49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3C3F7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068A77F1">
            <w:pPr>
              <w:pStyle w:val="75"/>
              <w:rPr>
                <w:color w:val="auto"/>
              </w:rPr>
            </w:pPr>
          </w:p>
        </w:tc>
        <w:tc>
          <w:tcPr>
            <w:tcW w:w="589" w:type="dxa"/>
            <w:vMerge w:val="continue"/>
            <w:vAlign w:val="center"/>
          </w:tcPr>
          <w:p w14:paraId="643787B7">
            <w:pPr>
              <w:pStyle w:val="75"/>
              <w:rPr>
                <w:color w:val="auto"/>
              </w:rPr>
            </w:pPr>
          </w:p>
        </w:tc>
        <w:tc>
          <w:tcPr>
            <w:tcW w:w="1435" w:type="dxa"/>
            <w:vAlign w:val="center"/>
          </w:tcPr>
          <w:p w14:paraId="232EC9BD">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SO2</w:t>
            </w:r>
          </w:p>
        </w:tc>
        <w:tc>
          <w:tcPr>
            <w:tcW w:w="1628" w:type="dxa"/>
            <w:vAlign w:val="center"/>
          </w:tcPr>
          <w:p w14:paraId="147A94F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0.12</w:t>
            </w:r>
          </w:p>
        </w:tc>
        <w:tc>
          <w:tcPr>
            <w:tcW w:w="1301" w:type="dxa"/>
            <w:vAlign w:val="center"/>
          </w:tcPr>
          <w:p w14:paraId="64E2C35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750D927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6BF3D12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452B5A1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5E71596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1ED89ED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308A0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7B3DC293">
            <w:pPr>
              <w:pStyle w:val="75"/>
              <w:rPr>
                <w:color w:val="auto"/>
              </w:rPr>
            </w:pPr>
          </w:p>
        </w:tc>
        <w:tc>
          <w:tcPr>
            <w:tcW w:w="589" w:type="dxa"/>
            <w:vMerge w:val="continue"/>
            <w:vAlign w:val="center"/>
          </w:tcPr>
          <w:p w14:paraId="54253951">
            <w:pPr>
              <w:pStyle w:val="75"/>
              <w:rPr>
                <w:color w:val="auto"/>
              </w:rPr>
            </w:pPr>
          </w:p>
        </w:tc>
        <w:tc>
          <w:tcPr>
            <w:tcW w:w="1435" w:type="dxa"/>
            <w:vAlign w:val="center"/>
          </w:tcPr>
          <w:p w14:paraId="3A4E6BBA">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NOx</w:t>
            </w:r>
          </w:p>
        </w:tc>
        <w:tc>
          <w:tcPr>
            <w:tcW w:w="1628" w:type="dxa"/>
            <w:vAlign w:val="center"/>
          </w:tcPr>
          <w:p w14:paraId="3D1FF8C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0.5025</w:t>
            </w:r>
          </w:p>
        </w:tc>
        <w:tc>
          <w:tcPr>
            <w:tcW w:w="1301" w:type="dxa"/>
            <w:vAlign w:val="center"/>
          </w:tcPr>
          <w:p w14:paraId="5212E5A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48F29462">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209AEF3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4B39354E">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6AE82BA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315DF4C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64A2D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2E96A42D">
            <w:pPr>
              <w:pStyle w:val="75"/>
              <w:rPr>
                <w:color w:val="auto"/>
              </w:rPr>
            </w:pPr>
          </w:p>
        </w:tc>
        <w:tc>
          <w:tcPr>
            <w:tcW w:w="589" w:type="dxa"/>
            <w:vMerge w:val="continue"/>
            <w:vAlign w:val="center"/>
          </w:tcPr>
          <w:p w14:paraId="40BB33C9">
            <w:pPr>
              <w:pStyle w:val="75"/>
              <w:rPr>
                <w:color w:val="auto"/>
              </w:rPr>
            </w:pPr>
          </w:p>
        </w:tc>
        <w:tc>
          <w:tcPr>
            <w:tcW w:w="1435" w:type="dxa"/>
            <w:vAlign w:val="center"/>
          </w:tcPr>
          <w:p w14:paraId="68BE7824">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烟尘</w:t>
            </w:r>
          </w:p>
        </w:tc>
        <w:tc>
          <w:tcPr>
            <w:tcW w:w="1628" w:type="dxa"/>
            <w:vAlign w:val="center"/>
          </w:tcPr>
          <w:p w14:paraId="6E13D9E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0.086</w:t>
            </w:r>
          </w:p>
        </w:tc>
        <w:tc>
          <w:tcPr>
            <w:tcW w:w="1301" w:type="dxa"/>
            <w:vAlign w:val="center"/>
          </w:tcPr>
          <w:p w14:paraId="0A9BC1E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1469562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281B4E0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3A8DCC1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6CDB953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3EF8AA1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31EB9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573E7E4F">
            <w:pPr>
              <w:pStyle w:val="75"/>
              <w:rPr>
                <w:color w:val="auto"/>
              </w:rPr>
            </w:pPr>
          </w:p>
        </w:tc>
        <w:tc>
          <w:tcPr>
            <w:tcW w:w="589" w:type="dxa"/>
            <w:vMerge w:val="restart"/>
            <w:vAlign w:val="center"/>
          </w:tcPr>
          <w:p w14:paraId="1380842E">
            <w:pPr>
              <w:pStyle w:val="75"/>
              <w:rPr>
                <w:color w:val="auto"/>
              </w:rPr>
            </w:pPr>
            <w:r>
              <w:rPr>
                <w:rFonts w:hint="eastAsia"/>
                <w:color w:val="auto"/>
              </w:rPr>
              <w:t>无组织</w:t>
            </w:r>
          </w:p>
        </w:tc>
        <w:tc>
          <w:tcPr>
            <w:tcW w:w="1435" w:type="dxa"/>
            <w:vAlign w:val="center"/>
          </w:tcPr>
          <w:p w14:paraId="445B8644">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颗粒物</w:t>
            </w:r>
          </w:p>
        </w:tc>
        <w:tc>
          <w:tcPr>
            <w:tcW w:w="1628" w:type="dxa"/>
            <w:vAlign w:val="center"/>
          </w:tcPr>
          <w:p w14:paraId="063AC95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0.174</w:t>
            </w:r>
          </w:p>
        </w:tc>
        <w:tc>
          <w:tcPr>
            <w:tcW w:w="1301" w:type="dxa"/>
            <w:vAlign w:val="center"/>
          </w:tcPr>
          <w:p w14:paraId="184A613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787FB88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56D69BB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022157D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54336CB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53DF206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6E20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36BCA6DB">
            <w:pPr>
              <w:pStyle w:val="75"/>
              <w:rPr>
                <w:color w:val="auto"/>
              </w:rPr>
            </w:pPr>
          </w:p>
        </w:tc>
        <w:tc>
          <w:tcPr>
            <w:tcW w:w="589" w:type="dxa"/>
            <w:vMerge w:val="continue"/>
            <w:vAlign w:val="center"/>
          </w:tcPr>
          <w:p w14:paraId="2D158211">
            <w:pPr>
              <w:pStyle w:val="75"/>
              <w:rPr>
                <w:color w:val="auto"/>
              </w:rPr>
            </w:pPr>
          </w:p>
        </w:tc>
        <w:tc>
          <w:tcPr>
            <w:tcW w:w="1435" w:type="dxa"/>
            <w:vAlign w:val="center"/>
          </w:tcPr>
          <w:p w14:paraId="30101A60">
            <w:pPr>
              <w:widowControl/>
              <w:spacing w:line="240" w:lineRule="auto"/>
              <w:ind w:firstLine="0" w:firstLineChars="0"/>
              <w:jc w:val="center"/>
              <w:textAlignment w:val="center"/>
              <w:rPr>
                <w:rFonts w:hint="eastAsia" w:eastAsia="宋体"/>
                <w:color w:val="auto"/>
                <w:lang w:val="en-US" w:eastAsia="zh-CN"/>
              </w:rPr>
            </w:pPr>
            <w:r>
              <w:rPr>
                <w:rFonts w:hint="eastAsia" w:ascii="Times New Roman" w:hAnsi="Times New Roman" w:eastAsia="宋体" w:cs="Times New Roman"/>
                <w:color w:val="auto"/>
                <w:kern w:val="0"/>
                <w:sz w:val="18"/>
                <w:szCs w:val="18"/>
                <w:lang w:bidi="ar"/>
              </w:rPr>
              <w:t>非甲烷总烃</w:t>
            </w:r>
          </w:p>
        </w:tc>
        <w:tc>
          <w:tcPr>
            <w:tcW w:w="1628" w:type="dxa"/>
            <w:vAlign w:val="center"/>
          </w:tcPr>
          <w:p w14:paraId="19670172">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1.374</w:t>
            </w:r>
          </w:p>
        </w:tc>
        <w:tc>
          <w:tcPr>
            <w:tcW w:w="1301" w:type="dxa"/>
            <w:vAlign w:val="center"/>
          </w:tcPr>
          <w:p w14:paraId="7C9BB25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7CFD355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435ECFC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23BF44C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40EA877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4068712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1B2CA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6B093CD6">
            <w:pPr>
              <w:pStyle w:val="75"/>
              <w:rPr>
                <w:color w:val="auto"/>
              </w:rPr>
            </w:pPr>
          </w:p>
        </w:tc>
        <w:tc>
          <w:tcPr>
            <w:tcW w:w="589" w:type="dxa"/>
            <w:vMerge w:val="continue"/>
            <w:vAlign w:val="center"/>
          </w:tcPr>
          <w:p w14:paraId="75A665BC">
            <w:pPr>
              <w:pStyle w:val="75"/>
              <w:rPr>
                <w:color w:val="auto"/>
              </w:rPr>
            </w:pPr>
          </w:p>
        </w:tc>
        <w:tc>
          <w:tcPr>
            <w:tcW w:w="1435" w:type="dxa"/>
            <w:vAlign w:val="center"/>
          </w:tcPr>
          <w:p w14:paraId="3D4E2FC8">
            <w:pPr>
              <w:widowControl/>
              <w:spacing w:line="240" w:lineRule="auto"/>
              <w:ind w:firstLine="0" w:firstLineChars="0"/>
              <w:jc w:val="center"/>
              <w:textAlignment w:val="center"/>
              <w:rPr>
                <w:rFonts w:hint="eastAsia" w:eastAsia="宋体"/>
                <w:color w:val="auto"/>
                <w:lang w:val="en-US" w:eastAsia="zh-CN"/>
              </w:rPr>
            </w:pPr>
            <w:r>
              <w:rPr>
                <w:rFonts w:hint="eastAsia" w:ascii="Times New Roman" w:hAnsi="Times New Roman" w:eastAsia="宋体" w:cs="Times New Roman"/>
                <w:color w:val="auto"/>
                <w:kern w:val="0"/>
                <w:sz w:val="18"/>
                <w:szCs w:val="18"/>
                <w:lang w:bidi="ar"/>
              </w:rPr>
              <w:t>乙酸乙酯</w:t>
            </w:r>
          </w:p>
        </w:tc>
        <w:tc>
          <w:tcPr>
            <w:tcW w:w="1628" w:type="dxa"/>
            <w:vAlign w:val="center"/>
          </w:tcPr>
          <w:p w14:paraId="4624024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1.489</w:t>
            </w:r>
          </w:p>
        </w:tc>
        <w:tc>
          <w:tcPr>
            <w:tcW w:w="1301" w:type="dxa"/>
            <w:vAlign w:val="center"/>
          </w:tcPr>
          <w:p w14:paraId="6DA7AA1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3BE5C62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2B42E87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7BC607D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007FBF3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78D1B6F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7E6A5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49A7EBA3">
            <w:pPr>
              <w:pStyle w:val="75"/>
              <w:rPr>
                <w:color w:val="auto"/>
              </w:rPr>
            </w:pPr>
          </w:p>
        </w:tc>
        <w:tc>
          <w:tcPr>
            <w:tcW w:w="589" w:type="dxa"/>
            <w:vMerge w:val="continue"/>
            <w:vAlign w:val="center"/>
          </w:tcPr>
          <w:p w14:paraId="7F8675B3">
            <w:pPr>
              <w:pStyle w:val="75"/>
              <w:rPr>
                <w:color w:val="auto"/>
              </w:rPr>
            </w:pPr>
          </w:p>
        </w:tc>
        <w:tc>
          <w:tcPr>
            <w:tcW w:w="1435" w:type="dxa"/>
            <w:vAlign w:val="center"/>
          </w:tcPr>
          <w:p w14:paraId="17368CB8">
            <w:pPr>
              <w:widowControl/>
              <w:spacing w:line="240" w:lineRule="auto"/>
              <w:ind w:firstLine="0" w:firstLineChars="0"/>
              <w:jc w:val="center"/>
              <w:textAlignment w:val="center"/>
              <w:rPr>
                <w:rFonts w:hint="eastAsia" w:eastAsia="宋体"/>
                <w:color w:val="auto"/>
                <w:lang w:val="en-US" w:eastAsia="zh-CN"/>
              </w:rPr>
            </w:pPr>
            <w:r>
              <w:rPr>
                <w:rFonts w:hint="eastAsia" w:ascii="Times New Roman" w:hAnsi="Times New Roman" w:eastAsia="宋体" w:cs="Times New Roman"/>
                <w:color w:val="auto"/>
                <w:kern w:val="0"/>
                <w:sz w:val="18"/>
                <w:szCs w:val="18"/>
                <w:lang w:bidi="ar"/>
              </w:rPr>
              <w:t>乙酸丁酯</w:t>
            </w:r>
          </w:p>
        </w:tc>
        <w:tc>
          <w:tcPr>
            <w:tcW w:w="1628" w:type="dxa"/>
            <w:vAlign w:val="center"/>
          </w:tcPr>
          <w:p w14:paraId="51BCD92E">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0.012</w:t>
            </w:r>
          </w:p>
        </w:tc>
        <w:tc>
          <w:tcPr>
            <w:tcW w:w="1301" w:type="dxa"/>
            <w:vAlign w:val="center"/>
          </w:tcPr>
          <w:p w14:paraId="567E5B5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07B0D39C">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2E6F01B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236DECA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390A3CE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5A6FBA9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62AC0F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50AC5BAD">
            <w:pPr>
              <w:pStyle w:val="75"/>
              <w:rPr>
                <w:color w:val="auto"/>
              </w:rPr>
            </w:pPr>
          </w:p>
        </w:tc>
        <w:tc>
          <w:tcPr>
            <w:tcW w:w="589" w:type="dxa"/>
            <w:vMerge w:val="continue"/>
            <w:vAlign w:val="center"/>
          </w:tcPr>
          <w:p w14:paraId="0577D579">
            <w:pPr>
              <w:pStyle w:val="75"/>
              <w:rPr>
                <w:color w:val="auto"/>
              </w:rPr>
            </w:pPr>
          </w:p>
        </w:tc>
        <w:tc>
          <w:tcPr>
            <w:tcW w:w="1435" w:type="dxa"/>
            <w:vAlign w:val="center"/>
          </w:tcPr>
          <w:p w14:paraId="0CA33028">
            <w:pPr>
              <w:widowControl/>
              <w:spacing w:line="240" w:lineRule="auto"/>
              <w:ind w:firstLine="0" w:firstLineChars="0"/>
              <w:jc w:val="center"/>
              <w:textAlignment w:val="center"/>
              <w:rPr>
                <w:rFonts w:hint="eastAsia" w:eastAsia="宋体"/>
                <w:color w:val="auto"/>
                <w:lang w:val="en-US" w:eastAsia="zh-CN"/>
              </w:rPr>
            </w:pPr>
            <w:r>
              <w:rPr>
                <w:rFonts w:hint="eastAsia" w:ascii="Times New Roman" w:hAnsi="Times New Roman" w:eastAsia="宋体" w:cs="Times New Roman"/>
                <w:color w:val="auto"/>
                <w:kern w:val="0"/>
                <w:sz w:val="18"/>
                <w:szCs w:val="18"/>
                <w:lang w:bidi="ar"/>
              </w:rPr>
              <w:t>丁酮</w:t>
            </w:r>
          </w:p>
        </w:tc>
        <w:tc>
          <w:tcPr>
            <w:tcW w:w="1628" w:type="dxa"/>
            <w:vAlign w:val="center"/>
          </w:tcPr>
          <w:p w14:paraId="01C69D84">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0.079</w:t>
            </w:r>
          </w:p>
        </w:tc>
        <w:tc>
          <w:tcPr>
            <w:tcW w:w="1301" w:type="dxa"/>
            <w:vAlign w:val="center"/>
          </w:tcPr>
          <w:p w14:paraId="113ECF9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779AEA20">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1BA91252">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3A36A19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1A5125A2">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628775E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66556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419443B6">
            <w:pPr>
              <w:pStyle w:val="75"/>
              <w:rPr>
                <w:color w:val="auto"/>
              </w:rPr>
            </w:pPr>
          </w:p>
        </w:tc>
        <w:tc>
          <w:tcPr>
            <w:tcW w:w="589" w:type="dxa"/>
            <w:vMerge w:val="continue"/>
            <w:vAlign w:val="center"/>
          </w:tcPr>
          <w:p w14:paraId="575586AA">
            <w:pPr>
              <w:pStyle w:val="75"/>
              <w:rPr>
                <w:color w:val="auto"/>
              </w:rPr>
            </w:pPr>
          </w:p>
        </w:tc>
        <w:tc>
          <w:tcPr>
            <w:tcW w:w="1435" w:type="dxa"/>
            <w:vAlign w:val="center"/>
          </w:tcPr>
          <w:p w14:paraId="4CA091D6">
            <w:pPr>
              <w:widowControl/>
              <w:spacing w:line="240" w:lineRule="auto"/>
              <w:ind w:firstLine="0" w:firstLineChars="0"/>
              <w:jc w:val="center"/>
              <w:textAlignment w:val="center"/>
              <w:rPr>
                <w:rFonts w:hint="eastAsia" w:eastAsia="宋体"/>
                <w:color w:val="auto"/>
                <w:lang w:val="en-US" w:eastAsia="zh-CN"/>
              </w:rPr>
            </w:pPr>
            <w:r>
              <w:rPr>
                <w:rFonts w:hint="eastAsia" w:ascii="Times New Roman" w:hAnsi="Times New Roman" w:eastAsia="宋体" w:cs="Times New Roman"/>
                <w:color w:val="auto"/>
                <w:kern w:val="0"/>
                <w:sz w:val="18"/>
                <w:szCs w:val="18"/>
                <w:lang w:bidi="ar"/>
              </w:rPr>
              <w:t>甲苯</w:t>
            </w:r>
          </w:p>
        </w:tc>
        <w:tc>
          <w:tcPr>
            <w:tcW w:w="1628" w:type="dxa"/>
            <w:vAlign w:val="center"/>
          </w:tcPr>
          <w:p w14:paraId="2CF0CDA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0.079</w:t>
            </w:r>
          </w:p>
        </w:tc>
        <w:tc>
          <w:tcPr>
            <w:tcW w:w="1301" w:type="dxa"/>
            <w:vAlign w:val="center"/>
          </w:tcPr>
          <w:p w14:paraId="053F8D4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20E86B3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6EA29B5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4FBC5AF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61417C32">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12C298A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4B28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2AE0D65B">
            <w:pPr>
              <w:pStyle w:val="75"/>
              <w:rPr>
                <w:color w:val="auto"/>
              </w:rPr>
            </w:pPr>
          </w:p>
        </w:tc>
        <w:tc>
          <w:tcPr>
            <w:tcW w:w="589" w:type="dxa"/>
            <w:vMerge w:val="continue"/>
            <w:vAlign w:val="center"/>
          </w:tcPr>
          <w:p w14:paraId="0B3687DB">
            <w:pPr>
              <w:pStyle w:val="75"/>
              <w:rPr>
                <w:color w:val="auto"/>
              </w:rPr>
            </w:pPr>
          </w:p>
        </w:tc>
        <w:tc>
          <w:tcPr>
            <w:tcW w:w="1435" w:type="dxa"/>
            <w:vAlign w:val="center"/>
          </w:tcPr>
          <w:p w14:paraId="02021995">
            <w:pPr>
              <w:widowControl/>
              <w:spacing w:line="240" w:lineRule="auto"/>
              <w:ind w:firstLine="0" w:firstLineChars="0"/>
              <w:jc w:val="center"/>
              <w:textAlignment w:val="center"/>
              <w:rPr>
                <w:rFonts w:hint="eastAsia" w:eastAsia="宋体"/>
                <w:color w:val="auto"/>
                <w:lang w:val="en-US" w:eastAsia="zh-CN"/>
              </w:rPr>
            </w:pPr>
            <w:r>
              <w:rPr>
                <w:rFonts w:hint="eastAsia" w:ascii="Times New Roman" w:hAnsi="Times New Roman" w:eastAsia="宋体" w:cs="Times New Roman"/>
                <w:color w:val="auto"/>
                <w:kern w:val="0"/>
                <w:sz w:val="18"/>
                <w:szCs w:val="18"/>
                <w:lang w:bidi="ar"/>
              </w:rPr>
              <w:t>VOCs</w:t>
            </w:r>
          </w:p>
        </w:tc>
        <w:tc>
          <w:tcPr>
            <w:tcW w:w="1628" w:type="dxa"/>
            <w:vAlign w:val="center"/>
          </w:tcPr>
          <w:p w14:paraId="19D759B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3.033</w:t>
            </w:r>
          </w:p>
        </w:tc>
        <w:tc>
          <w:tcPr>
            <w:tcW w:w="1301" w:type="dxa"/>
            <w:vAlign w:val="center"/>
          </w:tcPr>
          <w:p w14:paraId="29E717C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0817B2D5">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06D2DB6E">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4A1825B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2EAE364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48FE768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2B976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108171A6">
            <w:pPr>
              <w:pStyle w:val="75"/>
              <w:rPr>
                <w:color w:val="auto"/>
              </w:rPr>
            </w:pPr>
          </w:p>
        </w:tc>
        <w:tc>
          <w:tcPr>
            <w:tcW w:w="589" w:type="dxa"/>
            <w:vMerge w:val="continue"/>
            <w:vAlign w:val="center"/>
          </w:tcPr>
          <w:p w14:paraId="2B698B9B">
            <w:pPr>
              <w:pStyle w:val="75"/>
              <w:rPr>
                <w:color w:val="auto"/>
              </w:rPr>
            </w:pPr>
          </w:p>
        </w:tc>
        <w:tc>
          <w:tcPr>
            <w:tcW w:w="1435" w:type="dxa"/>
            <w:vAlign w:val="center"/>
          </w:tcPr>
          <w:p w14:paraId="5BD3314F">
            <w:pPr>
              <w:widowControl/>
              <w:spacing w:line="240" w:lineRule="auto"/>
              <w:ind w:firstLine="0" w:firstLineChars="0"/>
              <w:jc w:val="center"/>
              <w:textAlignment w:val="center"/>
              <w:rPr>
                <w:rFonts w:hint="eastAsia" w:eastAsia="宋体"/>
                <w:color w:val="auto"/>
                <w:lang w:val="en-US" w:eastAsia="zh-CN"/>
              </w:rPr>
            </w:pPr>
            <w:r>
              <w:rPr>
                <w:rFonts w:hint="eastAsia" w:ascii="Times New Roman" w:hAnsi="Times New Roman" w:eastAsia="宋体" w:cs="Times New Roman"/>
                <w:color w:val="auto"/>
                <w:kern w:val="0"/>
                <w:sz w:val="18"/>
                <w:szCs w:val="18"/>
                <w:lang w:bidi="ar"/>
              </w:rPr>
              <w:t>NOx</w:t>
            </w:r>
          </w:p>
        </w:tc>
        <w:tc>
          <w:tcPr>
            <w:tcW w:w="1628" w:type="dxa"/>
            <w:vAlign w:val="center"/>
          </w:tcPr>
          <w:p w14:paraId="0F184B9C">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0.0025</w:t>
            </w:r>
          </w:p>
        </w:tc>
        <w:tc>
          <w:tcPr>
            <w:tcW w:w="1301" w:type="dxa"/>
            <w:vAlign w:val="center"/>
          </w:tcPr>
          <w:p w14:paraId="2B26EA4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2FA69B64">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086BD4F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718BAF4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0DC5088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25FB1D6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7D25F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731901F5">
            <w:pPr>
              <w:pStyle w:val="75"/>
              <w:rPr>
                <w:color w:val="auto"/>
              </w:rPr>
            </w:pPr>
          </w:p>
        </w:tc>
        <w:tc>
          <w:tcPr>
            <w:tcW w:w="589" w:type="dxa"/>
            <w:vMerge w:val="continue"/>
            <w:vAlign w:val="center"/>
          </w:tcPr>
          <w:p w14:paraId="7082DD40">
            <w:pPr>
              <w:pStyle w:val="75"/>
              <w:rPr>
                <w:color w:val="auto"/>
              </w:rPr>
            </w:pPr>
          </w:p>
        </w:tc>
        <w:tc>
          <w:tcPr>
            <w:tcW w:w="1435" w:type="dxa"/>
            <w:vAlign w:val="center"/>
          </w:tcPr>
          <w:p w14:paraId="585D79E3">
            <w:pPr>
              <w:widowControl/>
              <w:spacing w:line="240" w:lineRule="auto"/>
              <w:ind w:firstLine="0" w:firstLineChars="0"/>
              <w:jc w:val="center"/>
              <w:textAlignment w:val="center"/>
              <w:rPr>
                <w:rFonts w:hint="eastAsia" w:eastAsia="宋体"/>
                <w:color w:val="auto"/>
                <w:lang w:val="en-US" w:eastAsia="zh-CN"/>
              </w:rPr>
            </w:pPr>
            <w:r>
              <w:rPr>
                <w:rFonts w:hint="eastAsia" w:ascii="Times New Roman" w:hAnsi="Times New Roman" w:eastAsia="宋体" w:cs="Times New Roman"/>
                <w:color w:val="auto"/>
                <w:kern w:val="0"/>
                <w:sz w:val="18"/>
                <w:szCs w:val="18"/>
                <w:lang w:bidi="ar"/>
              </w:rPr>
              <w:t>颗粒物</w:t>
            </w:r>
          </w:p>
        </w:tc>
        <w:tc>
          <w:tcPr>
            <w:tcW w:w="1628" w:type="dxa"/>
            <w:vAlign w:val="center"/>
          </w:tcPr>
          <w:p w14:paraId="4637D0E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0.173</w:t>
            </w:r>
          </w:p>
        </w:tc>
        <w:tc>
          <w:tcPr>
            <w:tcW w:w="1301" w:type="dxa"/>
            <w:vAlign w:val="center"/>
          </w:tcPr>
          <w:p w14:paraId="6BCE511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6465A82D">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5FDB291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1FDA35A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19689F1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7AC73C1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7F44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7748C3D6">
            <w:pPr>
              <w:pStyle w:val="75"/>
              <w:rPr>
                <w:color w:val="auto"/>
              </w:rPr>
            </w:pPr>
          </w:p>
        </w:tc>
        <w:tc>
          <w:tcPr>
            <w:tcW w:w="589" w:type="dxa"/>
            <w:vMerge w:val="continue"/>
            <w:vAlign w:val="center"/>
          </w:tcPr>
          <w:p w14:paraId="7E59DF78">
            <w:pPr>
              <w:pStyle w:val="75"/>
              <w:rPr>
                <w:color w:val="auto"/>
              </w:rPr>
            </w:pPr>
          </w:p>
        </w:tc>
        <w:tc>
          <w:tcPr>
            <w:tcW w:w="1435" w:type="dxa"/>
            <w:vAlign w:val="center"/>
          </w:tcPr>
          <w:p w14:paraId="58DEFC79">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乙酸乙酯</w:t>
            </w:r>
          </w:p>
        </w:tc>
        <w:tc>
          <w:tcPr>
            <w:tcW w:w="1628" w:type="dxa"/>
            <w:vAlign w:val="center"/>
          </w:tcPr>
          <w:p w14:paraId="7D888DC9">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5.851</w:t>
            </w:r>
          </w:p>
        </w:tc>
        <w:tc>
          <w:tcPr>
            <w:tcW w:w="1301" w:type="dxa"/>
            <w:vAlign w:val="center"/>
          </w:tcPr>
          <w:p w14:paraId="7AB4646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757DDF72">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78F2129E">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79C1417D">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05FA4FA0">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6ECD604C">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4336A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restart"/>
            <w:vAlign w:val="center"/>
          </w:tcPr>
          <w:p w14:paraId="1421AA1F">
            <w:pPr>
              <w:pStyle w:val="75"/>
              <w:rPr>
                <w:color w:val="auto"/>
              </w:rPr>
            </w:pPr>
            <w:r>
              <w:rPr>
                <w:color w:val="auto"/>
              </w:rPr>
              <w:t>废水</w:t>
            </w:r>
          </w:p>
        </w:tc>
        <w:tc>
          <w:tcPr>
            <w:tcW w:w="2024" w:type="dxa"/>
            <w:gridSpan w:val="2"/>
            <w:vAlign w:val="center"/>
          </w:tcPr>
          <w:p w14:paraId="6A881A49">
            <w:pPr>
              <w:pStyle w:val="75"/>
              <w:rPr>
                <w:color w:val="auto"/>
              </w:rPr>
            </w:pPr>
            <w:r>
              <w:rPr>
                <w:color w:val="auto"/>
              </w:rPr>
              <w:t>废水量</w:t>
            </w:r>
          </w:p>
        </w:tc>
        <w:tc>
          <w:tcPr>
            <w:tcW w:w="1628" w:type="dxa"/>
            <w:vAlign w:val="center"/>
          </w:tcPr>
          <w:p w14:paraId="0265571D">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15386</w:t>
            </w:r>
          </w:p>
        </w:tc>
        <w:tc>
          <w:tcPr>
            <w:tcW w:w="1301" w:type="dxa"/>
            <w:vAlign w:val="center"/>
          </w:tcPr>
          <w:p w14:paraId="04CB98EE">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11B68815">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228F38C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6B820CDC">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bottom"/>
          </w:tcPr>
          <w:p w14:paraId="77343EF4">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2A6015F2">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7EA33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2401DDA7">
            <w:pPr>
              <w:pStyle w:val="75"/>
              <w:rPr>
                <w:color w:val="auto"/>
              </w:rPr>
            </w:pPr>
          </w:p>
        </w:tc>
        <w:tc>
          <w:tcPr>
            <w:tcW w:w="2024" w:type="dxa"/>
            <w:gridSpan w:val="2"/>
            <w:vAlign w:val="center"/>
          </w:tcPr>
          <w:p w14:paraId="76A11546">
            <w:pPr>
              <w:widowControl/>
              <w:spacing w:line="240" w:lineRule="auto"/>
              <w:ind w:firstLine="0" w:firstLineChars="0"/>
              <w:jc w:val="center"/>
              <w:textAlignment w:val="center"/>
              <w:rPr>
                <w:color w:val="auto"/>
              </w:rPr>
            </w:pPr>
            <w:r>
              <w:rPr>
                <w:rFonts w:ascii="Times New Roman" w:hAnsi="Times New Roman" w:eastAsia="宋体" w:cs="Times New Roman"/>
                <w:color w:val="auto"/>
                <w:kern w:val="0"/>
                <w:sz w:val="18"/>
                <w:szCs w:val="18"/>
                <w:lang w:bidi="ar"/>
              </w:rPr>
              <w:t>COD</w:t>
            </w:r>
          </w:p>
        </w:tc>
        <w:tc>
          <w:tcPr>
            <w:tcW w:w="1628" w:type="dxa"/>
            <w:vAlign w:val="center"/>
          </w:tcPr>
          <w:p w14:paraId="1CBA14D2">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0.4616</w:t>
            </w:r>
          </w:p>
        </w:tc>
        <w:tc>
          <w:tcPr>
            <w:tcW w:w="1301" w:type="dxa"/>
            <w:vAlign w:val="center"/>
          </w:tcPr>
          <w:p w14:paraId="29BD6F77">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636A0464">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75375A33">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678C499D">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bottom"/>
          </w:tcPr>
          <w:p w14:paraId="0BF10C3E">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396F51D5">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00D9A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55B920CA">
            <w:pPr>
              <w:pStyle w:val="75"/>
              <w:rPr>
                <w:color w:val="auto"/>
              </w:rPr>
            </w:pPr>
          </w:p>
        </w:tc>
        <w:tc>
          <w:tcPr>
            <w:tcW w:w="2024" w:type="dxa"/>
            <w:gridSpan w:val="2"/>
            <w:vAlign w:val="center"/>
          </w:tcPr>
          <w:p w14:paraId="3A2BD780">
            <w:pPr>
              <w:widowControl/>
              <w:spacing w:line="240" w:lineRule="auto"/>
              <w:ind w:firstLine="0" w:firstLineChars="0"/>
              <w:jc w:val="center"/>
              <w:textAlignment w:val="center"/>
              <w:rPr>
                <w:color w:val="auto"/>
              </w:rPr>
            </w:pPr>
            <w:r>
              <w:rPr>
                <w:rFonts w:ascii="Times New Roman" w:hAnsi="Times New Roman" w:eastAsia="宋体" w:cs="Times New Roman"/>
                <w:color w:val="auto"/>
                <w:kern w:val="0"/>
                <w:sz w:val="18"/>
                <w:szCs w:val="18"/>
                <w:lang w:bidi="ar"/>
              </w:rPr>
              <w:t>SS</w:t>
            </w:r>
          </w:p>
        </w:tc>
        <w:tc>
          <w:tcPr>
            <w:tcW w:w="1628" w:type="dxa"/>
            <w:vAlign w:val="center"/>
          </w:tcPr>
          <w:p w14:paraId="3EF7157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0.154</w:t>
            </w:r>
          </w:p>
        </w:tc>
        <w:tc>
          <w:tcPr>
            <w:tcW w:w="1301" w:type="dxa"/>
            <w:vAlign w:val="center"/>
          </w:tcPr>
          <w:p w14:paraId="27FFCA34">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1AFD016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772BEEC9">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6B748675">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bottom"/>
          </w:tcPr>
          <w:p w14:paraId="70573701">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5CE60EFB">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48E14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39483FB5">
            <w:pPr>
              <w:pStyle w:val="75"/>
              <w:rPr>
                <w:color w:val="auto"/>
              </w:rPr>
            </w:pPr>
          </w:p>
        </w:tc>
        <w:tc>
          <w:tcPr>
            <w:tcW w:w="2024" w:type="dxa"/>
            <w:gridSpan w:val="2"/>
            <w:vAlign w:val="center"/>
          </w:tcPr>
          <w:p w14:paraId="23C0E30A">
            <w:pPr>
              <w:widowControl/>
              <w:spacing w:line="240" w:lineRule="auto"/>
              <w:ind w:firstLine="0" w:firstLineChars="0"/>
              <w:jc w:val="center"/>
              <w:textAlignment w:val="center"/>
              <w:rPr>
                <w:color w:val="auto"/>
              </w:rPr>
            </w:pPr>
            <w:r>
              <w:rPr>
                <w:rFonts w:ascii="Times New Roman" w:hAnsi="Times New Roman" w:eastAsia="宋体" w:cs="Times New Roman"/>
                <w:color w:val="auto"/>
                <w:kern w:val="0"/>
                <w:sz w:val="18"/>
                <w:szCs w:val="18"/>
                <w:lang w:bidi="ar"/>
              </w:rPr>
              <w:t>NH3-N</w:t>
            </w:r>
          </w:p>
        </w:tc>
        <w:tc>
          <w:tcPr>
            <w:tcW w:w="1628" w:type="dxa"/>
            <w:vAlign w:val="center"/>
          </w:tcPr>
          <w:p w14:paraId="39D2C53C">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0.0231</w:t>
            </w:r>
          </w:p>
        </w:tc>
        <w:tc>
          <w:tcPr>
            <w:tcW w:w="1301" w:type="dxa"/>
            <w:vAlign w:val="center"/>
          </w:tcPr>
          <w:p w14:paraId="65E55707">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2A48854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3B2DD78D">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68B2FF22">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bottom"/>
          </w:tcPr>
          <w:p w14:paraId="35F29D0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37801CE5">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4B564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062852DA">
            <w:pPr>
              <w:pStyle w:val="75"/>
              <w:rPr>
                <w:color w:val="auto"/>
              </w:rPr>
            </w:pPr>
          </w:p>
        </w:tc>
        <w:tc>
          <w:tcPr>
            <w:tcW w:w="2024" w:type="dxa"/>
            <w:gridSpan w:val="2"/>
            <w:vAlign w:val="center"/>
          </w:tcPr>
          <w:p w14:paraId="53FF2872">
            <w:pPr>
              <w:widowControl/>
              <w:spacing w:line="240" w:lineRule="auto"/>
              <w:ind w:firstLine="0" w:firstLineChars="0"/>
              <w:jc w:val="center"/>
              <w:textAlignment w:val="center"/>
              <w:rPr>
                <w:color w:val="auto"/>
              </w:rPr>
            </w:pPr>
            <w:r>
              <w:rPr>
                <w:rFonts w:ascii="Times New Roman" w:hAnsi="Times New Roman" w:eastAsia="宋体" w:cs="Times New Roman"/>
                <w:color w:val="auto"/>
                <w:kern w:val="0"/>
                <w:sz w:val="18"/>
                <w:szCs w:val="18"/>
                <w:lang w:bidi="ar"/>
              </w:rPr>
              <w:t>TP</w:t>
            </w:r>
          </w:p>
        </w:tc>
        <w:tc>
          <w:tcPr>
            <w:tcW w:w="1628" w:type="dxa"/>
            <w:vAlign w:val="center"/>
          </w:tcPr>
          <w:p w14:paraId="7EBF808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0.0046</w:t>
            </w:r>
          </w:p>
        </w:tc>
        <w:tc>
          <w:tcPr>
            <w:tcW w:w="1301" w:type="dxa"/>
            <w:vAlign w:val="center"/>
          </w:tcPr>
          <w:p w14:paraId="13B33A40">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5DCE7680">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54A4F0C1">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56B4F74D">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bottom"/>
          </w:tcPr>
          <w:p w14:paraId="778020FB">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097E3F7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r>
      <w:tr w14:paraId="49B71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48D84B6A">
            <w:pPr>
              <w:pStyle w:val="75"/>
              <w:rPr>
                <w:color w:val="auto"/>
              </w:rPr>
            </w:pPr>
          </w:p>
        </w:tc>
        <w:tc>
          <w:tcPr>
            <w:tcW w:w="2024" w:type="dxa"/>
            <w:gridSpan w:val="2"/>
            <w:vAlign w:val="center"/>
          </w:tcPr>
          <w:p w14:paraId="2CD1F61A">
            <w:pPr>
              <w:widowControl/>
              <w:spacing w:line="240" w:lineRule="auto"/>
              <w:ind w:firstLine="0" w:firstLineChars="0"/>
              <w:jc w:val="center"/>
              <w:textAlignment w:val="center"/>
              <w:rPr>
                <w:color w:val="auto"/>
              </w:rPr>
            </w:pPr>
            <w:r>
              <w:rPr>
                <w:rFonts w:ascii="Times New Roman" w:hAnsi="Times New Roman" w:eastAsia="宋体" w:cs="Times New Roman"/>
                <w:color w:val="auto"/>
                <w:kern w:val="0"/>
                <w:sz w:val="18"/>
                <w:szCs w:val="18"/>
                <w:lang w:bidi="ar"/>
              </w:rPr>
              <w:t>TN</w:t>
            </w:r>
          </w:p>
        </w:tc>
        <w:tc>
          <w:tcPr>
            <w:tcW w:w="1628" w:type="dxa"/>
            <w:vAlign w:val="center"/>
          </w:tcPr>
          <w:p w14:paraId="0DDB200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0.2308</w:t>
            </w:r>
          </w:p>
        </w:tc>
        <w:tc>
          <w:tcPr>
            <w:tcW w:w="1301" w:type="dxa"/>
            <w:vAlign w:val="center"/>
          </w:tcPr>
          <w:p w14:paraId="2A69A66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3221BE25">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53886D87">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33DEB6F3">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bottom"/>
          </w:tcPr>
          <w:p w14:paraId="021D5921">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3AF0FA17">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743C5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03FAD5DA">
            <w:pPr>
              <w:pStyle w:val="75"/>
              <w:rPr>
                <w:color w:val="auto"/>
              </w:rPr>
            </w:pPr>
          </w:p>
        </w:tc>
        <w:tc>
          <w:tcPr>
            <w:tcW w:w="2024" w:type="dxa"/>
            <w:gridSpan w:val="2"/>
            <w:vAlign w:val="center"/>
          </w:tcPr>
          <w:p w14:paraId="71EA8D82">
            <w:pPr>
              <w:widowControl/>
              <w:spacing w:line="240" w:lineRule="auto"/>
              <w:ind w:firstLine="0" w:firstLineChars="0"/>
              <w:jc w:val="center"/>
              <w:textAlignment w:val="center"/>
              <w:rPr>
                <w:color w:val="auto"/>
              </w:rPr>
            </w:pPr>
            <w:r>
              <w:rPr>
                <w:rFonts w:hint="eastAsia" w:ascii="Times New Roman" w:hAnsi="Times New Roman" w:eastAsia="宋体" w:cs="Times New Roman"/>
                <w:color w:val="auto"/>
                <w:kern w:val="0"/>
                <w:sz w:val="18"/>
                <w:szCs w:val="18"/>
                <w:lang w:bidi="ar"/>
              </w:rPr>
              <w:t>动植物油</w:t>
            </w:r>
          </w:p>
        </w:tc>
        <w:tc>
          <w:tcPr>
            <w:tcW w:w="1628" w:type="dxa"/>
            <w:vAlign w:val="center"/>
          </w:tcPr>
          <w:p w14:paraId="604650B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0.0024</w:t>
            </w:r>
          </w:p>
        </w:tc>
        <w:tc>
          <w:tcPr>
            <w:tcW w:w="1301" w:type="dxa"/>
            <w:vAlign w:val="center"/>
          </w:tcPr>
          <w:p w14:paraId="27532976">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7405BD3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29D0445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214C756D">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bottom"/>
          </w:tcPr>
          <w:p w14:paraId="3732641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063" w:type="dxa"/>
            <w:vAlign w:val="bottom"/>
          </w:tcPr>
          <w:p w14:paraId="6FBB5326">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3BFE3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restart"/>
            <w:vAlign w:val="center"/>
          </w:tcPr>
          <w:p w14:paraId="105C14DC">
            <w:pPr>
              <w:pStyle w:val="75"/>
              <w:rPr>
                <w:color w:val="auto"/>
              </w:rPr>
            </w:pPr>
            <w:r>
              <w:rPr>
                <w:color w:val="auto"/>
              </w:rPr>
              <w:t>一般工业</w:t>
            </w:r>
          </w:p>
          <w:p w14:paraId="3798FF35">
            <w:pPr>
              <w:pStyle w:val="75"/>
              <w:rPr>
                <w:color w:val="auto"/>
              </w:rPr>
            </w:pPr>
            <w:r>
              <w:rPr>
                <w:color w:val="auto"/>
              </w:rPr>
              <w:t>固体废物</w:t>
            </w:r>
          </w:p>
        </w:tc>
        <w:tc>
          <w:tcPr>
            <w:tcW w:w="2024" w:type="dxa"/>
            <w:gridSpan w:val="2"/>
            <w:vAlign w:val="center"/>
          </w:tcPr>
          <w:p w14:paraId="0383727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不合格产品</w:t>
            </w:r>
          </w:p>
        </w:tc>
        <w:tc>
          <w:tcPr>
            <w:tcW w:w="1628" w:type="dxa"/>
            <w:vAlign w:val="center"/>
          </w:tcPr>
          <w:p w14:paraId="64CA18E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3257.832</w:t>
            </w:r>
          </w:p>
        </w:tc>
        <w:tc>
          <w:tcPr>
            <w:tcW w:w="1301" w:type="dxa"/>
            <w:vAlign w:val="center"/>
          </w:tcPr>
          <w:p w14:paraId="3829B36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32D34DD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6F5DA3B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8</w:t>
            </w:r>
          </w:p>
        </w:tc>
        <w:tc>
          <w:tcPr>
            <w:tcW w:w="1796" w:type="dxa"/>
            <w:vAlign w:val="center"/>
          </w:tcPr>
          <w:p w14:paraId="765DA9CB">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0247D18D">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3265.832</w:t>
            </w:r>
          </w:p>
        </w:tc>
        <w:tc>
          <w:tcPr>
            <w:tcW w:w="1063" w:type="dxa"/>
            <w:vAlign w:val="center"/>
          </w:tcPr>
          <w:p w14:paraId="183ECAFE">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8</w:t>
            </w:r>
          </w:p>
        </w:tc>
      </w:tr>
      <w:tr w14:paraId="066DB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21C42ADD">
            <w:pPr>
              <w:pStyle w:val="75"/>
              <w:rPr>
                <w:color w:val="auto"/>
              </w:rPr>
            </w:pPr>
          </w:p>
        </w:tc>
        <w:tc>
          <w:tcPr>
            <w:tcW w:w="2024" w:type="dxa"/>
            <w:gridSpan w:val="2"/>
            <w:vAlign w:val="center"/>
          </w:tcPr>
          <w:p w14:paraId="064B510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边角料</w:t>
            </w:r>
          </w:p>
        </w:tc>
        <w:tc>
          <w:tcPr>
            <w:tcW w:w="1628" w:type="dxa"/>
            <w:vAlign w:val="center"/>
          </w:tcPr>
          <w:p w14:paraId="3572A94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138.963</w:t>
            </w:r>
          </w:p>
        </w:tc>
        <w:tc>
          <w:tcPr>
            <w:tcW w:w="1301" w:type="dxa"/>
            <w:vAlign w:val="center"/>
          </w:tcPr>
          <w:p w14:paraId="2FBA49B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60A78B4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4E7DF7E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1FE27476">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198C0CE1">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138.963</w:t>
            </w:r>
          </w:p>
        </w:tc>
        <w:tc>
          <w:tcPr>
            <w:tcW w:w="1063" w:type="dxa"/>
            <w:vAlign w:val="center"/>
          </w:tcPr>
          <w:p w14:paraId="6AD33745">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0800D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3DF120A4">
            <w:pPr>
              <w:pStyle w:val="75"/>
              <w:rPr>
                <w:color w:val="auto"/>
              </w:rPr>
            </w:pPr>
          </w:p>
        </w:tc>
        <w:tc>
          <w:tcPr>
            <w:tcW w:w="2024" w:type="dxa"/>
            <w:gridSpan w:val="2"/>
            <w:vAlign w:val="center"/>
          </w:tcPr>
          <w:p w14:paraId="62E5CB1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废膜</w:t>
            </w:r>
          </w:p>
        </w:tc>
        <w:tc>
          <w:tcPr>
            <w:tcW w:w="1628" w:type="dxa"/>
            <w:vAlign w:val="center"/>
          </w:tcPr>
          <w:p w14:paraId="309CC45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62.023</w:t>
            </w:r>
          </w:p>
        </w:tc>
        <w:tc>
          <w:tcPr>
            <w:tcW w:w="1301" w:type="dxa"/>
            <w:vAlign w:val="center"/>
          </w:tcPr>
          <w:p w14:paraId="1199B2C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0CD45F4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248D1302">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7ED34B1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3EBCCDD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62.023</w:t>
            </w:r>
          </w:p>
        </w:tc>
        <w:tc>
          <w:tcPr>
            <w:tcW w:w="1063" w:type="dxa"/>
            <w:vAlign w:val="center"/>
          </w:tcPr>
          <w:p w14:paraId="15FE610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444A3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2C50AA02">
            <w:pPr>
              <w:pStyle w:val="75"/>
              <w:rPr>
                <w:color w:val="auto"/>
              </w:rPr>
            </w:pPr>
          </w:p>
        </w:tc>
        <w:tc>
          <w:tcPr>
            <w:tcW w:w="2024" w:type="dxa"/>
            <w:gridSpan w:val="2"/>
            <w:vAlign w:val="center"/>
          </w:tcPr>
          <w:p w14:paraId="5FB178E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废树脂膜</w:t>
            </w:r>
          </w:p>
        </w:tc>
        <w:tc>
          <w:tcPr>
            <w:tcW w:w="1628" w:type="dxa"/>
            <w:vAlign w:val="center"/>
          </w:tcPr>
          <w:p w14:paraId="3CA3F6C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0.05</w:t>
            </w:r>
          </w:p>
        </w:tc>
        <w:tc>
          <w:tcPr>
            <w:tcW w:w="1301" w:type="dxa"/>
            <w:vAlign w:val="center"/>
          </w:tcPr>
          <w:p w14:paraId="47DB598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7DCFEFE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407EC84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0154C676">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3330BC60">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0.05</w:t>
            </w:r>
          </w:p>
        </w:tc>
        <w:tc>
          <w:tcPr>
            <w:tcW w:w="1063" w:type="dxa"/>
            <w:vAlign w:val="center"/>
          </w:tcPr>
          <w:p w14:paraId="674B48D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2A255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2747DFC2">
            <w:pPr>
              <w:pStyle w:val="75"/>
              <w:rPr>
                <w:color w:val="auto"/>
              </w:rPr>
            </w:pPr>
          </w:p>
        </w:tc>
        <w:tc>
          <w:tcPr>
            <w:tcW w:w="2024" w:type="dxa"/>
            <w:gridSpan w:val="2"/>
            <w:vAlign w:val="center"/>
          </w:tcPr>
          <w:p w14:paraId="7C7E977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布袋收集尘</w:t>
            </w:r>
          </w:p>
        </w:tc>
        <w:tc>
          <w:tcPr>
            <w:tcW w:w="1628" w:type="dxa"/>
            <w:vAlign w:val="center"/>
          </w:tcPr>
          <w:p w14:paraId="6CC7CA02">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17.08</w:t>
            </w:r>
          </w:p>
        </w:tc>
        <w:tc>
          <w:tcPr>
            <w:tcW w:w="1301" w:type="dxa"/>
            <w:vAlign w:val="center"/>
          </w:tcPr>
          <w:p w14:paraId="0E95FA7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06908C6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6230C0C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33FD59FC">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6986BA22">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17.08</w:t>
            </w:r>
          </w:p>
        </w:tc>
        <w:tc>
          <w:tcPr>
            <w:tcW w:w="1063" w:type="dxa"/>
            <w:vAlign w:val="center"/>
          </w:tcPr>
          <w:p w14:paraId="170D9EF1">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1224F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40BC98C0">
            <w:pPr>
              <w:pStyle w:val="75"/>
              <w:rPr>
                <w:color w:val="auto"/>
              </w:rPr>
            </w:pPr>
          </w:p>
        </w:tc>
        <w:tc>
          <w:tcPr>
            <w:tcW w:w="2024" w:type="dxa"/>
            <w:gridSpan w:val="2"/>
            <w:vAlign w:val="center"/>
          </w:tcPr>
          <w:p w14:paraId="611C4241">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废靶材</w:t>
            </w:r>
          </w:p>
        </w:tc>
        <w:tc>
          <w:tcPr>
            <w:tcW w:w="1628" w:type="dxa"/>
            <w:vAlign w:val="center"/>
          </w:tcPr>
          <w:p w14:paraId="1F4E97DB">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0</w:t>
            </w:r>
          </w:p>
        </w:tc>
        <w:tc>
          <w:tcPr>
            <w:tcW w:w="1301" w:type="dxa"/>
            <w:vAlign w:val="center"/>
          </w:tcPr>
          <w:p w14:paraId="057880CE">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0</w:t>
            </w:r>
          </w:p>
        </w:tc>
        <w:tc>
          <w:tcPr>
            <w:tcW w:w="1732" w:type="dxa"/>
            <w:vAlign w:val="center"/>
          </w:tcPr>
          <w:p w14:paraId="1EE478FD">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0</w:t>
            </w:r>
          </w:p>
        </w:tc>
        <w:tc>
          <w:tcPr>
            <w:tcW w:w="1590" w:type="dxa"/>
            <w:vAlign w:val="center"/>
          </w:tcPr>
          <w:p w14:paraId="2C32AE7B">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0.02</w:t>
            </w:r>
          </w:p>
        </w:tc>
        <w:tc>
          <w:tcPr>
            <w:tcW w:w="1796" w:type="dxa"/>
            <w:vAlign w:val="center"/>
          </w:tcPr>
          <w:p w14:paraId="34F7DD56">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0</w:t>
            </w:r>
          </w:p>
        </w:tc>
        <w:tc>
          <w:tcPr>
            <w:tcW w:w="1780" w:type="dxa"/>
            <w:vAlign w:val="center"/>
          </w:tcPr>
          <w:p w14:paraId="43100E2B">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0.02</w:t>
            </w:r>
          </w:p>
        </w:tc>
        <w:tc>
          <w:tcPr>
            <w:tcW w:w="1063" w:type="dxa"/>
            <w:vAlign w:val="center"/>
          </w:tcPr>
          <w:p w14:paraId="5DC1E4CD">
            <w:pPr>
              <w:widowControl/>
              <w:spacing w:line="240" w:lineRule="auto"/>
              <w:ind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0.02</w:t>
            </w:r>
          </w:p>
        </w:tc>
      </w:tr>
      <w:tr w14:paraId="1CB2E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77209FE4">
            <w:pPr>
              <w:pStyle w:val="75"/>
              <w:rPr>
                <w:color w:val="auto"/>
              </w:rPr>
            </w:pPr>
          </w:p>
        </w:tc>
        <w:tc>
          <w:tcPr>
            <w:tcW w:w="2024" w:type="dxa"/>
            <w:gridSpan w:val="2"/>
            <w:vAlign w:val="center"/>
          </w:tcPr>
          <w:p w14:paraId="2901FB68">
            <w:pPr>
              <w:widowControl/>
              <w:spacing w:line="240" w:lineRule="auto"/>
              <w:ind w:firstLine="0" w:firstLineChars="0"/>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废金属</w:t>
            </w:r>
          </w:p>
        </w:tc>
        <w:tc>
          <w:tcPr>
            <w:tcW w:w="1628" w:type="dxa"/>
            <w:vAlign w:val="center"/>
          </w:tcPr>
          <w:p w14:paraId="347850E3">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w:t>
            </w:r>
          </w:p>
        </w:tc>
        <w:tc>
          <w:tcPr>
            <w:tcW w:w="1301" w:type="dxa"/>
            <w:vAlign w:val="center"/>
          </w:tcPr>
          <w:p w14:paraId="517FB95E">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w:t>
            </w:r>
          </w:p>
        </w:tc>
        <w:tc>
          <w:tcPr>
            <w:tcW w:w="1732" w:type="dxa"/>
            <w:vAlign w:val="center"/>
          </w:tcPr>
          <w:p w14:paraId="5A3E1B92">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w:t>
            </w:r>
          </w:p>
        </w:tc>
        <w:tc>
          <w:tcPr>
            <w:tcW w:w="1590" w:type="dxa"/>
            <w:vAlign w:val="center"/>
          </w:tcPr>
          <w:p w14:paraId="598E6829">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0.05</w:t>
            </w:r>
          </w:p>
        </w:tc>
        <w:tc>
          <w:tcPr>
            <w:tcW w:w="1796" w:type="dxa"/>
            <w:vAlign w:val="center"/>
          </w:tcPr>
          <w:p w14:paraId="1BFC6E3E">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w:t>
            </w:r>
          </w:p>
        </w:tc>
        <w:tc>
          <w:tcPr>
            <w:tcW w:w="1780" w:type="dxa"/>
            <w:vAlign w:val="center"/>
          </w:tcPr>
          <w:p w14:paraId="13B703E5">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0.05</w:t>
            </w:r>
          </w:p>
        </w:tc>
        <w:tc>
          <w:tcPr>
            <w:tcW w:w="1063" w:type="dxa"/>
            <w:vAlign w:val="center"/>
          </w:tcPr>
          <w:p w14:paraId="724AFA63">
            <w:pPr>
              <w:widowControl/>
              <w:spacing w:line="240" w:lineRule="auto"/>
              <w:ind w:firstLine="0" w:firstLineChars="0"/>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0.05</w:t>
            </w:r>
          </w:p>
        </w:tc>
      </w:tr>
      <w:tr w14:paraId="34C0A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376307C3">
            <w:pPr>
              <w:pStyle w:val="75"/>
              <w:rPr>
                <w:color w:val="auto"/>
              </w:rPr>
            </w:pPr>
          </w:p>
        </w:tc>
        <w:tc>
          <w:tcPr>
            <w:tcW w:w="2024" w:type="dxa"/>
            <w:gridSpan w:val="2"/>
            <w:vAlign w:val="center"/>
          </w:tcPr>
          <w:p w14:paraId="6EF32BE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val="en-US" w:bidi="ar"/>
              </w:rPr>
            </w:pPr>
            <w:r>
              <w:rPr>
                <w:rFonts w:hint="eastAsia" w:ascii="Times New Roman" w:hAnsi="Times New Roman" w:eastAsia="宋体" w:cs="Times New Roman"/>
                <w:color w:val="auto"/>
                <w:kern w:val="0"/>
                <w:sz w:val="18"/>
                <w:szCs w:val="18"/>
                <w:lang w:val="en-US" w:eastAsia="zh-CN" w:bidi="ar"/>
              </w:rPr>
              <w:t>废钢瓶</w:t>
            </w:r>
          </w:p>
        </w:tc>
        <w:tc>
          <w:tcPr>
            <w:tcW w:w="1628" w:type="dxa"/>
            <w:vAlign w:val="center"/>
          </w:tcPr>
          <w:p w14:paraId="6ADE3A8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301" w:type="dxa"/>
            <w:vAlign w:val="center"/>
          </w:tcPr>
          <w:p w14:paraId="1CA14FD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520F801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6B6E206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w:t>
            </w:r>
            <w:r>
              <w:rPr>
                <w:rFonts w:hint="eastAsia" w:ascii="Times New Roman" w:hAnsi="Times New Roman" w:eastAsia="宋体" w:cs="Times New Roman"/>
                <w:color w:val="auto"/>
                <w:kern w:val="0"/>
                <w:sz w:val="18"/>
                <w:szCs w:val="18"/>
                <w:lang w:val="en-US" w:eastAsia="zh-CN" w:bidi="ar"/>
              </w:rPr>
              <w:t>05</w:t>
            </w:r>
          </w:p>
        </w:tc>
        <w:tc>
          <w:tcPr>
            <w:tcW w:w="1796" w:type="dxa"/>
            <w:vAlign w:val="center"/>
          </w:tcPr>
          <w:p w14:paraId="750B69E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3D81AFC6">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0.05</w:t>
            </w:r>
          </w:p>
        </w:tc>
        <w:tc>
          <w:tcPr>
            <w:tcW w:w="1063" w:type="dxa"/>
            <w:vAlign w:val="center"/>
          </w:tcPr>
          <w:p w14:paraId="230569F2">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w:t>
            </w:r>
            <w:r>
              <w:rPr>
                <w:rFonts w:hint="eastAsia" w:ascii="Times New Roman" w:hAnsi="Times New Roman" w:eastAsia="宋体" w:cs="Times New Roman"/>
                <w:color w:val="auto"/>
                <w:kern w:val="0"/>
                <w:sz w:val="18"/>
                <w:szCs w:val="18"/>
                <w:lang w:val="en-US" w:eastAsia="zh-CN" w:bidi="ar"/>
              </w:rPr>
              <w:t>05</w:t>
            </w:r>
          </w:p>
        </w:tc>
      </w:tr>
      <w:tr w14:paraId="588E4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restart"/>
            <w:vAlign w:val="center"/>
          </w:tcPr>
          <w:p w14:paraId="2845DC95">
            <w:pPr>
              <w:pStyle w:val="75"/>
              <w:rPr>
                <w:color w:val="auto"/>
              </w:rPr>
            </w:pPr>
            <w:r>
              <w:rPr>
                <w:color w:val="auto"/>
              </w:rPr>
              <w:t>危险废物</w:t>
            </w:r>
          </w:p>
        </w:tc>
        <w:tc>
          <w:tcPr>
            <w:tcW w:w="2024" w:type="dxa"/>
            <w:gridSpan w:val="2"/>
            <w:vAlign w:val="center"/>
          </w:tcPr>
          <w:p w14:paraId="1B2C0FC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过滤残渣</w:t>
            </w:r>
          </w:p>
        </w:tc>
        <w:tc>
          <w:tcPr>
            <w:tcW w:w="1628" w:type="dxa"/>
            <w:vAlign w:val="center"/>
          </w:tcPr>
          <w:p w14:paraId="0466225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86.162</w:t>
            </w:r>
          </w:p>
        </w:tc>
        <w:tc>
          <w:tcPr>
            <w:tcW w:w="1301" w:type="dxa"/>
            <w:vAlign w:val="center"/>
          </w:tcPr>
          <w:p w14:paraId="5D40C77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1930E1D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0355DFF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107E9453">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630CFC75">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86.162</w:t>
            </w:r>
          </w:p>
        </w:tc>
        <w:tc>
          <w:tcPr>
            <w:tcW w:w="1063" w:type="dxa"/>
            <w:vAlign w:val="center"/>
          </w:tcPr>
          <w:p w14:paraId="043DF936">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014EE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64F5A21D">
            <w:pPr>
              <w:pStyle w:val="75"/>
              <w:rPr>
                <w:color w:val="auto"/>
              </w:rPr>
            </w:pPr>
          </w:p>
        </w:tc>
        <w:tc>
          <w:tcPr>
            <w:tcW w:w="2024" w:type="dxa"/>
            <w:gridSpan w:val="2"/>
            <w:vAlign w:val="center"/>
          </w:tcPr>
          <w:p w14:paraId="3E5910B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废包装材料</w:t>
            </w:r>
          </w:p>
        </w:tc>
        <w:tc>
          <w:tcPr>
            <w:tcW w:w="1628" w:type="dxa"/>
            <w:vAlign w:val="center"/>
          </w:tcPr>
          <w:p w14:paraId="79E3490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10</w:t>
            </w:r>
          </w:p>
        </w:tc>
        <w:tc>
          <w:tcPr>
            <w:tcW w:w="1301" w:type="dxa"/>
            <w:vAlign w:val="center"/>
          </w:tcPr>
          <w:p w14:paraId="1F7621E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11FFA55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1775B45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19947C59">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707316C7">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10</w:t>
            </w:r>
          </w:p>
        </w:tc>
        <w:tc>
          <w:tcPr>
            <w:tcW w:w="1063" w:type="dxa"/>
            <w:vAlign w:val="center"/>
          </w:tcPr>
          <w:p w14:paraId="0A3DD632">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21EF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4" w:type="dxa"/>
            <w:vMerge w:val="continue"/>
            <w:vAlign w:val="center"/>
          </w:tcPr>
          <w:p w14:paraId="0AD70D6D">
            <w:pPr>
              <w:pStyle w:val="75"/>
              <w:rPr>
                <w:color w:val="auto"/>
              </w:rPr>
            </w:pPr>
          </w:p>
        </w:tc>
        <w:tc>
          <w:tcPr>
            <w:tcW w:w="2024" w:type="dxa"/>
            <w:gridSpan w:val="2"/>
            <w:vAlign w:val="center"/>
          </w:tcPr>
          <w:p w14:paraId="689D144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废清洗溶剂</w:t>
            </w:r>
          </w:p>
        </w:tc>
        <w:tc>
          <w:tcPr>
            <w:tcW w:w="1628" w:type="dxa"/>
            <w:vAlign w:val="center"/>
          </w:tcPr>
          <w:p w14:paraId="6ABF9CF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27.308</w:t>
            </w:r>
          </w:p>
        </w:tc>
        <w:tc>
          <w:tcPr>
            <w:tcW w:w="1301" w:type="dxa"/>
            <w:vAlign w:val="center"/>
          </w:tcPr>
          <w:p w14:paraId="75A530F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2966158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7F52D4F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7620064E">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73C2BA60">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27.308</w:t>
            </w:r>
          </w:p>
        </w:tc>
        <w:tc>
          <w:tcPr>
            <w:tcW w:w="1063" w:type="dxa"/>
            <w:vAlign w:val="center"/>
          </w:tcPr>
          <w:p w14:paraId="6374C1A9">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73C64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502D3BCB">
            <w:pPr>
              <w:pStyle w:val="75"/>
              <w:rPr>
                <w:color w:val="auto"/>
              </w:rPr>
            </w:pPr>
          </w:p>
        </w:tc>
        <w:tc>
          <w:tcPr>
            <w:tcW w:w="2024" w:type="dxa"/>
            <w:gridSpan w:val="2"/>
            <w:vAlign w:val="center"/>
          </w:tcPr>
          <w:p w14:paraId="23E05C5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废机油</w:t>
            </w:r>
          </w:p>
        </w:tc>
        <w:tc>
          <w:tcPr>
            <w:tcW w:w="1628" w:type="dxa"/>
            <w:vAlign w:val="center"/>
          </w:tcPr>
          <w:p w14:paraId="54B6208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0.5</w:t>
            </w:r>
          </w:p>
        </w:tc>
        <w:tc>
          <w:tcPr>
            <w:tcW w:w="1301" w:type="dxa"/>
            <w:vAlign w:val="center"/>
          </w:tcPr>
          <w:p w14:paraId="6E10A60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6690CF5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4A8AF85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12A39BC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2A14BDC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0.5</w:t>
            </w:r>
          </w:p>
        </w:tc>
        <w:tc>
          <w:tcPr>
            <w:tcW w:w="1063" w:type="dxa"/>
            <w:vAlign w:val="center"/>
          </w:tcPr>
          <w:p w14:paraId="31CFE47D">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BF4A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0F9B633F">
            <w:pPr>
              <w:pStyle w:val="75"/>
              <w:rPr>
                <w:color w:val="auto"/>
              </w:rPr>
            </w:pPr>
          </w:p>
        </w:tc>
        <w:tc>
          <w:tcPr>
            <w:tcW w:w="2024" w:type="dxa"/>
            <w:gridSpan w:val="2"/>
            <w:vAlign w:val="center"/>
          </w:tcPr>
          <w:p w14:paraId="73421A79">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冷凝废液</w:t>
            </w:r>
          </w:p>
        </w:tc>
        <w:tc>
          <w:tcPr>
            <w:tcW w:w="1628" w:type="dxa"/>
            <w:vAlign w:val="center"/>
          </w:tcPr>
          <w:p w14:paraId="7D9242D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1301.37</w:t>
            </w:r>
          </w:p>
        </w:tc>
        <w:tc>
          <w:tcPr>
            <w:tcW w:w="1301" w:type="dxa"/>
            <w:vAlign w:val="center"/>
          </w:tcPr>
          <w:p w14:paraId="583163B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11C77E9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48EBCB7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2C9B7FC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777CB1D4">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1301.37</w:t>
            </w:r>
          </w:p>
        </w:tc>
        <w:tc>
          <w:tcPr>
            <w:tcW w:w="1063" w:type="dxa"/>
            <w:vAlign w:val="center"/>
          </w:tcPr>
          <w:p w14:paraId="711C5385">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69665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06602C8C">
            <w:pPr>
              <w:pStyle w:val="75"/>
              <w:rPr>
                <w:color w:val="auto"/>
              </w:rPr>
            </w:pPr>
          </w:p>
        </w:tc>
        <w:tc>
          <w:tcPr>
            <w:tcW w:w="2024" w:type="dxa"/>
            <w:gridSpan w:val="2"/>
            <w:vAlign w:val="center"/>
          </w:tcPr>
          <w:p w14:paraId="113E31A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废布袋</w:t>
            </w:r>
          </w:p>
        </w:tc>
        <w:tc>
          <w:tcPr>
            <w:tcW w:w="1628" w:type="dxa"/>
            <w:vAlign w:val="center"/>
          </w:tcPr>
          <w:p w14:paraId="014803F8">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0.45</w:t>
            </w:r>
          </w:p>
        </w:tc>
        <w:tc>
          <w:tcPr>
            <w:tcW w:w="1301" w:type="dxa"/>
            <w:vAlign w:val="center"/>
          </w:tcPr>
          <w:p w14:paraId="22BC6EC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2C54EDC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707BAD1C">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2377D470">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706C5080">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0.45</w:t>
            </w:r>
          </w:p>
        </w:tc>
        <w:tc>
          <w:tcPr>
            <w:tcW w:w="1063" w:type="dxa"/>
            <w:vAlign w:val="center"/>
          </w:tcPr>
          <w:p w14:paraId="796CE4D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0BEF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097B61E5">
            <w:pPr>
              <w:pStyle w:val="75"/>
              <w:rPr>
                <w:color w:val="auto"/>
              </w:rPr>
            </w:pPr>
          </w:p>
        </w:tc>
        <w:tc>
          <w:tcPr>
            <w:tcW w:w="2024" w:type="dxa"/>
            <w:gridSpan w:val="2"/>
            <w:vAlign w:val="center"/>
          </w:tcPr>
          <w:p w14:paraId="6B14E69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废水处理污泥</w:t>
            </w:r>
          </w:p>
        </w:tc>
        <w:tc>
          <w:tcPr>
            <w:tcW w:w="1628" w:type="dxa"/>
            <w:vAlign w:val="center"/>
          </w:tcPr>
          <w:p w14:paraId="540B827F">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10</w:t>
            </w:r>
          </w:p>
        </w:tc>
        <w:tc>
          <w:tcPr>
            <w:tcW w:w="1301" w:type="dxa"/>
            <w:vAlign w:val="center"/>
          </w:tcPr>
          <w:p w14:paraId="7EEEE016">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5FD846C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1B69907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365EAD08">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334D67B9">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10</w:t>
            </w:r>
          </w:p>
        </w:tc>
        <w:tc>
          <w:tcPr>
            <w:tcW w:w="1063" w:type="dxa"/>
            <w:vAlign w:val="center"/>
          </w:tcPr>
          <w:p w14:paraId="29997226">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95A6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0C2CCAE7">
            <w:pPr>
              <w:pStyle w:val="75"/>
              <w:rPr>
                <w:color w:val="auto"/>
              </w:rPr>
            </w:pPr>
          </w:p>
        </w:tc>
        <w:tc>
          <w:tcPr>
            <w:tcW w:w="2024" w:type="dxa"/>
            <w:gridSpan w:val="2"/>
            <w:vAlign w:val="center"/>
          </w:tcPr>
          <w:p w14:paraId="0A031BB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废活性炭</w:t>
            </w:r>
          </w:p>
        </w:tc>
        <w:tc>
          <w:tcPr>
            <w:tcW w:w="1628" w:type="dxa"/>
            <w:vAlign w:val="center"/>
          </w:tcPr>
          <w:p w14:paraId="095FB8BD">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bidi="ar"/>
              </w:rPr>
              <w:t>390.18</w:t>
            </w:r>
          </w:p>
        </w:tc>
        <w:tc>
          <w:tcPr>
            <w:tcW w:w="1301" w:type="dxa"/>
            <w:vAlign w:val="center"/>
          </w:tcPr>
          <w:p w14:paraId="350C4E3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1B86B65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41D7D28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249BF88B">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7927540B">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390.18</w:t>
            </w:r>
          </w:p>
        </w:tc>
        <w:tc>
          <w:tcPr>
            <w:tcW w:w="1063" w:type="dxa"/>
            <w:vAlign w:val="center"/>
          </w:tcPr>
          <w:p w14:paraId="6113A2EF">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1BB3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0660D91A">
            <w:pPr>
              <w:pStyle w:val="75"/>
              <w:rPr>
                <w:color w:val="auto"/>
              </w:rPr>
            </w:pPr>
          </w:p>
        </w:tc>
        <w:tc>
          <w:tcPr>
            <w:tcW w:w="2024" w:type="dxa"/>
            <w:gridSpan w:val="2"/>
            <w:vAlign w:val="center"/>
          </w:tcPr>
          <w:p w14:paraId="0A56049B">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酸洗废液</w:t>
            </w:r>
          </w:p>
        </w:tc>
        <w:tc>
          <w:tcPr>
            <w:tcW w:w="1628" w:type="dxa"/>
            <w:vAlign w:val="center"/>
          </w:tcPr>
          <w:p w14:paraId="1284321E">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2</w:t>
            </w:r>
          </w:p>
        </w:tc>
        <w:tc>
          <w:tcPr>
            <w:tcW w:w="1301" w:type="dxa"/>
            <w:vAlign w:val="center"/>
          </w:tcPr>
          <w:p w14:paraId="3D9C3F54">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5CA2E53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322EFDF5">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420A3016">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48C2076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2</w:t>
            </w:r>
          </w:p>
        </w:tc>
        <w:tc>
          <w:tcPr>
            <w:tcW w:w="1063" w:type="dxa"/>
            <w:vAlign w:val="center"/>
          </w:tcPr>
          <w:p w14:paraId="16654E0A">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r w14:paraId="52AA3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4" w:type="dxa"/>
            <w:vMerge w:val="continue"/>
            <w:vAlign w:val="center"/>
          </w:tcPr>
          <w:p w14:paraId="3BC0B7E5">
            <w:pPr>
              <w:pStyle w:val="75"/>
              <w:rPr>
                <w:color w:val="auto"/>
              </w:rPr>
            </w:pPr>
          </w:p>
        </w:tc>
        <w:tc>
          <w:tcPr>
            <w:tcW w:w="2024" w:type="dxa"/>
            <w:gridSpan w:val="2"/>
            <w:vAlign w:val="center"/>
          </w:tcPr>
          <w:p w14:paraId="46BEC3C7">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碱洗废液</w:t>
            </w:r>
          </w:p>
        </w:tc>
        <w:tc>
          <w:tcPr>
            <w:tcW w:w="1628" w:type="dxa"/>
            <w:vAlign w:val="center"/>
          </w:tcPr>
          <w:p w14:paraId="562464BA">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bidi="ar"/>
              </w:rPr>
              <w:t>2</w:t>
            </w:r>
          </w:p>
        </w:tc>
        <w:tc>
          <w:tcPr>
            <w:tcW w:w="1301" w:type="dxa"/>
            <w:vAlign w:val="center"/>
          </w:tcPr>
          <w:p w14:paraId="08335E73">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32" w:type="dxa"/>
            <w:vAlign w:val="center"/>
          </w:tcPr>
          <w:p w14:paraId="354CD5E0">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590" w:type="dxa"/>
            <w:vAlign w:val="center"/>
          </w:tcPr>
          <w:p w14:paraId="01B63201">
            <w:pPr>
              <w:widowControl/>
              <w:spacing w:line="240" w:lineRule="auto"/>
              <w:ind w:firstLine="0" w:firstLineChars="0"/>
              <w:jc w:val="center"/>
              <w:textAlignment w:val="center"/>
              <w:rPr>
                <w:rFonts w:hint="eastAsia"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96" w:type="dxa"/>
            <w:vAlign w:val="center"/>
          </w:tcPr>
          <w:p w14:paraId="1FDB7AF6">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c>
          <w:tcPr>
            <w:tcW w:w="1780" w:type="dxa"/>
            <w:vAlign w:val="center"/>
          </w:tcPr>
          <w:p w14:paraId="03DAD0E4">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2</w:t>
            </w:r>
          </w:p>
        </w:tc>
        <w:tc>
          <w:tcPr>
            <w:tcW w:w="1063" w:type="dxa"/>
            <w:vAlign w:val="center"/>
          </w:tcPr>
          <w:p w14:paraId="6B152217">
            <w:pPr>
              <w:widowControl/>
              <w:spacing w:line="240" w:lineRule="auto"/>
              <w:ind w:firstLine="0" w:firstLineChars="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0</w:t>
            </w:r>
          </w:p>
        </w:tc>
      </w:tr>
    </w:tbl>
    <w:p w14:paraId="3039B2A2">
      <w:pPr>
        <w:ind w:firstLine="420"/>
        <w:rPr>
          <w:color w:val="auto"/>
        </w:rPr>
      </w:pPr>
      <w:r>
        <w:rPr>
          <w:color w:val="auto"/>
        </w:rPr>
        <w:t>注：</w:t>
      </w:r>
      <w:r>
        <w:rPr>
          <w:color w:val="auto"/>
        </w:rPr>
        <w:fldChar w:fldCharType="begin"/>
      </w:r>
      <w:r>
        <w:rPr>
          <w:color w:val="auto"/>
        </w:rPr>
        <w:instrText xml:space="preserve"> = 6 \* GB3 \* MERGEFORMAT </w:instrText>
      </w:r>
      <w:r>
        <w:rPr>
          <w:color w:val="auto"/>
        </w:rPr>
        <w:fldChar w:fldCharType="separate"/>
      </w:r>
      <w:r>
        <w:rPr>
          <w:rFonts w:hint="eastAsia"/>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rFonts w:hint="eastAsia"/>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rFonts w:hint="eastAsia"/>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rFonts w:hint="eastAsia"/>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rFonts w:hint="eastAsia"/>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rFonts w:hint="eastAsia"/>
          <w:color w:val="auto"/>
        </w:rPr>
        <w:t>⑦</w:t>
      </w:r>
      <w:r>
        <w:rPr>
          <w:color w:val="auto"/>
        </w:rPr>
        <w:fldChar w:fldCharType="end"/>
      </w:r>
      <w:r>
        <w:rPr>
          <w:color w:val="auto"/>
        </w:rPr>
        <w:t>=</w:t>
      </w:r>
      <w:r>
        <w:rPr>
          <w:color w:val="auto"/>
        </w:rPr>
        <w:fldChar w:fldCharType="begin"/>
      </w:r>
      <w:r>
        <w:rPr>
          <w:color w:val="auto"/>
        </w:rPr>
        <w:instrText xml:space="preserve"> = 6 \* GB3 \* MERGEFORMAT </w:instrText>
      </w:r>
      <w:r>
        <w:rPr>
          <w:color w:val="auto"/>
        </w:rPr>
        <w:fldChar w:fldCharType="separate"/>
      </w:r>
      <w:r>
        <w:rPr>
          <w:rFonts w:hint="eastAsia"/>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rFonts w:hint="eastAsia"/>
          <w:color w:val="auto"/>
        </w:rPr>
        <w:t>①</w:t>
      </w:r>
      <w:r>
        <w:rPr>
          <w:color w:val="auto"/>
        </w:rPr>
        <w:fldChar w:fldCharType="end"/>
      </w:r>
    </w:p>
    <w:p w14:paraId="183B5F40">
      <w:pPr>
        <w:ind w:firstLine="420"/>
        <w:rPr>
          <w:color w:val="auto"/>
        </w:rPr>
        <w:sectPr>
          <w:footerReference r:id="rId13" w:type="default"/>
          <w:pgSz w:w="16838" w:h="11906" w:orient="landscape"/>
          <w:pgMar w:top="1418" w:right="1418" w:bottom="1418" w:left="1418" w:header="851" w:footer="851" w:gutter="284"/>
          <w:pgBorders>
            <w:top w:val="none" w:sz="0" w:space="0"/>
            <w:left w:val="none" w:sz="0" w:space="0"/>
            <w:bottom w:val="none" w:sz="0" w:space="0"/>
            <w:right w:val="none" w:sz="0" w:space="0"/>
          </w:pgBorders>
          <w:cols w:space="720" w:num="1"/>
          <w:docGrid w:linePitch="312" w:charSpace="0"/>
        </w:sectPr>
      </w:pPr>
    </w:p>
    <w:p w14:paraId="19F26360">
      <w:pPr>
        <w:ind w:firstLine="420"/>
        <w:rPr>
          <w:color w:val="auto"/>
        </w:rPr>
      </w:pPr>
      <w:r>
        <w:rPr>
          <w:color w:val="auto"/>
        </w:rPr>
        <w:t>附件、附图：</w:t>
      </w:r>
    </w:p>
    <w:p w14:paraId="15E3EFF0">
      <w:pPr>
        <w:ind w:firstLine="420"/>
        <w:rPr>
          <w:color w:val="auto"/>
        </w:rPr>
      </w:pPr>
    </w:p>
    <w:p w14:paraId="3087670B">
      <w:pPr>
        <w:ind w:firstLine="420"/>
        <w:rPr>
          <w:color w:val="auto"/>
        </w:rPr>
      </w:pPr>
      <w:r>
        <w:rPr>
          <w:color w:val="auto"/>
        </w:rPr>
        <w:t>附件一备案证</w:t>
      </w:r>
    </w:p>
    <w:p w14:paraId="5588DFE5">
      <w:pPr>
        <w:ind w:firstLine="420"/>
        <w:rPr>
          <w:color w:val="auto"/>
        </w:rPr>
      </w:pPr>
      <w:r>
        <w:rPr>
          <w:rFonts w:hint="eastAsia"/>
          <w:color w:val="auto"/>
        </w:rPr>
        <w:t>附件二营业执照</w:t>
      </w:r>
    </w:p>
    <w:p w14:paraId="7F02384B">
      <w:pPr>
        <w:ind w:firstLine="420"/>
        <w:rPr>
          <w:rFonts w:hint="eastAsia" w:eastAsia="宋体"/>
          <w:color w:val="auto"/>
          <w:lang w:eastAsia="zh-CN"/>
        </w:rPr>
      </w:pPr>
      <w:r>
        <w:rPr>
          <w:color w:val="auto"/>
        </w:rPr>
        <w:t>附件</w:t>
      </w:r>
      <w:r>
        <w:rPr>
          <w:rFonts w:hint="eastAsia"/>
          <w:color w:val="auto"/>
        </w:rPr>
        <w:t>三</w:t>
      </w:r>
      <w:r>
        <w:rPr>
          <w:rFonts w:hint="eastAsia"/>
          <w:color w:val="auto"/>
          <w:lang w:val="en-US" w:eastAsia="zh-CN"/>
        </w:rPr>
        <w:t>土地证</w:t>
      </w:r>
    </w:p>
    <w:p w14:paraId="19A02D69">
      <w:pPr>
        <w:ind w:firstLine="420"/>
        <w:rPr>
          <w:color w:val="auto"/>
        </w:rPr>
      </w:pPr>
      <w:r>
        <w:rPr>
          <w:color w:val="auto"/>
        </w:rPr>
        <w:t>附件</w:t>
      </w:r>
      <w:r>
        <w:rPr>
          <w:rFonts w:hint="eastAsia"/>
          <w:color w:val="auto"/>
        </w:rPr>
        <w:t>四现有项目批复</w:t>
      </w:r>
    </w:p>
    <w:p w14:paraId="4CCC4E19">
      <w:pPr>
        <w:ind w:firstLine="420"/>
        <w:rPr>
          <w:rFonts w:hint="eastAsia"/>
          <w:color w:val="auto"/>
        </w:rPr>
      </w:pPr>
      <w:r>
        <w:rPr>
          <w:color w:val="auto"/>
        </w:rPr>
        <w:t>附件</w:t>
      </w:r>
      <w:r>
        <w:rPr>
          <w:rFonts w:hint="eastAsia"/>
          <w:color w:val="auto"/>
        </w:rPr>
        <w:t>五排污许可证</w:t>
      </w:r>
    </w:p>
    <w:p w14:paraId="26B1B622">
      <w:pPr>
        <w:ind w:firstLine="420"/>
        <w:rPr>
          <w:rFonts w:hint="eastAsia"/>
          <w:color w:val="auto"/>
        </w:rPr>
      </w:pPr>
      <w:r>
        <w:rPr>
          <w:color w:val="auto"/>
        </w:rPr>
        <w:t>附件</w:t>
      </w:r>
      <w:r>
        <w:rPr>
          <w:rFonts w:hint="eastAsia"/>
          <w:color w:val="auto"/>
        </w:rPr>
        <w:t>六现有项目验收意见</w:t>
      </w:r>
    </w:p>
    <w:p w14:paraId="0753B38F">
      <w:pPr>
        <w:ind w:firstLine="420"/>
        <w:rPr>
          <w:color w:val="auto"/>
        </w:rPr>
      </w:pPr>
      <w:r>
        <w:rPr>
          <w:color w:val="auto"/>
        </w:rPr>
        <w:t>附件</w:t>
      </w:r>
      <w:r>
        <w:rPr>
          <w:rFonts w:hint="eastAsia"/>
          <w:color w:val="auto"/>
          <w:lang w:val="en-US" w:eastAsia="zh-CN"/>
        </w:rPr>
        <w:t>七</w:t>
      </w:r>
      <w:r>
        <w:rPr>
          <w:rFonts w:hint="eastAsia"/>
          <w:color w:val="auto"/>
        </w:rPr>
        <w:t>规划环评批复</w:t>
      </w:r>
    </w:p>
    <w:p w14:paraId="41D64ACF">
      <w:pPr>
        <w:ind w:firstLine="420"/>
        <w:rPr>
          <w:color w:val="auto"/>
        </w:rPr>
      </w:pPr>
    </w:p>
    <w:p w14:paraId="4C1F76E4">
      <w:pPr>
        <w:ind w:firstLine="420"/>
        <w:rPr>
          <w:color w:val="auto"/>
        </w:rPr>
      </w:pPr>
      <w:r>
        <w:rPr>
          <w:color w:val="auto"/>
        </w:rPr>
        <w:t>附图一项目地理位置图</w:t>
      </w:r>
    </w:p>
    <w:p w14:paraId="6E20ED14">
      <w:pPr>
        <w:ind w:firstLine="420"/>
        <w:rPr>
          <w:color w:val="auto"/>
        </w:rPr>
      </w:pPr>
      <w:r>
        <w:rPr>
          <w:color w:val="auto"/>
        </w:rPr>
        <w:t>附图二项目周边500m环境概况图</w:t>
      </w:r>
    </w:p>
    <w:p w14:paraId="003419D2">
      <w:pPr>
        <w:ind w:firstLine="420"/>
        <w:rPr>
          <w:color w:val="auto"/>
        </w:rPr>
      </w:pPr>
      <w:r>
        <w:rPr>
          <w:color w:val="auto"/>
        </w:rPr>
        <w:t>附图三项目平面布置图</w:t>
      </w:r>
    </w:p>
    <w:p w14:paraId="69CF4303">
      <w:pPr>
        <w:ind w:firstLine="420"/>
        <w:rPr>
          <w:color w:val="auto"/>
        </w:rPr>
      </w:pPr>
      <w:bookmarkStart w:id="22" w:name="_Hlk89244202"/>
      <w:r>
        <w:rPr>
          <w:color w:val="auto"/>
        </w:rPr>
        <w:t>附图四</w:t>
      </w:r>
      <w:bookmarkEnd w:id="22"/>
      <w:r>
        <w:rPr>
          <w:rFonts w:hint="eastAsia"/>
          <w:color w:val="auto"/>
        </w:rPr>
        <w:t>项目</w:t>
      </w:r>
      <w:r>
        <w:rPr>
          <w:rFonts w:hint="eastAsia"/>
          <w:color w:val="auto"/>
          <w:lang w:val="en-US" w:eastAsia="zh-CN"/>
        </w:rPr>
        <w:t>所在地用地性质规划</w:t>
      </w:r>
      <w:r>
        <w:rPr>
          <w:rFonts w:hint="eastAsia"/>
          <w:color w:val="auto"/>
        </w:rPr>
        <w:t>图</w:t>
      </w:r>
    </w:p>
    <w:p w14:paraId="175E3B29">
      <w:pPr>
        <w:ind w:firstLine="420"/>
        <w:rPr>
          <w:color w:val="auto"/>
        </w:rPr>
      </w:pPr>
      <w:r>
        <w:rPr>
          <w:color w:val="auto"/>
        </w:rPr>
        <w:t>附图</w:t>
      </w:r>
      <w:r>
        <w:rPr>
          <w:rFonts w:hint="eastAsia"/>
          <w:color w:val="auto"/>
          <w:lang w:val="en-US" w:eastAsia="zh-CN"/>
        </w:rPr>
        <w:t>五</w:t>
      </w:r>
      <w:r>
        <w:rPr>
          <w:rFonts w:hint="eastAsia"/>
          <w:color w:val="auto"/>
        </w:rPr>
        <w:t>项目与南通市主城区声环境功能区划分图位置关系图</w:t>
      </w:r>
    </w:p>
    <w:p w14:paraId="22FCD7B2">
      <w:pPr>
        <w:ind w:firstLine="420"/>
        <w:rPr>
          <w:color w:val="auto"/>
        </w:rPr>
      </w:pPr>
      <w:r>
        <w:rPr>
          <w:color w:val="auto"/>
        </w:rPr>
        <w:t>附图</w:t>
      </w:r>
      <w:r>
        <w:rPr>
          <w:rFonts w:hint="eastAsia"/>
          <w:color w:val="auto"/>
          <w:lang w:val="en-US" w:eastAsia="zh-CN"/>
        </w:rPr>
        <w:t>六生态空间保护区域分布图</w:t>
      </w:r>
    </w:p>
    <w:bookmarkEnd w:id="23"/>
    <w:sectPr>
      <w:footerReference r:id="rId14" w:type="default"/>
      <w:pgSz w:w="11906" w:h="16838"/>
      <w:pgMar w:top="1418" w:right="1418" w:bottom="1418" w:left="1418" w:header="851" w:footer="850" w:gutter="284"/>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01A886E-8149-4F6E-A891-6D6C39498FBE}"/>
  </w:font>
  <w:font w:name="黑体">
    <w:panose1 w:val="02010609060101010101"/>
    <w:charset w:val="86"/>
    <w:family w:val="auto"/>
    <w:pitch w:val="default"/>
    <w:sig w:usb0="800002BF" w:usb1="38CF7CFA" w:usb2="00000016" w:usb3="00000000" w:csb0="00040001" w:csb1="00000000"/>
    <w:embedRegular r:id="rId2" w:fontKey="{92E5DDE7-8F69-4279-A209-D41CEF8DEB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3" w:fontKey="{885C5742-F86B-4B96-8CF7-3AFB10D64491}"/>
  </w:font>
  <w:font w:name="仿宋_GB2312">
    <w:panose1 w:val="02010609030101010101"/>
    <w:charset w:val="86"/>
    <w:family w:val="modern"/>
    <w:pitch w:val="default"/>
    <w:sig w:usb0="00000001" w:usb1="080E0000" w:usb2="00000000" w:usb3="00000000" w:csb0="00040000" w:csb1="00000000"/>
    <w:embedRegular r:id="rId4" w:fontKey="{07B14899-FF33-4842-85BC-0AC5FF86F3B7}"/>
  </w:font>
  <w:font w:name="Arial Black">
    <w:panose1 w:val="020B0A04020102020204"/>
    <w:charset w:val="00"/>
    <w:family w:val="swiss"/>
    <w:pitch w:val="default"/>
    <w:sig w:usb0="A00002AF" w:usb1="400078FB" w:usb2="00000000" w:usb3="00000000" w:csb0="6000009F" w:csb1="DFD7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5" w:fontKey="{BAC63227-76B1-48B8-B34B-CDE83AE660AA}"/>
  </w:font>
  <w:font w:name="微软雅黑">
    <w:panose1 w:val="020B0503020204020204"/>
    <w:charset w:val="86"/>
    <w:family w:val="swiss"/>
    <w:pitch w:val="default"/>
    <w:sig w:usb0="80000287" w:usb1="2ACF3C50" w:usb2="00000016" w:usb3="00000000" w:csb0="0004001F" w:csb1="00000000"/>
    <w:embedRegular r:id="rId6" w:fontKey="{286D3C63-F227-4317-9EF5-FD57E647B688}"/>
  </w:font>
  <w:font w:name="方正小标宋_GBK">
    <w:panose1 w:val="03000509000000000000"/>
    <w:charset w:val="86"/>
    <w:family w:val="script"/>
    <w:pitch w:val="default"/>
    <w:sig w:usb0="00000001" w:usb1="080E0000" w:usb2="00000000" w:usb3="00000000" w:csb0="00040000" w:csb1="00000000"/>
    <w:embedRegular r:id="rId7" w:fontKey="{8B76C866-C007-409C-B593-333EAEF28922}"/>
  </w:font>
  <w:font w:name="楷体_GB2312">
    <w:panose1 w:val="02010609030101010101"/>
    <w:charset w:val="86"/>
    <w:family w:val="modern"/>
    <w:pitch w:val="default"/>
    <w:sig w:usb0="00000001" w:usb1="080E0000" w:usb2="00000000" w:usb3="00000000" w:csb0="00040000" w:csb1="00000000"/>
    <w:embedRegular r:id="rId8" w:fontKey="{9DEF6651-9D77-405D-91F8-7A600B2550F5}"/>
  </w:font>
  <w:font w:name="楷体">
    <w:panose1 w:val="02010609060101010101"/>
    <w:charset w:val="86"/>
    <w:family w:val="modern"/>
    <w:pitch w:val="default"/>
    <w:sig w:usb0="800002BF" w:usb1="38CF7CFA" w:usb2="00000016" w:usb3="00000000" w:csb0="00040001" w:csb1="00000000"/>
    <w:embedRegular r:id="rId9" w:fontKey="{F6D7CD56-04C6-4C6E-978E-C03DF871A2D6}"/>
  </w:font>
  <w:font w:name="新宋体">
    <w:panose1 w:val="02010609030101010101"/>
    <w:charset w:val="86"/>
    <w:family w:val="auto"/>
    <w:pitch w:val="default"/>
    <w:sig w:usb0="00000203" w:usb1="288F0000" w:usb2="00000006" w:usb3="00000000" w:csb0="00040001" w:csb1="00000000"/>
    <w:embedRegular r:id="rId10" w:fontKey="{87D0F052-A982-4FF8-8F20-31B3BBB685EC}"/>
  </w:font>
  <w:font w:name="Segoe UI">
    <w:panose1 w:val="020B0502040204020203"/>
    <w:charset w:val="00"/>
    <w:family w:val="auto"/>
    <w:pitch w:val="default"/>
    <w:sig w:usb0="E4002EFF" w:usb1="C000E47F" w:usb2="00000009" w:usb3="00000000" w:csb0="200001FF" w:csb1="00000000"/>
    <w:embedRegular r:id="rId11" w:fontKey="{2CBA9766-DE83-4E73-B455-65694F0DDE8A}"/>
  </w:font>
  <w:font w:name="宋体_x0011_....">
    <w:altName w:val="宋体"/>
    <w:panose1 w:val="00000000000000000000"/>
    <w:charset w:val="86"/>
    <w:family w:val="roman"/>
    <w:pitch w:val="default"/>
    <w:sig w:usb0="00000000" w:usb1="00000000" w:usb2="00000000" w:usb3="00000000" w:csb0="00040000" w:csb1="00000000"/>
    <w:embedRegular r:id="rId12" w:fontKey="{88137444-2D92-4AF8-B59D-9947742D70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EBA75">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C3BE2">
    <w:pPr>
      <w:pStyle w:val="21"/>
      <w:rPr>
        <w:rStyle w:val="34"/>
      </w:rPr>
    </w:pPr>
    <w:r>
      <w:fldChar w:fldCharType="begin"/>
    </w:r>
    <w:r>
      <w:rPr>
        <w:rStyle w:val="34"/>
      </w:rPr>
      <w:instrText xml:space="preserve">PAGE  </w:instrText>
    </w:r>
    <w:r>
      <w:fldChar w:fldCharType="separate"/>
    </w:r>
    <w:r>
      <w:rPr>
        <w:rStyle w:val="34"/>
      </w:rPr>
      <w:t>60</w:t>
    </w:r>
    <w:r>
      <w:fldChar w:fldCharType="end"/>
    </w:r>
  </w:p>
  <w:p w14:paraId="28C22CDD">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F5C07">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6521546"/>
    </w:sdtPr>
    <w:sdtContent>
      <w:p w14:paraId="01A22F2C">
        <w:pPr>
          <w:pStyle w:val="21"/>
        </w:pPr>
        <w:r>
          <w:fldChar w:fldCharType="begin"/>
        </w:r>
        <w:r>
          <w:instrText xml:space="preserve">PAGE   \* MERGEFORMAT</w:instrText>
        </w:r>
        <w:r>
          <w:fldChar w:fldCharType="separate"/>
        </w:r>
        <w:r>
          <w:rPr>
            <w:lang w:val="zh-CN"/>
          </w:rPr>
          <w:t>1</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7843312"/>
    </w:sdtPr>
    <w:sdtContent>
      <w:p w14:paraId="6682ED10">
        <w:pPr>
          <w:pStyle w:val="21"/>
        </w:pPr>
        <w:r>
          <w:fldChar w:fldCharType="begin"/>
        </w:r>
        <w:r>
          <w:instrText xml:space="preserve">PAGE   \* MERGEFORMAT</w:instrText>
        </w:r>
        <w:r>
          <w:fldChar w:fldCharType="separate"/>
        </w:r>
        <w:r>
          <w:rPr>
            <w:lang w:val="zh-CN"/>
          </w:rPr>
          <w:t>70</w:t>
        </w:r>
        <w:r>
          <w:rPr>
            <w:lang w:val="zh-C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902717"/>
    </w:sdtPr>
    <w:sdtContent>
      <w:p w14:paraId="2C86C811">
        <w:pPr>
          <w:pStyle w:val="21"/>
        </w:pPr>
        <w:r>
          <w:fldChar w:fldCharType="begin"/>
        </w:r>
        <w:r>
          <w:instrText xml:space="preserve">PAGE   \* MERGEFORMAT</w:instrText>
        </w:r>
        <w:r>
          <w:fldChar w:fldCharType="separate"/>
        </w:r>
        <w:r>
          <w:rPr>
            <w:lang w:val="zh-CN"/>
          </w:rPr>
          <w:t>72</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B7BD6">
    <w:pPr>
      <w:pStyle w:val="21"/>
    </w:pPr>
    <w:r>
      <w:fldChar w:fldCharType="begin"/>
    </w:r>
    <w:r>
      <w:instrText xml:space="preserve">PAGE   \* MERGEFORMAT</w:instrText>
    </w:r>
    <w:r>
      <w:fldChar w:fldCharType="separate"/>
    </w:r>
    <w:r>
      <w:rPr>
        <w:lang w:val="zh-CN"/>
      </w:rPr>
      <w:t>73</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DE06">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2FADC">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386AC">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FD6C7A"/>
    <w:multiLevelType w:val="singleLevel"/>
    <w:tmpl w:val="98FD6C7A"/>
    <w:lvl w:ilvl="0" w:tentative="0">
      <w:start w:val="2"/>
      <w:numFmt w:val="decimal"/>
      <w:pStyle w:val="160"/>
      <w:suff w:val="nothing"/>
      <w:lvlText w:val="（%1）"/>
      <w:lvlJc w:val="left"/>
    </w:lvl>
  </w:abstractNum>
  <w:abstractNum w:abstractNumId="1">
    <w:nsid w:val="B110F7D6"/>
    <w:multiLevelType w:val="singleLevel"/>
    <w:tmpl w:val="B110F7D6"/>
    <w:lvl w:ilvl="0" w:tentative="0">
      <w:start w:val="3"/>
      <w:numFmt w:val="decimal"/>
      <w:suff w:val="nothing"/>
      <w:lvlText w:val="（%1）"/>
      <w:lvlJc w:val="left"/>
    </w:lvl>
  </w:abstractNum>
  <w:abstractNum w:abstractNumId="2">
    <w:nsid w:val="C0F14CC4"/>
    <w:multiLevelType w:val="singleLevel"/>
    <w:tmpl w:val="C0F14CC4"/>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kYWI5MzczYzE4NDRiYTA2NDM0ZDgyZmU4NmJkMTIifQ=="/>
  </w:docVars>
  <w:rsids>
    <w:rsidRoot w:val="00172A27"/>
    <w:rsid w:val="000018DF"/>
    <w:rsid w:val="00022F84"/>
    <w:rsid w:val="00031F49"/>
    <w:rsid w:val="000434C4"/>
    <w:rsid w:val="000508C8"/>
    <w:rsid w:val="00053321"/>
    <w:rsid w:val="00053DB7"/>
    <w:rsid w:val="0006110B"/>
    <w:rsid w:val="000663E6"/>
    <w:rsid w:val="0008073D"/>
    <w:rsid w:val="00092E8B"/>
    <w:rsid w:val="000963E6"/>
    <w:rsid w:val="000A001B"/>
    <w:rsid w:val="000B1F43"/>
    <w:rsid w:val="000C7792"/>
    <w:rsid w:val="000E1E06"/>
    <w:rsid w:val="000E2ED0"/>
    <w:rsid w:val="000F43E6"/>
    <w:rsid w:val="00105E8B"/>
    <w:rsid w:val="0011512F"/>
    <w:rsid w:val="0013118E"/>
    <w:rsid w:val="0013641A"/>
    <w:rsid w:val="00137642"/>
    <w:rsid w:val="0014038D"/>
    <w:rsid w:val="001460ED"/>
    <w:rsid w:val="001554A3"/>
    <w:rsid w:val="0016085C"/>
    <w:rsid w:val="00161CEB"/>
    <w:rsid w:val="00172A27"/>
    <w:rsid w:val="00176E73"/>
    <w:rsid w:val="00192AD3"/>
    <w:rsid w:val="00197DA5"/>
    <w:rsid w:val="001A2ED0"/>
    <w:rsid w:val="001B34B4"/>
    <w:rsid w:val="001C7C76"/>
    <w:rsid w:val="001D2DA5"/>
    <w:rsid w:val="001E531F"/>
    <w:rsid w:val="001E5ABE"/>
    <w:rsid w:val="001E6587"/>
    <w:rsid w:val="001E75DA"/>
    <w:rsid w:val="001F461A"/>
    <w:rsid w:val="001F5520"/>
    <w:rsid w:val="001F68F5"/>
    <w:rsid w:val="002014A5"/>
    <w:rsid w:val="00212142"/>
    <w:rsid w:val="00214AD5"/>
    <w:rsid w:val="0024216B"/>
    <w:rsid w:val="0024258C"/>
    <w:rsid w:val="0026107C"/>
    <w:rsid w:val="002818E5"/>
    <w:rsid w:val="00281F6B"/>
    <w:rsid w:val="00287397"/>
    <w:rsid w:val="002A2379"/>
    <w:rsid w:val="002C1DCA"/>
    <w:rsid w:val="002C29D9"/>
    <w:rsid w:val="002C746B"/>
    <w:rsid w:val="002D1778"/>
    <w:rsid w:val="002D5DEF"/>
    <w:rsid w:val="002E2DCC"/>
    <w:rsid w:val="002E6D4D"/>
    <w:rsid w:val="00301A75"/>
    <w:rsid w:val="00326EF7"/>
    <w:rsid w:val="00327898"/>
    <w:rsid w:val="00331B13"/>
    <w:rsid w:val="00334573"/>
    <w:rsid w:val="00335F51"/>
    <w:rsid w:val="00353886"/>
    <w:rsid w:val="003821A2"/>
    <w:rsid w:val="00384F85"/>
    <w:rsid w:val="003932C5"/>
    <w:rsid w:val="003A4053"/>
    <w:rsid w:val="003B0242"/>
    <w:rsid w:val="003C4606"/>
    <w:rsid w:val="003D4314"/>
    <w:rsid w:val="003F1626"/>
    <w:rsid w:val="003F70B9"/>
    <w:rsid w:val="003F7F2C"/>
    <w:rsid w:val="004120E4"/>
    <w:rsid w:val="004175A4"/>
    <w:rsid w:val="00423939"/>
    <w:rsid w:val="00436A67"/>
    <w:rsid w:val="00453839"/>
    <w:rsid w:val="00462140"/>
    <w:rsid w:val="004661A8"/>
    <w:rsid w:val="0047726E"/>
    <w:rsid w:val="00493184"/>
    <w:rsid w:val="004933CF"/>
    <w:rsid w:val="0049541F"/>
    <w:rsid w:val="004A1758"/>
    <w:rsid w:val="004A5ED4"/>
    <w:rsid w:val="004B0ED7"/>
    <w:rsid w:val="004B5ACE"/>
    <w:rsid w:val="004C1FEE"/>
    <w:rsid w:val="004C318C"/>
    <w:rsid w:val="004D33DB"/>
    <w:rsid w:val="004D3B21"/>
    <w:rsid w:val="005214D9"/>
    <w:rsid w:val="00530DCB"/>
    <w:rsid w:val="005461DE"/>
    <w:rsid w:val="00567211"/>
    <w:rsid w:val="005734C6"/>
    <w:rsid w:val="005A1446"/>
    <w:rsid w:val="005A2EC4"/>
    <w:rsid w:val="005A683C"/>
    <w:rsid w:val="005C2042"/>
    <w:rsid w:val="005C4D2E"/>
    <w:rsid w:val="005C71E4"/>
    <w:rsid w:val="005D2854"/>
    <w:rsid w:val="005D60ED"/>
    <w:rsid w:val="005D6495"/>
    <w:rsid w:val="00602EF9"/>
    <w:rsid w:val="006036AE"/>
    <w:rsid w:val="00613CAB"/>
    <w:rsid w:val="00620B78"/>
    <w:rsid w:val="00632484"/>
    <w:rsid w:val="00633F02"/>
    <w:rsid w:val="00634EA9"/>
    <w:rsid w:val="00643276"/>
    <w:rsid w:val="00667D62"/>
    <w:rsid w:val="00687B95"/>
    <w:rsid w:val="00694053"/>
    <w:rsid w:val="0069581C"/>
    <w:rsid w:val="006B7503"/>
    <w:rsid w:val="006C2591"/>
    <w:rsid w:val="006D0513"/>
    <w:rsid w:val="006D0BB0"/>
    <w:rsid w:val="006D178C"/>
    <w:rsid w:val="006D6E94"/>
    <w:rsid w:val="006D6F3B"/>
    <w:rsid w:val="006E46B9"/>
    <w:rsid w:val="006E71B2"/>
    <w:rsid w:val="006E7377"/>
    <w:rsid w:val="006F2FFD"/>
    <w:rsid w:val="007000A3"/>
    <w:rsid w:val="00701A51"/>
    <w:rsid w:val="00726D53"/>
    <w:rsid w:val="00743608"/>
    <w:rsid w:val="00754AAA"/>
    <w:rsid w:val="007570FF"/>
    <w:rsid w:val="007654E4"/>
    <w:rsid w:val="00774259"/>
    <w:rsid w:val="00776390"/>
    <w:rsid w:val="00780890"/>
    <w:rsid w:val="00793126"/>
    <w:rsid w:val="007A3903"/>
    <w:rsid w:val="007E60AC"/>
    <w:rsid w:val="007F2203"/>
    <w:rsid w:val="00800136"/>
    <w:rsid w:val="00807E75"/>
    <w:rsid w:val="00830672"/>
    <w:rsid w:val="00834C29"/>
    <w:rsid w:val="00836984"/>
    <w:rsid w:val="00850268"/>
    <w:rsid w:val="008548C2"/>
    <w:rsid w:val="008609E7"/>
    <w:rsid w:val="008764CB"/>
    <w:rsid w:val="00884940"/>
    <w:rsid w:val="00886449"/>
    <w:rsid w:val="00893D24"/>
    <w:rsid w:val="008C13A1"/>
    <w:rsid w:val="008D05BB"/>
    <w:rsid w:val="008D46AC"/>
    <w:rsid w:val="008E4237"/>
    <w:rsid w:val="008E5476"/>
    <w:rsid w:val="008F7D8A"/>
    <w:rsid w:val="00902FA7"/>
    <w:rsid w:val="00934242"/>
    <w:rsid w:val="009365AA"/>
    <w:rsid w:val="00957714"/>
    <w:rsid w:val="009579BD"/>
    <w:rsid w:val="00961F3C"/>
    <w:rsid w:val="00981003"/>
    <w:rsid w:val="00991391"/>
    <w:rsid w:val="009929B2"/>
    <w:rsid w:val="009D72F6"/>
    <w:rsid w:val="00A0192B"/>
    <w:rsid w:val="00A0260E"/>
    <w:rsid w:val="00A104AE"/>
    <w:rsid w:val="00A10D05"/>
    <w:rsid w:val="00A11AD6"/>
    <w:rsid w:val="00A31F72"/>
    <w:rsid w:val="00A32176"/>
    <w:rsid w:val="00A4755B"/>
    <w:rsid w:val="00A5256D"/>
    <w:rsid w:val="00A56BDE"/>
    <w:rsid w:val="00A714D9"/>
    <w:rsid w:val="00A83F2A"/>
    <w:rsid w:val="00A92CDB"/>
    <w:rsid w:val="00AB5A25"/>
    <w:rsid w:val="00AB5B52"/>
    <w:rsid w:val="00AB7B4A"/>
    <w:rsid w:val="00AD0148"/>
    <w:rsid w:val="00AD04FA"/>
    <w:rsid w:val="00AD172D"/>
    <w:rsid w:val="00AD227F"/>
    <w:rsid w:val="00AD63DE"/>
    <w:rsid w:val="00AE0545"/>
    <w:rsid w:val="00AE6235"/>
    <w:rsid w:val="00B03999"/>
    <w:rsid w:val="00B0507A"/>
    <w:rsid w:val="00B146D3"/>
    <w:rsid w:val="00B21CA7"/>
    <w:rsid w:val="00B250D1"/>
    <w:rsid w:val="00B32260"/>
    <w:rsid w:val="00B33768"/>
    <w:rsid w:val="00B37757"/>
    <w:rsid w:val="00B4338C"/>
    <w:rsid w:val="00B45FAF"/>
    <w:rsid w:val="00B6000B"/>
    <w:rsid w:val="00B632B8"/>
    <w:rsid w:val="00B64D8D"/>
    <w:rsid w:val="00B74EE8"/>
    <w:rsid w:val="00B82FFA"/>
    <w:rsid w:val="00B86D8F"/>
    <w:rsid w:val="00B963E2"/>
    <w:rsid w:val="00BA1E43"/>
    <w:rsid w:val="00BA47A7"/>
    <w:rsid w:val="00BC50D3"/>
    <w:rsid w:val="00BD062A"/>
    <w:rsid w:val="00BE262C"/>
    <w:rsid w:val="00C014EB"/>
    <w:rsid w:val="00C10B46"/>
    <w:rsid w:val="00C32A73"/>
    <w:rsid w:val="00C462B3"/>
    <w:rsid w:val="00C60DC0"/>
    <w:rsid w:val="00C702A2"/>
    <w:rsid w:val="00C82F93"/>
    <w:rsid w:val="00CA3E11"/>
    <w:rsid w:val="00CC4239"/>
    <w:rsid w:val="00CD68CB"/>
    <w:rsid w:val="00CE2725"/>
    <w:rsid w:val="00D1443D"/>
    <w:rsid w:val="00D1473C"/>
    <w:rsid w:val="00D27219"/>
    <w:rsid w:val="00D56FFC"/>
    <w:rsid w:val="00D71B52"/>
    <w:rsid w:val="00D91E2A"/>
    <w:rsid w:val="00DA1AE9"/>
    <w:rsid w:val="00DB604D"/>
    <w:rsid w:val="00DD4E90"/>
    <w:rsid w:val="00DE2138"/>
    <w:rsid w:val="00DE35A9"/>
    <w:rsid w:val="00DE4609"/>
    <w:rsid w:val="00DE6610"/>
    <w:rsid w:val="00DF3269"/>
    <w:rsid w:val="00E013B5"/>
    <w:rsid w:val="00E115E1"/>
    <w:rsid w:val="00E11672"/>
    <w:rsid w:val="00E15038"/>
    <w:rsid w:val="00E201A2"/>
    <w:rsid w:val="00E47C0B"/>
    <w:rsid w:val="00E52741"/>
    <w:rsid w:val="00E646D9"/>
    <w:rsid w:val="00E7122D"/>
    <w:rsid w:val="00E765B7"/>
    <w:rsid w:val="00E80265"/>
    <w:rsid w:val="00E87C5A"/>
    <w:rsid w:val="00E905D9"/>
    <w:rsid w:val="00E945E3"/>
    <w:rsid w:val="00EA159F"/>
    <w:rsid w:val="00EA4E53"/>
    <w:rsid w:val="00EB714E"/>
    <w:rsid w:val="00EC36DB"/>
    <w:rsid w:val="00EC55F4"/>
    <w:rsid w:val="00EC64C5"/>
    <w:rsid w:val="00ED701C"/>
    <w:rsid w:val="00F02442"/>
    <w:rsid w:val="00F056F7"/>
    <w:rsid w:val="00F0616C"/>
    <w:rsid w:val="00F33928"/>
    <w:rsid w:val="00F3451A"/>
    <w:rsid w:val="00F3637A"/>
    <w:rsid w:val="00F417B0"/>
    <w:rsid w:val="00F57937"/>
    <w:rsid w:val="00F6076E"/>
    <w:rsid w:val="00F62565"/>
    <w:rsid w:val="00F67155"/>
    <w:rsid w:val="00F7259A"/>
    <w:rsid w:val="00F73A55"/>
    <w:rsid w:val="00F81A43"/>
    <w:rsid w:val="00F82223"/>
    <w:rsid w:val="00F835A1"/>
    <w:rsid w:val="00F914A0"/>
    <w:rsid w:val="00F92F61"/>
    <w:rsid w:val="00F96FB8"/>
    <w:rsid w:val="00FA63D2"/>
    <w:rsid w:val="00FB6824"/>
    <w:rsid w:val="00FB7244"/>
    <w:rsid w:val="00FE219E"/>
    <w:rsid w:val="00FF4CA8"/>
    <w:rsid w:val="00FF5632"/>
    <w:rsid w:val="01202168"/>
    <w:rsid w:val="013030F0"/>
    <w:rsid w:val="01617E55"/>
    <w:rsid w:val="017A36FD"/>
    <w:rsid w:val="018C7469"/>
    <w:rsid w:val="019F3FD8"/>
    <w:rsid w:val="01D6416C"/>
    <w:rsid w:val="01E21263"/>
    <w:rsid w:val="02571AEB"/>
    <w:rsid w:val="02586A44"/>
    <w:rsid w:val="027151A9"/>
    <w:rsid w:val="02F13EFF"/>
    <w:rsid w:val="02F77126"/>
    <w:rsid w:val="031418F0"/>
    <w:rsid w:val="03802D43"/>
    <w:rsid w:val="03903AE7"/>
    <w:rsid w:val="03C27F3A"/>
    <w:rsid w:val="04866A1B"/>
    <w:rsid w:val="048F2EC5"/>
    <w:rsid w:val="04A03AF9"/>
    <w:rsid w:val="04CE1F73"/>
    <w:rsid w:val="04E23328"/>
    <w:rsid w:val="04F13FDD"/>
    <w:rsid w:val="04FA6BF0"/>
    <w:rsid w:val="050B77E3"/>
    <w:rsid w:val="051B36B8"/>
    <w:rsid w:val="057501BD"/>
    <w:rsid w:val="05B346CB"/>
    <w:rsid w:val="06043E9E"/>
    <w:rsid w:val="060C0F89"/>
    <w:rsid w:val="06824DC3"/>
    <w:rsid w:val="06B17EBA"/>
    <w:rsid w:val="06C61F1A"/>
    <w:rsid w:val="06D05B2E"/>
    <w:rsid w:val="06EA6531"/>
    <w:rsid w:val="06F757B1"/>
    <w:rsid w:val="072C6FE0"/>
    <w:rsid w:val="077A3CEC"/>
    <w:rsid w:val="07830608"/>
    <w:rsid w:val="07876262"/>
    <w:rsid w:val="079A3606"/>
    <w:rsid w:val="07A64AE1"/>
    <w:rsid w:val="07C5140B"/>
    <w:rsid w:val="07FA500A"/>
    <w:rsid w:val="083133AB"/>
    <w:rsid w:val="083B16CD"/>
    <w:rsid w:val="0844028A"/>
    <w:rsid w:val="086748B5"/>
    <w:rsid w:val="08D01325"/>
    <w:rsid w:val="08E65ADD"/>
    <w:rsid w:val="08F35FB5"/>
    <w:rsid w:val="08FA3336"/>
    <w:rsid w:val="09631D63"/>
    <w:rsid w:val="09D57413"/>
    <w:rsid w:val="0A9E7363"/>
    <w:rsid w:val="0AAF4839"/>
    <w:rsid w:val="0AEB55A0"/>
    <w:rsid w:val="0B036ADD"/>
    <w:rsid w:val="0B363184"/>
    <w:rsid w:val="0B4D6F85"/>
    <w:rsid w:val="0B674587"/>
    <w:rsid w:val="0B725406"/>
    <w:rsid w:val="0BAA4869"/>
    <w:rsid w:val="0BE014D6"/>
    <w:rsid w:val="0C087B18"/>
    <w:rsid w:val="0C3C3C66"/>
    <w:rsid w:val="0C8456A4"/>
    <w:rsid w:val="0CBE7944"/>
    <w:rsid w:val="0CFD73AC"/>
    <w:rsid w:val="0D5A25F6"/>
    <w:rsid w:val="0D5F5DF4"/>
    <w:rsid w:val="0D6C26AE"/>
    <w:rsid w:val="0DD165C4"/>
    <w:rsid w:val="0E203036"/>
    <w:rsid w:val="0E611D63"/>
    <w:rsid w:val="0E7655B3"/>
    <w:rsid w:val="0E7D10EA"/>
    <w:rsid w:val="0E8841E4"/>
    <w:rsid w:val="0EB46594"/>
    <w:rsid w:val="0ECF1717"/>
    <w:rsid w:val="0EF3685E"/>
    <w:rsid w:val="0F387B04"/>
    <w:rsid w:val="0FE84377"/>
    <w:rsid w:val="10362B27"/>
    <w:rsid w:val="10615A49"/>
    <w:rsid w:val="1092649F"/>
    <w:rsid w:val="110565B7"/>
    <w:rsid w:val="117D2E65"/>
    <w:rsid w:val="117D32B6"/>
    <w:rsid w:val="117D4B05"/>
    <w:rsid w:val="11AB719A"/>
    <w:rsid w:val="11D24E50"/>
    <w:rsid w:val="12AA7B7B"/>
    <w:rsid w:val="12B10F0A"/>
    <w:rsid w:val="12E22ADB"/>
    <w:rsid w:val="13003C54"/>
    <w:rsid w:val="13056525"/>
    <w:rsid w:val="131F38D8"/>
    <w:rsid w:val="13217712"/>
    <w:rsid w:val="13477178"/>
    <w:rsid w:val="135A334F"/>
    <w:rsid w:val="13623FB2"/>
    <w:rsid w:val="13EA79D8"/>
    <w:rsid w:val="13EE4170"/>
    <w:rsid w:val="13FD200E"/>
    <w:rsid w:val="140A6740"/>
    <w:rsid w:val="14681A9C"/>
    <w:rsid w:val="147A17CF"/>
    <w:rsid w:val="14EE3330"/>
    <w:rsid w:val="156E1C8F"/>
    <w:rsid w:val="1573694A"/>
    <w:rsid w:val="159C0046"/>
    <w:rsid w:val="15E927EE"/>
    <w:rsid w:val="15FA4976"/>
    <w:rsid w:val="1609105D"/>
    <w:rsid w:val="161529ED"/>
    <w:rsid w:val="16377978"/>
    <w:rsid w:val="16461969"/>
    <w:rsid w:val="164E4CC1"/>
    <w:rsid w:val="16523CAA"/>
    <w:rsid w:val="165C2A99"/>
    <w:rsid w:val="1663076D"/>
    <w:rsid w:val="16865F0D"/>
    <w:rsid w:val="16976668"/>
    <w:rsid w:val="16D2144F"/>
    <w:rsid w:val="17296D66"/>
    <w:rsid w:val="17424B6E"/>
    <w:rsid w:val="177C3AD9"/>
    <w:rsid w:val="17B615E0"/>
    <w:rsid w:val="17BE50D1"/>
    <w:rsid w:val="17E56F60"/>
    <w:rsid w:val="17F456DE"/>
    <w:rsid w:val="182052C0"/>
    <w:rsid w:val="18240824"/>
    <w:rsid w:val="18722EE9"/>
    <w:rsid w:val="188C11E4"/>
    <w:rsid w:val="18C549D9"/>
    <w:rsid w:val="190014AC"/>
    <w:rsid w:val="19090E4A"/>
    <w:rsid w:val="19295F2B"/>
    <w:rsid w:val="197902A7"/>
    <w:rsid w:val="19805192"/>
    <w:rsid w:val="19DE537A"/>
    <w:rsid w:val="1A0A0EFF"/>
    <w:rsid w:val="1A2A56C6"/>
    <w:rsid w:val="1A7E323B"/>
    <w:rsid w:val="1AB20D35"/>
    <w:rsid w:val="1B6D7998"/>
    <w:rsid w:val="1C284FE9"/>
    <w:rsid w:val="1C427190"/>
    <w:rsid w:val="1C872CDB"/>
    <w:rsid w:val="1C9A399C"/>
    <w:rsid w:val="1C9A47BD"/>
    <w:rsid w:val="1CA9401A"/>
    <w:rsid w:val="1D2B2CC9"/>
    <w:rsid w:val="1D986137"/>
    <w:rsid w:val="1DAB417F"/>
    <w:rsid w:val="1DC1221D"/>
    <w:rsid w:val="1DF3679D"/>
    <w:rsid w:val="1EC04283"/>
    <w:rsid w:val="1F6E4B5A"/>
    <w:rsid w:val="1FA53BA4"/>
    <w:rsid w:val="1FD86EC8"/>
    <w:rsid w:val="1FFF0E68"/>
    <w:rsid w:val="203D5963"/>
    <w:rsid w:val="206C16E1"/>
    <w:rsid w:val="207F634B"/>
    <w:rsid w:val="20E424AA"/>
    <w:rsid w:val="210B1747"/>
    <w:rsid w:val="211663DC"/>
    <w:rsid w:val="215313DE"/>
    <w:rsid w:val="215943CE"/>
    <w:rsid w:val="21A14152"/>
    <w:rsid w:val="21B225A8"/>
    <w:rsid w:val="21D37651"/>
    <w:rsid w:val="21EC1BF0"/>
    <w:rsid w:val="21EF1525"/>
    <w:rsid w:val="228A7081"/>
    <w:rsid w:val="228F1137"/>
    <w:rsid w:val="2291339F"/>
    <w:rsid w:val="22A237AF"/>
    <w:rsid w:val="22B3482A"/>
    <w:rsid w:val="22C205C9"/>
    <w:rsid w:val="22C71351"/>
    <w:rsid w:val="232C0139"/>
    <w:rsid w:val="23412A51"/>
    <w:rsid w:val="23695179"/>
    <w:rsid w:val="239B391F"/>
    <w:rsid w:val="23BD39B9"/>
    <w:rsid w:val="2446522A"/>
    <w:rsid w:val="247C5BC9"/>
    <w:rsid w:val="2540611D"/>
    <w:rsid w:val="257E2241"/>
    <w:rsid w:val="25816AEB"/>
    <w:rsid w:val="25E91552"/>
    <w:rsid w:val="25EE6E4B"/>
    <w:rsid w:val="25F24BAF"/>
    <w:rsid w:val="26111493"/>
    <w:rsid w:val="26176E7E"/>
    <w:rsid w:val="26832064"/>
    <w:rsid w:val="26881B2A"/>
    <w:rsid w:val="26B644C7"/>
    <w:rsid w:val="26C7108E"/>
    <w:rsid w:val="27692A35"/>
    <w:rsid w:val="276D6607"/>
    <w:rsid w:val="277125BE"/>
    <w:rsid w:val="27CC6A94"/>
    <w:rsid w:val="27D019DA"/>
    <w:rsid w:val="27E26067"/>
    <w:rsid w:val="27E97FBE"/>
    <w:rsid w:val="284516FC"/>
    <w:rsid w:val="2877357F"/>
    <w:rsid w:val="28C67011"/>
    <w:rsid w:val="28E219C5"/>
    <w:rsid w:val="29752839"/>
    <w:rsid w:val="29AD1C87"/>
    <w:rsid w:val="29B82D89"/>
    <w:rsid w:val="29F73AB0"/>
    <w:rsid w:val="2A215797"/>
    <w:rsid w:val="2A2878AC"/>
    <w:rsid w:val="2A3D1A6D"/>
    <w:rsid w:val="2A5643BA"/>
    <w:rsid w:val="2A585CB7"/>
    <w:rsid w:val="2B08148B"/>
    <w:rsid w:val="2B2F4C6A"/>
    <w:rsid w:val="2B490D79"/>
    <w:rsid w:val="2BB12D13"/>
    <w:rsid w:val="2BE47802"/>
    <w:rsid w:val="2C0734F1"/>
    <w:rsid w:val="2C7B1C6C"/>
    <w:rsid w:val="2CE51D4D"/>
    <w:rsid w:val="2D5F50C2"/>
    <w:rsid w:val="2D6D7F54"/>
    <w:rsid w:val="2D7352E2"/>
    <w:rsid w:val="2DD2007C"/>
    <w:rsid w:val="2DFC2BBD"/>
    <w:rsid w:val="2E1B14D5"/>
    <w:rsid w:val="2E2128BA"/>
    <w:rsid w:val="2E2B1B36"/>
    <w:rsid w:val="2E2D1C93"/>
    <w:rsid w:val="2E3738F5"/>
    <w:rsid w:val="2E39462A"/>
    <w:rsid w:val="2E3B78F1"/>
    <w:rsid w:val="2E6B559E"/>
    <w:rsid w:val="2E7D10FE"/>
    <w:rsid w:val="2ECC3080"/>
    <w:rsid w:val="2F340384"/>
    <w:rsid w:val="2F542EF1"/>
    <w:rsid w:val="2F6E280D"/>
    <w:rsid w:val="2FE1776D"/>
    <w:rsid w:val="30122F2A"/>
    <w:rsid w:val="301A1CCE"/>
    <w:rsid w:val="308415B4"/>
    <w:rsid w:val="30AE4009"/>
    <w:rsid w:val="30B1098F"/>
    <w:rsid w:val="30C95219"/>
    <w:rsid w:val="30E20088"/>
    <w:rsid w:val="31515B6E"/>
    <w:rsid w:val="3186135C"/>
    <w:rsid w:val="318A0E4C"/>
    <w:rsid w:val="31A54EB0"/>
    <w:rsid w:val="31EB2B63"/>
    <w:rsid w:val="31EC623C"/>
    <w:rsid w:val="31FE5C2E"/>
    <w:rsid w:val="320D7387"/>
    <w:rsid w:val="32781660"/>
    <w:rsid w:val="329A3639"/>
    <w:rsid w:val="32B8544A"/>
    <w:rsid w:val="32DC306C"/>
    <w:rsid w:val="32EC3440"/>
    <w:rsid w:val="32F30C91"/>
    <w:rsid w:val="33332D44"/>
    <w:rsid w:val="335F1844"/>
    <w:rsid w:val="33753436"/>
    <w:rsid w:val="33E37E7F"/>
    <w:rsid w:val="3408194C"/>
    <w:rsid w:val="345E57DD"/>
    <w:rsid w:val="347149A2"/>
    <w:rsid w:val="347E3DFC"/>
    <w:rsid w:val="34BE21CD"/>
    <w:rsid w:val="351224A5"/>
    <w:rsid w:val="35B04BF9"/>
    <w:rsid w:val="35C82D86"/>
    <w:rsid w:val="370F76FD"/>
    <w:rsid w:val="3722530C"/>
    <w:rsid w:val="37296A11"/>
    <w:rsid w:val="372E2C1B"/>
    <w:rsid w:val="37704887"/>
    <w:rsid w:val="37857C22"/>
    <w:rsid w:val="378B0211"/>
    <w:rsid w:val="37E82428"/>
    <w:rsid w:val="383E2BC8"/>
    <w:rsid w:val="384642E4"/>
    <w:rsid w:val="3858552F"/>
    <w:rsid w:val="38A949D8"/>
    <w:rsid w:val="38F82274"/>
    <w:rsid w:val="38FC4354"/>
    <w:rsid w:val="395236F2"/>
    <w:rsid w:val="39534219"/>
    <w:rsid w:val="399D2C92"/>
    <w:rsid w:val="39AE31FE"/>
    <w:rsid w:val="39DB7516"/>
    <w:rsid w:val="3A00614F"/>
    <w:rsid w:val="3A396F6B"/>
    <w:rsid w:val="3AAB6F8B"/>
    <w:rsid w:val="3AB76E73"/>
    <w:rsid w:val="3ADC30AE"/>
    <w:rsid w:val="3B0B2469"/>
    <w:rsid w:val="3B6B3D91"/>
    <w:rsid w:val="3B8905CF"/>
    <w:rsid w:val="3BC00874"/>
    <w:rsid w:val="3BC601F8"/>
    <w:rsid w:val="3BF50F5F"/>
    <w:rsid w:val="3C1732DC"/>
    <w:rsid w:val="3C4936B2"/>
    <w:rsid w:val="3C650C1A"/>
    <w:rsid w:val="3C6669F8"/>
    <w:rsid w:val="3C865009"/>
    <w:rsid w:val="3CC24546"/>
    <w:rsid w:val="3D1723B5"/>
    <w:rsid w:val="3D281519"/>
    <w:rsid w:val="3D7C3FF5"/>
    <w:rsid w:val="3DDA0A65"/>
    <w:rsid w:val="3E151A9D"/>
    <w:rsid w:val="3E6B6453"/>
    <w:rsid w:val="3E952BDE"/>
    <w:rsid w:val="3EA355DB"/>
    <w:rsid w:val="3EAD1CD6"/>
    <w:rsid w:val="3ED002D3"/>
    <w:rsid w:val="3EF06066"/>
    <w:rsid w:val="3F053E51"/>
    <w:rsid w:val="3FBE057D"/>
    <w:rsid w:val="402B37FA"/>
    <w:rsid w:val="40595FE9"/>
    <w:rsid w:val="410762AC"/>
    <w:rsid w:val="416C40CA"/>
    <w:rsid w:val="41A41AB6"/>
    <w:rsid w:val="41C9759F"/>
    <w:rsid w:val="41E77BF5"/>
    <w:rsid w:val="42162D5E"/>
    <w:rsid w:val="421E6666"/>
    <w:rsid w:val="425E71CB"/>
    <w:rsid w:val="427D5E63"/>
    <w:rsid w:val="42A73BD8"/>
    <w:rsid w:val="4326774F"/>
    <w:rsid w:val="434B5F61"/>
    <w:rsid w:val="43A73DC7"/>
    <w:rsid w:val="43D009B5"/>
    <w:rsid w:val="442A60BC"/>
    <w:rsid w:val="448F2676"/>
    <w:rsid w:val="44AD5AAC"/>
    <w:rsid w:val="44FB681A"/>
    <w:rsid w:val="450D03F3"/>
    <w:rsid w:val="451B1D7A"/>
    <w:rsid w:val="452213CF"/>
    <w:rsid w:val="45797FE0"/>
    <w:rsid w:val="45A36426"/>
    <w:rsid w:val="45BE4E99"/>
    <w:rsid w:val="45C111FA"/>
    <w:rsid w:val="45F8417E"/>
    <w:rsid w:val="464D099A"/>
    <w:rsid w:val="4695307F"/>
    <w:rsid w:val="46E14BDC"/>
    <w:rsid w:val="4792415F"/>
    <w:rsid w:val="47B44ADB"/>
    <w:rsid w:val="47D64D4B"/>
    <w:rsid w:val="481B1196"/>
    <w:rsid w:val="485F7213"/>
    <w:rsid w:val="48700F2E"/>
    <w:rsid w:val="48F918EC"/>
    <w:rsid w:val="49E5667C"/>
    <w:rsid w:val="4A413080"/>
    <w:rsid w:val="4A4554B8"/>
    <w:rsid w:val="4A6E282D"/>
    <w:rsid w:val="4A930919"/>
    <w:rsid w:val="4A9B340C"/>
    <w:rsid w:val="4BC0573E"/>
    <w:rsid w:val="4C270A49"/>
    <w:rsid w:val="4C453E95"/>
    <w:rsid w:val="4C5E4F57"/>
    <w:rsid w:val="4C797370"/>
    <w:rsid w:val="4C940979"/>
    <w:rsid w:val="4CC56D84"/>
    <w:rsid w:val="4D183949"/>
    <w:rsid w:val="4D64659D"/>
    <w:rsid w:val="4D7A36CB"/>
    <w:rsid w:val="4DAD3AA0"/>
    <w:rsid w:val="4DE65204"/>
    <w:rsid w:val="4DE92D30"/>
    <w:rsid w:val="4DFA35B4"/>
    <w:rsid w:val="4DFE31E9"/>
    <w:rsid w:val="4E8A7DB1"/>
    <w:rsid w:val="4EF94AC3"/>
    <w:rsid w:val="4F097C45"/>
    <w:rsid w:val="4F0B0E0C"/>
    <w:rsid w:val="4F592215"/>
    <w:rsid w:val="4FCA01C9"/>
    <w:rsid w:val="4FD901C9"/>
    <w:rsid w:val="500F1EB1"/>
    <w:rsid w:val="50107859"/>
    <w:rsid w:val="50163095"/>
    <w:rsid w:val="50574197"/>
    <w:rsid w:val="50874A7C"/>
    <w:rsid w:val="508872DA"/>
    <w:rsid w:val="50BC2F72"/>
    <w:rsid w:val="50F81234"/>
    <w:rsid w:val="510A745C"/>
    <w:rsid w:val="515B1A65"/>
    <w:rsid w:val="51AC6794"/>
    <w:rsid w:val="52306A4E"/>
    <w:rsid w:val="52AA4A52"/>
    <w:rsid w:val="52E33AC0"/>
    <w:rsid w:val="52E87329"/>
    <w:rsid w:val="52EA0AEB"/>
    <w:rsid w:val="52F73AA9"/>
    <w:rsid w:val="531620E8"/>
    <w:rsid w:val="531B6314"/>
    <w:rsid w:val="537652BB"/>
    <w:rsid w:val="539B439B"/>
    <w:rsid w:val="53A54E61"/>
    <w:rsid w:val="53D46445"/>
    <w:rsid w:val="53E421E6"/>
    <w:rsid w:val="53FE7A37"/>
    <w:rsid w:val="545B544D"/>
    <w:rsid w:val="54704AC9"/>
    <w:rsid w:val="54DF6509"/>
    <w:rsid w:val="550830AA"/>
    <w:rsid w:val="55197C6D"/>
    <w:rsid w:val="555B2413"/>
    <w:rsid w:val="557C2C81"/>
    <w:rsid w:val="55AA7162"/>
    <w:rsid w:val="5683587B"/>
    <w:rsid w:val="56AA353D"/>
    <w:rsid w:val="56B22127"/>
    <w:rsid w:val="56B25804"/>
    <w:rsid w:val="56CD4E62"/>
    <w:rsid w:val="56D428A3"/>
    <w:rsid w:val="57382673"/>
    <w:rsid w:val="57482A8C"/>
    <w:rsid w:val="579E445A"/>
    <w:rsid w:val="57A4460A"/>
    <w:rsid w:val="57BF2D4E"/>
    <w:rsid w:val="58456D6D"/>
    <w:rsid w:val="589536A1"/>
    <w:rsid w:val="58A61818"/>
    <w:rsid w:val="58CB1167"/>
    <w:rsid w:val="58CE01CE"/>
    <w:rsid w:val="592D29C4"/>
    <w:rsid w:val="59442F17"/>
    <w:rsid w:val="595A5909"/>
    <w:rsid w:val="596657E2"/>
    <w:rsid w:val="59732E80"/>
    <w:rsid w:val="598633F7"/>
    <w:rsid w:val="5999137D"/>
    <w:rsid w:val="59C82E5B"/>
    <w:rsid w:val="5A68608E"/>
    <w:rsid w:val="5A912E54"/>
    <w:rsid w:val="5A940D5E"/>
    <w:rsid w:val="5B0942E0"/>
    <w:rsid w:val="5B1213E7"/>
    <w:rsid w:val="5B301722"/>
    <w:rsid w:val="5B6F37FA"/>
    <w:rsid w:val="5B8D3163"/>
    <w:rsid w:val="5BAD55B3"/>
    <w:rsid w:val="5BE479CA"/>
    <w:rsid w:val="5C174551"/>
    <w:rsid w:val="5C470908"/>
    <w:rsid w:val="5C664834"/>
    <w:rsid w:val="5D177188"/>
    <w:rsid w:val="5D1934F0"/>
    <w:rsid w:val="5D284F94"/>
    <w:rsid w:val="5D48478A"/>
    <w:rsid w:val="5D7B5197"/>
    <w:rsid w:val="5D8B3F7E"/>
    <w:rsid w:val="5D987E43"/>
    <w:rsid w:val="5DC97BA1"/>
    <w:rsid w:val="5DD826D2"/>
    <w:rsid w:val="5DE352BC"/>
    <w:rsid w:val="5E111E29"/>
    <w:rsid w:val="5E394EDC"/>
    <w:rsid w:val="5E6B4B29"/>
    <w:rsid w:val="5EF534F9"/>
    <w:rsid w:val="5EF76247"/>
    <w:rsid w:val="5F17644D"/>
    <w:rsid w:val="5F324040"/>
    <w:rsid w:val="5FB707AE"/>
    <w:rsid w:val="5FEA56D8"/>
    <w:rsid w:val="60051979"/>
    <w:rsid w:val="60277223"/>
    <w:rsid w:val="605C1D81"/>
    <w:rsid w:val="609F196E"/>
    <w:rsid w:val="60FB46CB"/>
    <w:rsid w:val="60FF5CDE"/>
    <w:rsid w:val="61B7776F"/>
    <w:rsid w:val="620E132F"/>
    <w:rsid w:val="62593F66"/>
    <w:rsid w:val="62C21944"/>
    <w:rsid w:val="62E47EB8"/>
    <w:rsid w:val="62F00137"/>
    <w:rsid w:val="630D69B7"/>
    <w:rsid w:val="635336D9"/>
    <w:rsid w:val="637E2B84"/>
    <w:rsid w:val="63B948A0"/>
    <w:rsid w:val="63C70AA9"/>
    <w:rsid w:val="63F95E13"/>
    <w:rsid w:val="64505E27"/>
    <w:rsid w:val="64553B8F"/>
    <w:rsid w:val="6460555B"/>
    <w:rsid w:val="65053D6A"/>
    <w:rsid w:val="6508637C"/>
    <w:rsid w:val="655D4489"/>
    <w:rsid w:val="6569254B"/>
    <w:rsid w:val="66285F62"/>
    <w:rsid w:val="6659436D"/>
    <w:rsid w:val="66791BBF"/>
    <w:rsid w:val="66C9733D"/>
    <w:rsid w:val="67071002"/>
    <w:rsid w:val="6734006E"/>
    <w:rsid w:val="6767703F"/>
    <w:rsid w:val="68301875"/>
    <w:rsid w:val="68726436"/>
    <w:rsid w:val="68AE617E"/>
    <w:rsid w:val="68D20407"/>
    <w:rsid w:val="68F22857"/>
    <w:rsid w:val="68F4037D"/>
    <w:rsid w:val="697C3711"/>
    <w:rsid w:val="69D84FF9"/>
    <w:rsid w:val="69E50D30"/>
    <w:rsid w:val="6A302FC4"/>
    <w:rsid w:val="6A7379C8"/>
    <w:rsid w:val="6A954E46"/>
    <w:rsid w:val="6ACD0349"/>
    <w:rsid w:val="6AE820AE"/>
    <w:rsid w:val="6B0307FA"/>
    <w:rsid w:val="6B5B2936"/>
    <w:rsid w:val="6B5F4D7B"/>
    <w:rsid w:val="6B7D5698"/>
    <w:rsid w:val="6C133210"/>
    <w:rsid w:val="6C1A00FB"/>
    <w:rsid w:val="6C544307"/>
    <w:rsid w:val="6C5E336F"/>
    <w:rsid w:val="6C652348"/>
    <w:rsid w:val="6C8E0AE9"/>
    <w:rsid w:val="6CB95B66"/>
    <w:rsid w:val="6CBC3E57"/>
    <w:rsid w:val="6D3276C6"/>
    <w:rsid w:val="6D5A0320"/>
    <w:rsid w:val="6D8A7722"/>
    <w:rsid w:val="6DA85BDA"/>
    <w:rsid w:val="6E0A5561"/>
    <w:rsid w:val="6E5A2827"/>
    <w:rsid w:val="6F171A4A"/>
    <w:rsid w:val="6F665858"/>
    <w:rsid w:val="6F7A295B"/>
    <w:rsid w:val="6F9E1043"/>
    <w:rsid w:val="6FAC7C04"/>
    <w:rsid w:val="6FE57C0E"/>
    <w:rsid w:val="70147DFA"/>
    <w:rsid w:val="710870BC"/>
    <w:rsid w:val="71867FE1"/>
    <w:rsid w:val="71AB09F3"/>
    <w:rsid w:val="723A6C53"/>
    <w:rsid w:val="72431E39"/>
    <w:rsid w:val="726044F9"/>
    <w:rsid w:val="7261092D"/>
    <w:rsid w:val="729F0DF2"/>
    <w:rsid w:val="72A15BB9"/>
    <w:rsid w:val="72AF1E0B"/>
    <w:rsid w:val="72C909D3"/>
    <w:rsid w:val="72DD00D4"/>
    <w:rsid w:val="72DF209E"/>
    <w:rsid w:val="730833A3"/>
    <w:rsid w:val="732C12BB"/>
    <w:rsid w:val="7358338B"/>
    <w:rsid w:val="7396467D"/>
    <w:rsid w:val="73D947B0"/>
    <w:rsid w:val="74164797"/>
    <w:rsid w:val="74251D33"/>
    <w:rsid w:val="74781E43"/>
    <w:rsid w:val="747F622F"/>
    <w:rsid w:val="74AE1754"/>
    <w:rsid w:val="751843D2"/>
    <w:rsid w:val="75746332"/>
    <w:rsid w:val="758D4034"/>
    <w:rsid w:val="75BA61B0"/>
    <w:rsid w:val="76816FC9"/>
    <w:rsid w:val="768220A7"/>
    <w:rsid w:val="76946CFC"/>
    <w:rsid w:val="76C03F95"/>
    <w:rsid w:val="76FC2A0E"/>
    <w:rsid w:val="77186595"/>
    <w:rsid w:val="776257AE"/>
    <w:rsid w:val="77721D03"/>
    <w:rsid w:val="779E1C2E"/>
    <w:rsid w:val="78441CEF"/>
    <w:rsid w:val="784D5AA5"/>
    <w:rsid w:val="784D5CC7"/>
    <w:rsid w:val="789535AB"/>
    <w:rsid w:val="78B96EEE"/>
    <w:rsid w:val="78C55892"/>
    <w:rsid w:val="791C217A"/>
    <w:rsid w:val="79226371"/>
    <w:rsid w:val="792C197D"/>
    <w:rsid w:val="794C1712"/>
    <w:rsid w:val="798E14A8"/>
    <w:rsid w:val="79A454A8"/>
    <w:rsid w:val="7A472B92"/>
    <w:rsid w:val="7A480529"/>
    <w:rsid w:val="7A57076C"/>
    <w:rsid w:val="7A582E2B"/>
    <w:rsid w:val="7A616E15"/>
    <w:rsid w:val="7A7001DF"/>
    <w:rsid w:val="7AA00365"/>
    <w:rsid w:val="7B1734D6"/>
    <w:rsid w:val="7B2D0A0C"/>
    <w:rsid w:val="7B7614C2"/>
    <w:rsid w:val="7C594055"/>
    <w:rsid w:val="7C7E1404"/>
    <w:rsid w:val="7CC145C3"/>
    <w:rsid w:val="7D796C4C"/>
    <w:rsid w:val="7DB12889"/>
    <w:rsid w:val="7DB67EA0"/>
    <w:rsid w:val="7DBD50A2"/>
    <w:rsid w:val="7E81587B"/>
    <w:rsid w:val="7E8F0F22"/>
    <w:rsid w:val="7F155AD3"/>
    <w:rsid w:val="7F4158A4"/>
    <w:rsid w:val="7F604A72"/>
    <w:rsid w:val="7F761695"/>
    <w:rsid w:val="7F8906FB"/>
    <w:rsid w:val="7FAB3688"/>
    <w:rsid w:val="7FE374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iPriority="99" w:semiHidden="0"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0" w:semiHidden="0" w:name="Body Text 2"/>
    <w:lsdException w:uiPriority="99" w:name="Body Text 3"/>
    <w:lsdException w:qFormat="1" w:unhideWhenUsed="0" w:uiPriority="0" w:semiHidden="0" w:name="Body Text Indent 2"/>
    <w:lsdException w:uiPriority="99" w:name="Body Text Indent 3"/>
    <w:lsdException w:qFormat="1" w:uiPriority="99" w:semiHidden="0"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440" w:lineRule="exact"/>
      <w:ind w:firstLine="200" w:firstLineChars="200"/>
      <w:jc w:val="both"/>
      <w:outlineLvl w:val="0"/>
    </w:pPr>
    <w:rPr>
      <w:rFonts w:ascii="Times New Roman" w:hAnsi="Times New Roman" w:eastAsia="宋体" w:cstheme="minorBidi"/>
      <w:kern w:val="2"/>
      <w:sz w:val="21"/>
      <w:szCs w:val="22"/>
      <w:lang w:val="en-US" w:eastAsia="zh-CN" w:bidi="ar-SA"/>
    </w:rPr>
  </w:style>
  <w:style w:type="paragraph" w:styleId="3">
    <w:name w:val="heading 1"/>
    <w:basedOn w:val="1"/>
    <w:next w:val="1"/>
    <w:link w:val="38"/>
    <w:autoRedefine/>
    <w:qFormat/>
    <w:uiPriority w:val="0"/>
    <w:pPr>
      <w:keepNext/>
      <w:overflowPunct w:val="0"/>
      <w:jc w:val="center"/>
    </w:pPr>
    <w:rPr>
      <w:rFonts w:eastAsia="黑体" w:cs="Times New Roman"/>
      <w:b/>
      <w:bCs/>
      <w:color w:val="000000"/>
      <w:kern w:val="44"/>
      <w:sz w:val="30"/>
      <w:szCs w:val="30"/>
    </w:rPr>
  </w:style>
  <w:style w:type="paragraph" w:styleId="4">
    <w:name w:val="heading 2"/>
    <w:basedOn w:val="1"/>
    <w:next w:val="1"/>
    <w:link w:val="39"/>
    <w:autoRedefine/>
    <w:unhideWhenUsed/>
    <w:qFormat/>
    <w:uiPriority w:val="9"/>
    <w:pPr>
      <w:keepNext/>
      <w:keepLines/>
      <w:spacing w:before="260" w:after="260" w:line="416" w:lineRule="auto"/>
      <w:ind w:left="420"/>
      <w:jc w:val="left"/>
      <w:outlineLvl w:val="1"/>
    </w:pPr>
    <w:rPr>
      <w:rFonts w:asciiTheme="majorHAnsi" w:hAnsiTheme="majorHAnsi" w:eastAsiaTheme="majorEastAsia" w:cstheme="majorBidi"/>
      <w:b/>
      <w:bCs/>
      <w:sz w:val="32"/>
      <w:szCs w:val="32"/>
    </w:rPr>
  </w:style>
  <w:style w:type="paragraph" w:styleId="5">
    <w:name w:val="heading 3"/>
    <w:basedOn w:val="1"/>
    <w:next w:val="6"/>
    <w:link w:val="41"/>
    <w:autoRedefine/>
    <w:unhideWhenUsed/>
    <w:qFormat/>
    <w:uiPriority w:val="9"/>
    <w:pPr>
      <w:keepNext/>
      <w:keepLines/>
      <w:spacing w:before="260" w:after="260" w:line="416" w:lineRule="auto"/>
      <w:ind w:left="420"/>
      <w:jc w:val="left"/>
      <w:outlineLvl w:val="2"/>
    </w:pPr>
    <w:rPr>
      <w:rFonts w:cs="Times New Roman"/>
      <w:b/>
      <w:bCs/>
      <w:sz w:val="32"/>
      <w:szCs w:val="32"/>
    </w:rPr>
  </w:style>
  <w:style w:type="paragraph" w:styleId="7">
    <w:name w:val="heading 4"/>
    <w:basedOn w:val="1"/>
    <w:next w:val="1"/>
    <w:link w:val="42"/>
    <w:autoRedefine/>
    <w:semiHidden/>
    <w:unhideWhenUsed/>
    <w:qFormat/>
    <w:uiPriority w:val="0"/>
    <w:pPr>
      <w:keepNext/>
      <w:keepLines/>
      <w:spacing w:before="280" w:after="290" w:line="376" w:lineRule="auto"/>
      <w:ind w:left="420"/>
      <w:jc w:val="left"/>
      <w:outlineLvl w:val="3"/>
    </w:pPr>
    <w:rPr>
      <w:rFonts w:asciiTheme="majorHAnsi" w:hAnsiTheme="majorHAnsi" w:eastAsiaTheme="majorEastAsia" w:cstheme="majorBidi"/>
      <w:b/>
      <w:bCs/>
      <w:sz w:val="28"/>
      <w:szCs w:val="28"/>
    </w:rPr>
  </w:style>
  <w:style w:type="paragraph" w:styleId="8">
    <w:name w:val="heading 5"/>
    <w:basedOn w:val="1"/>
    <w:next w:val="1"/>
    <w:link w:val="164"/>
    <w:autoRedefine/>
    <w:unhideWhenUsed/>
    <w:qFormat/>
    <w:uiPriority w:val="9"/>
    <w:pPr>
      <w:keepNext/>
      <w:keepLines/>
      <w:autoSpaceDE w:val="0"/>
      <w:autoSpaceDN w:val="0"/>
      <w:spacing w:before="280" w:after="290" w:line="376" w:lineRule="auto"/>
      <w:ind w:firstLine="0" w:firstLineChars="0"/>
      <w:jc w:val="left"/>
      <w:outlineLvl w:val="4"/>
    </w:pPr>
    <w:rPr>
      <w:rFonts w:ascii="宋体" w:hAnsi="宋体" w:cs="宋体"/>
      <w:b/>
      <w:bCs/>
      <w:kern w:val="0"/>
      <w:sz w:val="28"/>
      <w:szCs w:val="28"/>
      <w:lang w:eastAsia="en-US"/>
    </w:rPr>
  </w:style>
  <w:style w:type="paragraph" w:styleId="9">
    <w:name w:val="heading 6"/>
    <w:basedOn w:val="1"/>
    <w:next w:val="1"/>
    <w:link w:val="165"/>
    <w:unhideWhenUsed/>
    <w:qFormat/>
    <w:uiPriority w:val="9"/>
    <w:pPr>
      <w:keepNext/>
      <w:keepLines/>
      <w:autoSpaceDE w:val="0"/>
      <w:autoSpaceDN w:val="0"/>
      <w:spacing w:before="240" w:after="64" w:line="320" w:lineRule="auto"/>
      <w:ind w:firstLine="0" w:firstLineChars="0"/>
      <w:jc w:val="left"/>
      <w:outlineLvl w:val="5"/>
    </w:pPr>
    <w:rPr>
      <w:rFonts w:asciiTheme="majorHAnsi" w:hAnsiTheme="majorHAnsi" w:eastAsiaTheme="majorEastAsia" w:cstheme="majorBidi"/>
      <w:b/>
      <w:bCs/>
      <w:kern w:val="0"/>
      <w:sz w:val="24"/>
      <w:szCs w:val="24"/>
      <w:lang w:eastAsia="en-US"/>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macro"/>
    <w:link w:val="43"/>
    <w:autoRedefine/>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6">
    <w:name w:val="Body Text"/>
    <w:basedOn w:val="1"/>
    <w:next w:val="1"/>
    <w:link w:val="46"/>
    <w:autoRedefine/>
    <w:qFormat/>
    <w:uiPriority w:val="1"/>
    <w:pPr>
      <w:widowControl/>
      <w:spacing w:before="60" w:after="160" w:line="259" w:lineRule="auto"/>
      <w:ind w:left="420" w:right="113"/>
      <w:jc w:val="left"/>
    </w:pPr>
    <w:rPr>
      <w:rFonts w:cs="Times New Roman"/>
      <w:kern w:val="0"/>
      <w:sz w:val="18"/>
      <w:szCs w:val="20"/>
    </w:rPr>
  </w:style>
  <w:style w:type="paragraph" w:styleId="10">
    <w:name w:val="Normal Indent"/>
    <w:basedOn w:val="1"/>
    <w:next w:val="1"/>
    <w:link w:val="40"/>
    <w:autoRedefine/>
    <w:qFormat/>
    <w:uiPriority w:val="0"/>
    <w:pPr>
      <w:ind w:left="420"/>
      <w:jc w:val="left"/>
    </w:pPr>
    <w:rPr>
      <w:rFonts w:cs="Times New Roman"/>
      <w:sz w:val="28"/>
      <w:szCs w:val="20"/>
    </w:rPr>
  </w:style>
  <w:style w:type="paragraph" w:styleId="11">
    <w:name w:val="caption"/>
    <w:basedOn w:val="1"/>
    <w:next w:val="1"/>
    <w:link w:val="44"/>
    <w:autoRedefine/>
    <w:qFormat/>
    <w:uiPriority w:val="0"/>
    <w:pPr>
      <w:keepNext/>
      <w:spacing w:beforeLines="50"/>
      <w:ind w:left="420"/>
      <w:jc w:val="left"/>
    </w:pPr>
    <w:rPr>
      <w:rFonts w:eastAsia="黑体" w:cs="Times New Roman"/>
      <w:szCs w:val="20"/>
    </w:rPr>
  </w:style>
  <w:style w:type="paragraph" w:styleId="12">
    <w:name w:val="Document Map"/>
    <w:basedOn w:val="1"/>
    <w:link w:val="166"/>
    <w:semiHidden/>
    <w:unhideWhenUsed/>
    <w:qFormat/>
    <w:uiPriority w:val="99"/>
    <w:rPr>
      <w:rFonts w:ascii="宋体"/>
      <w:sz w:val="18"/>
      <w:szCs w:val="18"/>
    </w:rPr>
  </w:style>
  <w:style w:type="paragraph" w:styleId="13">
    <w:name w:val="toa heading"/>
    <w:basedOn w:val="1"/>
    <w:next w:val="1"/>
    <w:autoRedefine/>
    <w:qFormat/>
    <w:uiPriority w:val="0"/>
    <w:pPr>
      <w:spacing w:before="120"/>
      <w:ind w:left="420"/>
      <w:jc w:val="left"/>
    </w:pPr>
    <w:rPr>
      <w:rFonts w:ascii="Arial" w:hAnsi="Arial" w:cs="Arial"/>
      <w:sz w:val="24"/>
      <w:szCs w:val="21"/>
    </w:rPr>
  </w:style>
  <w:style w:type="paragraph" w:styleId="14">
    <w:name w:val="annotation text"/>
    <w:basedOn w:val="1"/>
    <w:link w:val="45"/>
    <w:autoRedefine/>
    <w:qFormat/>
    <w:uiPriority w:val="0"/>
    <w:pPr>
      <w:ind w:left="420"/>
      <w:jc w:val="left"/>
    </w:pPr>
    <w:rPr>
      <w:rFonts w:cs="Times New Roman"/>
      <w:kern w:val="0"/>
      <w:sz w:val="24"/>
      <w:szCs w:val="20"/>
    </w:rPr>
  </w:style>
  <w:style w:type="paragraph" w:styleId="15">
    <w:name w:val="Body Text Indent"/>
    <w:basedOn w:val="1"/>
    <w:link w:val="47"/>
    <w:autoRedefine/>
    <w:qFormat/>
    <w:uiPriority w:val="99"/>
    <w:pPr>
      <w:spacing w:after="120"/>
      <w:ind w:left="420" w:leftChars="200"/>
      <w:jc w:val="left"/>
    </w:pPr>
    <w:rPr>
      <w:rFonts w:cs="Times New Roman"/>
      <w:kern w:val="0"/>
      <w:sz w:val="24"/>
      <w:szCs w:val="20"/>
    </w:rPr>
  </w:style>
  <w:style w:type="paragraph" w:styleId="16">
    <w:name w:val="Block Text"/>
    <w:basedOn w:val="1"/>
    <w:autoRedefine/>
    <w:unhideWhenUsed/>
    <w:qFormat/>
    <w:uiPriority w:val="99"/>
    <w:pPr>
      <w:spacing w:before="100" w:beforeAutospacing="1" w:after="100" w:afterAutospacing="1" w:line="300" w:lineRule="exact"/>
      <w:ind w:left="-96" w:leftChars="-40" w:right="-16" w:firstLine="482"/>
      <w:jc w:val="left"/>
    </w:pPr>
    <w:rPr>
      <w:rFonts w:ascii="宋体" w:hAnsi="宋体" w:cs="宋体"/>
      <w:szCs w:val="21"/>
    </w:rPr>
  </w:style>
  <w:style w:type="paragraph" w:styleId="17">
    <w:name w:val="Plain Text"/>
    <w:basedOn w:val="1"/>
    <w:next w:val="1"/>
    <w:link w:val="48"/>
    <w:autoRedefine/>
    <w:qFormat/>
    <w:uiPriority w:val="0"/>
    <w:pPr>
      <w:ind w:left="420"/>
      <w:jc w:val="left"/>
    </w:pPr>
    <w:rPr>
      <w:rFonts w:ascii="宋体" w:hAnsi="Courier New" w:cs="Times New Roman"/>
      <w:sz w:val="20"/>
      <w:szCs w:val="20"/>
    </w:rPr>
  </w:style>
  <w:style w:type="paragraph" w:styleId="18">
    <w:name w:val="Date"/>
    <w:basedOn w:val="1"/>
    <w:next w:val="1"/>
    <w:link w:val="49"/>
    <w:autoRedefine/>
    <w:qFormat/>
    <w:uiPriority w:val="0"/>
    <w:pPr>
      <w:ind w:left="100" w:leftChars="2500"/>
      <w:jc w:val="left"/>
    </w:pPr>
    <w:rPr>
      <w:rFonts w:cs="Times New Roman"/>
      <w:kern w:val="0"/>
      <w:sz w:val="24"/>
      <w:szCs w:val="20"/>
    </w:rPr>
  </w:style>
  <w:style w:type="paragraph" w:styleId="19">
    <w:name w:val="Body Text Indent 2"/>
    <w:basedOn w:val="1"/>
    <w:link w:val="50"/>
    <w:autoRedefine/>
    <w:qFormat/>
    <w:uiPriority w:val="0"/>
    <w:pPr>
      <w:spacing w:after="120" w:line="480" w:lineRule="auto"/>
      <w:ind w:left="420" w:leftChars="200"/>
      <w:jc w:val="left"/>
    </w:pPr>
    <w:rPr>
      <w:rFonts w:cs="Times New Roman"/>
      <w:szCs w:val="21"/>
    </w:rPr>
  </w:style>
  <w:style w:type="paragraph" w:styleId="20">
    <w:name w:val="Balloon Text"/>
    <w:basedOn w:val="1"/>
    <w:link w:val="51"/>
    <w:autoRedefine/>
    <w:qFormat/>
    <w:uiPriority w:val="0"/>
    <w:pPr>
      <w:ind w:left="420"/>
      <w:jc w:val="left"/>
    </w:pPr>
    <w:rPr>
      <w:rFonts w:cs="Times New Roman"/>
      <w:kern w:val="0"/>
      <w:sz w:val="18"/>
      <w:szCs w:val="20"/>
    </w:rPr>
  </w:style>
  <w:style w:type="paragraph" w:styleId="21">
    <w:name w:val="footer"/>
    <w:basedOn w:val="1"/>
    <w:link w:val="52"/>
    <w:autoRedefine/>
    <w:unhideWhenUsed/>
    <w:qFormat/>
    <w:uiPriority w:val="0"/>
    <w:pPr>
      <w:tabs>
        <w:tab w:val="center" w:pos="4153"/>
        <w:tab w:val="right" w:pos="8306"/>
      </w:tabs>
      <w:ind w:firstLine="0" w:firstLineChars="0"/>
      <w:jc w:val="center"/>
    </w:pPr>
    <w:rPr>
      <w:sz w:val="18"/>
      <w:szCs w:val="18"/>
    </w:rPr>
  </w:style>
  <w:style w:type="paragraph" w:styleId="22">
    <w:name w:val="header"/>
    <w:basedOn w:val="1"/>
    <w:link w:val="53"/>
    <w:autoRedefine/>
    <w:unhideWhenUsed/>
    <w:qFormat/>
    <w:uiPriority w:val="0"/>
    <w:pPr>
      <w:pBdr>
        <w:bottom w:val="single" w:color="auto" w:sz="6" w:space="1"/>
      </w:pBdr>
      <w:tabs>
        <w:tab w:val="center" w:pos="4153"/>
        <w:tab w:val="right" w:pos="8306"/>
      </w:tabs>
      <w:jc w:val="center"/>
    </w:pPr>
    <w:rPr>
      <w:sz w:val="18"/>
      <w:szCs w:val="18"/>
    </w:rPr>
  </w:style>
  <w:style w:type="paragraph" w:styleId="23">
    <w:name w:val="toc 1"/>
    <w:basedOn w:val="1"/>
    <w:next w:val="1"/>
    <w:autoRedefine/>
    <w:unhideWhenUsed/>
    <w:qFormat/>
    <w:uiPriority w:val="39"/>
    <w:pPr>
      <w:ind w:left="420"/>
      <w:jc w:val="left"/>
    </w:pPr>
    <w:rPr>
      <w:rFonts w:cs="Times New Roman"/>
      <w:sz w:val="24"/>
      <w:szCs w:val="21"/>
    </w:rPr>
  </w:style>
  <w:style w:type="paragraph" w:styleId="24">
    <w:name w:val="List"/>
    <w:basedOn w:val="1"/>
    <w:autoRedefine/>
    <w:qFormat/>
    <w:uiPriority w:val="0"/>
    <w:pPr>
      <w:ind w:left="200" w:hanging="200" w:hangingChars="200"/>
      <w:contextualSpacing/>
      <w:jc w:val="left"/>
    </w:pPr>
    <w:rPr>
      <w:rFonts w:cs="Times New Roman"/>
      <w:szCs w:val="21"/>
    </w:rPr>
  </w:style>
  <w:style w:type="paragraph" w:styleId="25">
    <w:name w:val="Body Text 2"/>
    <w:basedOn w:val="1"/>
    <w:link w:val="54"/>
    <w:autoRedefine/>
    <w:unhideWhenUsed/>
    <w:qFormat/>
    <w:uiPriority w:val="0"/>
    <w:pPr>
      <w:spacing w:after="120" w:line="480" w:lineRule="auto"/>
      <w:ind w:left="420"/>
      <w:jc w:val="left"/>
    </w:pPr>
    <w:rPr>
      <w:rFonts w:cs="Times New Roman"/>
      <w:szCs w:val="24"/>
    </w:rPr>
  </w:style>
  <w:style w:type="paragraph" w:styleId="26">
    <w:name w:val="Normal (Web)"/>
    <w:basedOn w:val="1"/>
    <w:link w:val="55"/>
    <w:autoRedefine/>
    <w:qFormat/>
    <w:uiPriority w:val="0"/>
    <w:pPr>
      <w:widowControl/>
      <w:spacing w:before="100" w:beforeAutospacing="1" w:after="100" w:afterAutospacing="1"/>
      <w:ind w:left="420"/>
      <w:jc w:val="left"/>
    </w:pPr>
    <w:rPr>
      <w:rFonts w:ascii="宋体" w:hAnsi="宋体" w:cs="Times New Roman"/>
      <w:kern w:val="0"/>
      <w:sz w:val="24"/>
      <w:szCs w:val="20"/>
    </w:rPr>
  </w:style>
  <w:style w:type="paragraph" w:styleId="27">
    <w:name w:val="annotation subject"/>
    <w:basedOn w:val="14"/>
    <w:next w:val="14"/>
    <w:link w:val="56"/>
    <w:autoRedefine/>
    <w:semiHidden/>
    <w:qFormat/>
    <w:uiPriority w:val="0"/>
    <w:rPr>
      <w:b/>
    </w:rPr>
  </w:style>
  <w:style w:type="paragraph" w:styleId="28">
    <w:name w:val="Body Text First Indent"/>
    <w:basedOn w:val="6"/>
    <w:link w:val="57"/>
    <w:autoRedefine/>
    <w:qFormat/>
    <w:uiPriority w:val="0"/>
    <w:pPr>
      <w:widowControl w:val="0"/>
      <w:snapToGrid/>
      <w:spacing w:before="0" w:after="120" w:line="240" w:lineRule="auto"/>
      <w:ind w:right="0" w:firstLine="100" w:firstLineChars="100"/>
    </w:pPr>
    <w:rPr>
      <w:kern w:val="2"/>
      <w:sz w:val="21"/>
    </w:rPr>
  </w:style>
  <w:style w:type="paragraph" w:styleId="29">
    <w:name w:val="Body Text First Indent 2"/>
    <w:basedOn w:val="15"/>
    <w:link w:val="58"/>
    <w:autoRedefine/>
    <w:qFormat/>
    <w:uiPriority w:val="99"/>
    <w:rPr>
      <w:kern w:val="2"/>
      <w:sz w:val="21"/>
    </w:rPr>
  </w:style>
  <w:style w:type="table" w:styleId="31">
    <w:name w:val="Table Grid"/>
    <w:basedOn w:val="3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rPr>
  </w:style>
  <w:style w:type="character" w:styleId="34">
    <w:name w:val="page number"/>
    <w:basedOn w:val="32"/>
    <w:autoRedefine/>
    <w:qFormat/>
    <w:uiPriority w:val="0"/>
  </w:style>
  <w:style w:type="character" w:styleId="35">
    <w:name w:val="Emphasis"/>
    <w:basedOn w:val="32"/>
    <w:autoRedefine/>
    <w:qFormat/>
    <w:uiPriority w:val="20"/>
    <w:rPr>
      <w:i/>
      <w:iCs/>
    </w:rPr>
  </w:style>
  <w:style w:type="character" w:styleId="36">
    <w:name w:val="Hyperlink"/>
    <w:autoRedefine/>
    <w:unhideWhenUsed/>
    <w:qFormat/>
    <w:uiPriority w:val="0"/>
    <w:rPr>
      <w:color w:val="0000FF"/>
      <w:u w:val="single"/>
    </w:rPr>
  </w:style>
  <w:style w:type="character" w:styleId="37">
    <w:name w:val="annotation reference"/>
    <w:autoRedefine/>
    <w:qFormat/>
    <w:uiPriority w:val="0"/>
    <w:rPr>
      <w:sz w:val="21"/>
    </w:rPr>
  </w:style>
  <w:style w:type="character" w:customStyle="1" w:styleId="38">
    <w:name w:val="标题 1 字符"/>
    <w:basedOn w:val="32"/>
    <w:link w:val="3"/>
    <w:autoRedefine/>
    <w:qFormat/>
    <w:uiPriority w:val="0"/>
    <w:rPr>
      <w:rFonts w:ascii="Times New Roman" w:hAnsi="Times New Roman" w:eastAsia="黑体" w:cs="Times New Roman"/>
      <w:b/>
      <w:bCs/>
      <w:color w:val="000000"/>
      <w:kern w:val="44"/>
      <w:sz w:val="30"/>
      <w:szCs w:val="30"/>
    </w:rPr>
  </w:style>
  <w:style w:type="character" w:customStyle="1" w:styleId="39">
    <w:name w:val="标题 2 字符"/>
    <w:basedOn w:val="32"/>
    <w:link w:val="4"/>
    <w:autoRedefine/>
    <w:semiHidden/>
    <w:qFormat/>
    <w:uiPriority w:val="0"/>
    <w:rPr>
      <w:rFonts w:asciiTheme="majorHAnsi" w:hAnsiTheme="majorHAnsi" w:eastAsiaTheme="majorEastAsia" w:cstheme="majorBidi"/>
      <w:b/>
      <w:bCs/>
      <w:sz w:val="32"/>
      <w:szCs w:val="32"/>
    </w:rPr>
  </w:style>
  <w:style w:type="character" w:customStyle="1" w:styleId="40">
    <w:name w:val="正文缩进 字符"/>
    <w:link w:val="10"/>
    <w:autoRedefine/>
    <w:qFormat/>
    <w:uiPriority w:val="0"/>
    <w:rPr>
      <w:rFonts w:ascii="Times New Roman" w:hAnsi="Times New Roman" w:eastAsia="宋体" w:cs="Times New Roman"/>
      <w:sz w:val="28"/>
      <w:szCs w:val="20"/>
    </w:rPr>
  </w:style>
  <w:style w:type="character" w:customStyle="1" w:styleId="41">
    <w:name w:val="标题 3 字符"/>
    <w:basedOn w:val="32"/>
    <w:link w:val="5"/>
    <w:autoRedefine/>
    <w:qFormat/>
    <w:uiPriority w:val="9"/>
    <w:rPr>
      <w:rFonts w:ascii="Times New Roman" w:hAnsi="Times New Roman" w:eastAsia="宋体" w:cs="Times New Roman"/>
      <w:b/>
      <w:bCs/>
      <w:sz w:val="32"/>
      <w:szCs w:val="32"/>
    </w:rPr>
  </w:style>
  <w:style w:type="character" w:customStyle="1" w:styleId="42">
    <w:name w:val="标题 4 字符"/>
    <w:basedOn w:val="32"/>
    <w:link w:val="7"/>
    <w:autoRedefine/>
    <w:semiHidden/>
    <w:qFormat/>
    <w:uiPriority w:val="0"/>
    <w:rPr>
      <w:rFonts w:asciiTheme="majorHAnsi" w:hAnsiTheme="majorHAnsi" w:eastAsiaTheme="majorEastAsia" w:cstheme="majorBidi"/>
      <w:b/>
      <w:bCs/>
      <w:sz w:val="28"/>
      <w:szCs w:val="28"/>
    </w:rPr>
  </w:style>
  <w:style w:type="character" w:customStyle="1" w:styleId="43">
    <w:name w:val="宏文本 字符"/>
    <w:basedOn w:val="32"/>
    <w:link w:val="2"/>
    <w:autoRedefine/>
    <w:qFormat/>
    <w:uiPriority w:val="99"/>
    <w:rPr>
      <w:rFonts w:ascii="Courier New" w:hAnsi="Courier New" w:eastAsia="宋体" w:cs="Courier New"/>
      <w:sz w:val="24"/>
      <w:szCs w:val="24"/>
    </w:rPr>
  </w:style>
  <w:style w:type="character" w:customStyle="1" w:styleId="44">
    <w:name w:val="题注 字符"/>
    <w:link w:val="11"/>
    <w:autoRedefine/>
    <w:qFormat/>
    <w:uiPriority w:val="0"/>
    <w:rPr>
      <w:rFonts w:ascii="Times New Roman" w:hAnsi="Times New Roman" w:eastAsia="黑体" w:cs="Times New Roman"/>
      <w:szCs w:val="20"/>
    </w:rPr>
  </w:style>
  <w:style w:type="character" w:customStyle="1" w:styleId="45">
    <w:name w:val="批注文字 字符"/>
    <w:basedOn w:val="32"/>
    <w:link w:val="14"/>
    <w:autoRedefine/>
    <w:qFormat/>
    <w:uiPriority w:val="0"/>
    <w:rPr>
      <w:rFonts w:ascii="Times New Roman" w:hAnsi="Times New Roman" w:eastAsia="宋体" w:cs="Times New Roman"/>
      <w:kern w:val="0"/>
      <w:sz w:val="24"/>
      <w:szCs w:val="20"/>
    </w:rPr>
  </w:style>
  <w:style w:type="character" w:customStyle="1" w:styleId="46">
    <w:name w:val="正文文本 字符"/>
    <w:basedOn w:val="32"/>
    <w:link w:val="6"/>
    <w:autoRedefine/>
    <w:qFormat/>
    <w:uiPriority w:val="0"/>
    <w:rPr>
      <w:rFonts w:ascii="Times New Roman" w:hAnsi="Times New Roman" w:eastAsia="宋体" w:cs="Times New Roman"/>
      <w:kern w:val="0"/>
      <w:sz w:val="18"/>
      <w:szCs w:val="20"/>
    </w:rPr>
  </w:style>
  <w:style w:type="character" w:customStyle="1" w:styleId="47">
    <w:name w:val="正文文本缩进 字符"/>
    <w:basedOn w:val="32"/>
    <w:link w:val="15"/>
    <w:autoRedefine/>
    <w:qFormat/>
    <w:uiPriority w:val="99"/>
    <w:rPr>
      <w:rFonts w:ascii="Times New Roman" w:hAnsi="Times New Roman" w:eastAsia="宋体" w:cs="Times New Roman"/>
      <w:kern w:val="0"/>
      <w:sz w:val="24"/>
      <w:szCs w:val="20"/>
    </w:rPr>
  </w:style>
  <w:style w:type="character" w:customStyle="1" w:styleId="48">
    <w:name w:val="纯文本 字符"/>
    <w:basedOn w:val="32"/>
    <w:link w:val="17"/>
    <w:autoRedefine/>
    <w:qFormat/>
    <w:uiPriority w:val="0"/>
    <w:rPr>
      <w:rFonts w:ascii="宋体" w:hAnsi="Courier New" w:eastAsia="宋体" w:cs="Times New Roman"/>
      <w:sz w:val="20"/>
      <w:szCs w:val="20"/>
    </w:rPr>
  </w:style>
  <w:style w:type="character" w:customStyle="1" w:styleId="49">
    <w:name w:val="日期 字符1"/>
    <w:link w:val="18"/>
    <w:autoRedefine/>
    <w:qFormat/>
    <w:locked/>
    <w:uiPriority w:val="0"/>
    <w:rPr>
      <w:rFonts w:ascii="Times New Roman" w:hAnsi="Times New Roman" w:eastAsia="宋体" w:cs="Times New Roman"/>
      <w:kern w:val="0"/>
      <w:sz w:val="24"/>
      <w:szCs w:val="20"/>
    </w:rPr>
  </w:style>
  <w:style w:type="character" w:customStyle="1" w:styleId="50">
    <w:name w:val="正文文本缩进 2 字符"/>
    <w:basedOn w:val="32"/>
    <w:link w:val="19"/>
    <w:autoRedefine/>
    <w:qFormat/>
    <w:uiPriority w:val="0"/>
    <w:rPr>
      <w:rFonts w:ascii="Times New Roman" w:hAnsi="Times New Roman" w:eastAsia="宋体" w:cs="Times New Roman"/>
      <w:szCs w:val="21"/>
    </w:rPr>
  </w:style>
  <w:style w:type="character" w:customStyle="1" w:styleId="51">
    <w:name w:val="批注框文本 字符"/>
    <w:basedOn w:val="32"/>
    <w:link w:val="20"/>
    <w:autoRedefine/>
    <w:qFormat/>
    <w:uiPriority w:val="0"/>
    <w:rPr>
      <w:rFonts w:ascii="Times New Roman" w:hAnsi="Times New Roman" w:eastAsia="宋体" w:cs="Times New Roman"/>
      <w:kern w:val="0"/>
      <w:sz w:val="18"/>
      <w:szCs w:val="20"/>
    </w:rPr>
  </w:style>
  <w:style w:type="character" w:customStyle="1" w:styleId="52">
    <w:name w:val="页脚 字符"/>
    <w:basedOn w:val="32"/>
    <w:link w:val="21"/>
    <w:autoRedefine/>
    <w:qFormat/>
    <w:uiPriority w:val="0"/>
    <w:rPr>
      <w:rFonts w:ascii="Times New Roman" w:hAnsi="Times New Roman" w:eastAsia="宋体"/>
      <w:kern w:val="2"/>
      <w:sz w:val="18"/>
      <w:szCs w:val="18"/>
    </w:rPr>
  </w:style>
  <w:style w:type="character" w:customStyle="1" w:styleId="53">
    <w:name w:val="页眉 字符"/>
    <w:basedOn w:val="32"/>
    <w:link w:val="22"/>
    <w:autoRedefine/>
    <w:qFormat/>
    <w:uiPriority w:val="0"/>
    <w:rPr>
      <w:sz w:val="18"/>
      <w:szCs w:val="18"/>
    </w:rPr>
  </w:style>
  <w:style w:type="character" w:customStyle="1" w:styleId="54">
    <w:name w:val="正文文本 2 字符"/>
    <w:basedOn w:val="32"/>
    <w:link w:val="25"/>
    <w:autoRedefine/>
    <w:qFormat/>
    <w:uiPriority w:val="0"/>
    <w:rPr>
      <w:rFonts w:ascii="Times New Roman" w:hAnsi="Times New Roman" w:eastAsia="宋体" w:cs="Times New Roman"/>
      <w:szCs w:val="24"/>
    </w:rPr>
  </w:style>
  <w:style w:type="character" w:customStyle="1" w:styleId="55">
    <w:name w:val="普通(网站) 字符"/>
    <w:link w:val="26"/>
    <w:autoRedefine/>
    <w:qFormat/>
    <w:locked/>
    <w:uiPriority w:val="0"/>
    <w:rPr>
      <w:rFonts w:ascii="宋体" w:hAnsi="宋体" w:eastAsia="宋体" w:cs="Times New Roman"/>
      <w:kern w:val="0"/>
      <w:sz w:val="24"/>
      <w:szCs w:val="20"/>
    </w:rPr>
  </w:style>
  <w:style w:type="character" w:customStyle="1" w:styleId="56">
    <w:name w:val="批注主题 字符"/>
    <w:basedOn w:val="45"/>
    <w:link w:val="27"/>
    <w:autoRedefine/>
    <w:semiHidden/>
    <w:qFormat/>
    <w:uiPriority w:val="0"/>
    <w:rPr>
      <w:rFonts w:ascii="Times New Roman" w:hAnsi="Times New Roman" w:eastAsia="宋体" w:cs="Times New Roman"/>
      <w:b/>
      <w:kern w:val="0"/>
      <w:sz w:val="24"/>
      <w:szCs w:val="20"/>
    </w:rPr>
  </w:style>
  <w:style w:type="character" w:customStyle="1" w:styleId="57">
    <w:name w:val="正文文本首行缩进 字符"/>
    <w:basedOn w:val="46"/>
    <w:link w:val="28"/>
    <w:autoRedefine/>
    <w:qFormat/>
    <w:uiPriority w:val="0"/>
    <w:rPr>
      <w:rFonts w:ascii="Times New Roman" w:hAnsi="Times New Roman" w:eastAsia="宋体" w:cs="Times New Roman"/>
      <w:kern w:val="0"/>
      <w:sz w:val="18"/>
      <w:szCs w:val="20"/>
    </w:rPr>
  </w:style>
  <w:style w:type="character" w:customStyle="1" w:styleId="58">
    <w:name w:val="正文文本首行缩进 2 字符"/>
    <w:basedOn w:val="47"/>
    <w:link w:val="29"/>
    <w:autoRedefine/>
    <w:qFormat/>
    <w:uiPriority w:val="0"/>
    <w:rPr>
      <w:rFonts w:ascii="Times New Roman" w:hAnsi="Times New Roman" w:eastAsia="宋体" w:cs="Times New Roman"/>
      <w:kern w:val="0"/>
      <w:sz w:val="24"/>
      <w:szCs w:val="20"/>
    </w:rPr>
  </w:style>
  <w:style w:type="character" w:customStyle="1" w:styleId="59">
    <w:name w:val="日期 字符"/>
    <w:basedOn w:val="32"/>
    <w:autoRedefine/>
    <w:semiHidden/>
    <w:qFormat/>
    <w:uiPriority w:val="0"/>
  </w:style>
  <w:style w:type="paragraph" w:customStyle="1" w:styleId="60">
    <w:name w:val="正文 首行缩进:  2 字符"/>
    <w:basedOn w:val="1"/>
    <w:autoRedefine/>
    <w:qFormat/>
    <w:uiPriority w:val="0"/>
    <w:pPr>
      <w:ind w:left="420" w:firstLine="579"/>
      <w:jc w:val="left"/>
    </w:pPr>
    <w:rPr>
      <w:rFonts w:eastAsia="等线" w:cs="宋体"/>
      <w:szCs w:val="20"/>
    </w:rPr>
  </w:style>
  <w:style w:type="paragraph" w:customStyle="1" w:styleId="6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普通(网站)2"/>
    <w:basedOn w:val="1"/>
    <w:autoRedefine/>
    <w:qFormat/>
    <w:uiPriority w:val="0"/>
    <w:pPr>
      <w:widowControl/>
      <w:spacing w:before="100" w:beforeAutospacing="1" w:after="100" w:afterAutospacing="1"/>
      <w:ind w:left="420"/>
      <w:jc w:val="left"/>
    </w:pPr>
    <w:rPr>
      <w:rFonts w:ascii="宋体" w:hAnsi="宋体" w:cs="Times New Roman"/>
      <w:sz w:val="24"/>
      <w:szCs w:val="20"/>
    </w:rPr>
  </w:style>
  <w:style w:type="paragraph" w:customStyle="1" w:styleId="63">
    <w:name w:val="表格"/>
    <w:basedOn w:val="64"/>
    <w:next w:val="1"/>
    <w:link w:val="66"/>
    <w:autoRedefine/>
    <w:qFormat/>
    <w:uiPriority w:val="0"/>
    <w:pPr>
      <w:spacing w:beforeLines="10" w:afterLines="10" w:line="259" w:lineRule="auto"/>
      <w:ind w:left="420"/>
      <w:jc w:val="left"/>
    </w:pPr>
    <w:rPr>
      <w:rFonts w:ascii="宋体" w:cs="Times New Roman"/>
      <w:kern w:val="0"/>
      <w:szCs w:val="20"/>
    </w:rPr>
  </w:style>
  <w:style w:type="paragraph" w:customStyle="1" w:styleId="64">
    <w:name w:val="表格文字"/>
    <w:basedOn w:val="17"/>
    <w:link w:val="80"/>
    <w:autoRedefine/>
    <w:qFormat/>
    <w:uiPriority w:val="0"/>
    <w:pPr>
      <w:ind w:left="420"/>
      <w:jc w:val="left"/>
    </w:pPr>
    <w:rPr>
      <w:rFonts w:ascii="仿宋_GB2312" w:hAnsi="Arial Black" w:eastAsia="仿宋_GB2312" w:cs="Times New Roman"/>
      <w:kern w:val="44"/>
      <w:sz w:val="24"/>
      <w:szCs w:val="20"/>
    </w:rPr>
  </w:style>
  <w:style w:type="paragraph" w:customStyle="1" w:styleId="65">
    <w:name w:val="!正文"/>
    <w:basedOn w:val="1"/>
    <w:qFormat/>
    <w:uiPriority w:val="0"/>
    <w:pPr>
      <w:tabs>
        <w:tab w:val="left" w:pos="840"/>
      </w:tabs>
      <w:spacing w:line="312" w:lineRule="auto"/>
      <w:ind w:firstLine="200" w:firstLineChars="200"/>
    </w:pPr>
    <w:rPr>
      <w:sz w:val="24"/>
    </w:rPr>
  </w:style>
  <w:style w:type="character" w:customStyle="1" w:styleId="66">
    <w:name w:val="表格 Char"/>
    <w:link w:val="63"/>
    <w:autoRedefine/>
    <w:qFormat/>
    <w:locked/>
    <w:uiPriority w:val="0"/>
    <w:rPr>
      <w:rFonts w:ascii="宋体" w:hAnsi="Times New Roman" w:eastAsia="宋体" w:cs="Times New Roman"/>
      <w:kern w:val="0"/>
      <w:szCs w:val="20"/>
    </w:rPr>
  </w:style>
  <w:style w:type="paragraph" w:customStyle="1" w:styleId="67">
    <w:name w:val="表标题"/>
    <w:next w:val="1"/>
    <w:link w:val="68"/>
    <w:autoRedefine/>
    <w:qFormat/>
    <w:uiPriority w:val="0"/>
    <w:pPr>
      <w:spacing w:before="60"/>
      <w:jc w:val="center"/>
    </w:pPr>
    <w:rPr>
      <w:rFonts w:ascii="Times New Roman" w:hAnsi="Times New Roman" w:eastAsia="宋体" w:cs="Times New Roman"/>
      <w:b/>
      <w:kern w:val="2"/>
      <w:sz w:val="24"/>
      <w:szCs w:val="24"/>
      <w:lang w:val="en-US" w:eastAsia="zh-CN" w:bidi="ar-SA"/>
    </w:rPr>
  </w:style>
  <w:style w:type="character" w:customStyle="1" w:styleId="68">
    <w:name w:val="表标题 Char"/>
    <w:link w:val="67"/>
    <w:autoRedefine/>
    <w:qFormat/>
    <w:uiPriority w:val="0"/>
    <w:rPr>
      <w:rFonts w:ascii="Times New Roman" w:hAnsi="Times New Roman" w:eastAsia="宋体" w:cs="Times New Roman"/>
      <w:b/>
      <w:sz w:val="24"/>
      <w:szCs w:val="24"/>
    </w:rPr>
  </w:style>
  <w:style w:type="paragraph" w:customStyle="1" w:styleId="69">
    <w:name w:val="YY表格正文"/>
    <w:basedOn w:val="1"/>
    <w:link w:val="70"/>
    <w:autoRedefine/>
    <w:qFormat/>
    <w:uiPriority w:val="0"/>
    <w:pPr>
      <w:tabs>
        <w:tab w:val="left" w:pos="0"/>
      </w:tabs>
      <w:ind w:left="420"/>
      <w:jc w:val="left"/>
    </w:pPr>
    <w:rPr>
      <w:rFonts w:cs="Times New Roman"/>
      <w:color w:val="000000"/>
      <w:szCs w:val="21"/>
    </w:rPr>
  </w:style>
  <w:style w:type="character" w:customStyle="1" w:styleId="70">
    <w:name w:val="YY表格正文 字符"/>
    <w:link w:val="69"/>
    <w:autoRedefine/>
    <w:qFormat/>
    <w:uiPriority w:val="0"/>
    <w:rPr>
      <w:rFonts w:ascii="Times New Roman" w:hAnsi="Times New Roman" w:eastAsia="宋体" w:cs="Times New Roman"/>
      <w:color w:val="000000"/>
      <w:szCs w:val="21"/>
    </w:rPr>
  </w:style>
  <w:style w:type="paragraph" w:customStyle="1" w:styleId="71">
    <w:name w:val="Default"/>
    <w:link w:val="7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72">
    <w:name w:val="Default Char"/>
    <w:link w:val="71"/>
    <w:autoRedefine/>
    <w:qFormat/>
    <w:locked/>
    <w:uiPriority w:val="0"/>
    <w:rPr>
      <w:rFonts w:ascii="宋体" w:hAnsi="Times New Roman" w:eastAsia="宋体" w:cs="宋体"/>
      <w:color w:val="000000"/>
      <w:kern w:val="0"/>
      <w:sz w:val="24"/>
      <w:szCs w:val="24"/>
    </w:rPr>
  </w:style>
  <w:style w:type="paragraph" w:customStyle="1" w:styleId="73">
    <w:name w:val="Body Text 21"/>
    <w:basedOn w:val="1"/>
    <w:autoRedefine/>
    <w:qFormat/>
    <w:uiPriority w:val="0"/>
    <w:pPr>
      <w:ind w:left="420"/>
      <w:jc w:val="left"/>
      <w:textAlignment w:val="baseline"/>
    </w:pPr>
    <w:rPr>
      <w:rFonts w:ascii="仿宋_GB2312" w:hAnsi="Calibri" w:eastAsia="仿宋体" w:cs="Times New Roman"/>
      <w:sz w:val="24"/>
      <w:szCs w:val="20"/>
    </w:rPr>
  </w:style>
  <w:style w:type="paragraph" w:customStyle="1" w:styleId="74">
    <w:name w:val="中文报告书样式"/>
    <w:basedOn w:val="1"/>
    <w:autoRedefine/>
    <w:qFormat/>
    <w:uiPriority w:val="0"/>
    <w:pPr>
      <w:ind w:left="420" w:firstLine="480"/>
      <w:jc w:val="left"/>
      <w:textAlignment w:val="baseline"/>
    </w:pPr>
    <w:rPr>
      <w:rFonts w:cs="Times New Roman"/>
      <w:kern w:val="24"/>
      <w:sz w:val="24"/>
    </w:rPr>
  </w:style>
  <w:style w:type="paragraph" w:customStyle="1" w:styleId="75">
    <w:name w:val="表格内容"/>
    <w:basedOn w:val="1"/>
    <w:link w:val="76"/>
    <w:autoRedefine/>
    <w:qFormat/>
    <w:uiPriority w:val="0"/>
    <w:pPr>
      <w:overflowPunct w:val="0"/>
      <w:spacing w:line="240" w:lineRule="auto"/>
      <w:ind w:firstLine="0" w:firstLineChars="0"/>
      <w:jc w:val="center"/>
      <w:textAlignment w:val="baseline"/>
    </w:pPr>
    <w:rPr>
      <w:rFonts w:cs="Times New Roman"/>
      <w:kern w:val="0"/>
      <w:szCs w:val="20"/>
    </w:rPr>
  </w:style>
  <w:style w:type="character" w:customStyle="1" w:styleId="76">
    <w:name w:val="表格内容 Char"/>
    <w:link w:val="75"/>
    <w:autoRedefine/>
    <w:qFormat/>
    <w:uiPriority w:val="0"/>
    <w:rPr>
      <w:rFonts w:ascii="Times New Roman" w:hAnsi="Times New Roman" w:eastAsia="宋体" w:cs="Times New Roman"/>
      <w:sz w:val="21"/>
    </w:rPr>
  </w:style>
  <w:style w:type="paragraph" w:customStyle="1" w:styleId="77">
    <w:name w:val="1 正文"/>
    <w:basedOn w:val="78"/>
    <w:link w:val="79"/>
    <w:autoRedefine/>
    <w:qFormat/>
    <w:uiPriority w:val="0"/>
    <w:pPr>
      <w:ind w:firstLine="200"/>
    </w:pPr>
    <w:rPr>
      <w:sz w:val="21"/>
    </w:rPr>
  </w:style>
  <w:style w:type="paragraph" w:customStyle="1" w:styleId="78">
    <w:name w:val="样式6"/>
    <w:basedOn w:val="1"/>
    <w:autoRedefine/>
    <w:qFormat/>
    <w:uiPriority w:val="0"/>
    <w:pPr>
      <w:ind w:left="420" w:firstLine="480"/>
      <w:jc w:val="left"/>
    </w:pPr>
    <w:rPr>
      <w:rFonts w:cs="Times New Roman"/>
      <w:kern w:val="0"/>
      <w:sz w:val="24"/>
      <w:szCs w:val="20"/>
    </w:rPr>
  </w:style>
  <w:style w:type="character" w:customStyle="1" w:styleId="79">
    <w:name w:val="1 正文 Char"/>
    <w:link w:val="77"/>
    <w:autoRedefine/>
    <w:qFormat/>
    <w:uiPriority w:val="0"/>
    <w:rPr>
      <w:rFonts w:ascii="Times New Roman" w:hAnsi="Times New Roman" w:eastAsia="宋体" w:cs="Times New Roman"/>
      <w:kern w:val="0"/>
      <w:szCs w:val="20"/>
    </w:rPr>
  </w:style>
  <w:style w:type="character" w:customStyle="1" w:styleId="80">
    <w:name w:val="表格文字 Char"/>
    <w:link w:val="64"/>
    <w:autoRedefine/>
    <w:qFormat/>
    <w:uiPriority w:val="0"/>
    <w:rPr>
      <w:rFonts w:ascii="仿宋_GB2312" w:hAnsi="Arial Black" w:eastAsia="仿宋_GB2312" w:cs="Times New Roman"/>
      <w:kern w:val="44"/>
      <w:sz w:val="24"/>
      <w:szCs w:val="20"/>
    </w:rPr>
  </w:style>
  <w:style w:type="paragraph" w:customStyle="1" w:styleId="81">
    <w:name w:val="正文4号"/>
    <w:basedOn w:val="1"/>
    <w:autoRedefine/>
    <w:qFormat/>
    <w:uiPriority w:val="0"/>
    <w:pPr>
      <w:ind w:left="420"/>
      <w:jc w:val="left"/>
    </w:pPr>
    <w:rPr>
      <w:rFonts w:cs="Times New Roman"/>
      <w:sz w:val="24"/>
      <w:szCs w:val="21"/>
    </w:rPr>
  </w:style>
  <w:style w:type="paragraph" w:customStyle="1" w:styleId="82">
    <w:name w:val="正文-lcc"/>
    <w:basedOn w:val="1"/>
    <w:autoRedefine/>
    <w:qFormat/>
    <w:uiPriority w:val="0"/>
    <w:pPr>
      <w:ind w:left="420"/>
      <w:jc w:val="left"/>
    </w:pPr>
    <w:rPr>
      <w:rFonts w:ascii="等线" w:hAnsi="等线" w:eastAsia="仿宋" w:cs="Times New Roman"/>
      <w:color w:val="000000"/>
      <w:sz w:val="24"/>
      <w:szCs w:val="20"/>
    </w:rPr>
  </w:style>
  <w:style w:type="paragraph" w:customStyle="1" w:styleId="83">
    <w:name w:val="1.....正文"/>
    <w:basedOn w:val="1"/>
    <w:link w:val="84"/>
    <w:autoRedefine/>
    <w:qFormat/>
    <w:uiPriority w:val="0"/>
    <w:pPr>
      <w:ind w:left="420" w:firstLine="560"/>
      <w:jc w:val="left"/>
    </w:pPr>
    <w:rPr>
      <w:rFonts w:ascii="仿宋_GB2312" w:eastAsia="仿宋_GB2312" w:cs="Times New Roman"/>
      <w:sz w:val="28"/>
      <w:szCs w:val="28"/>
    </w:rPr>
  </w:style>
  <w:style w:type="character" w:customStyle="1" w:styleId="84">
    <w:name w:val="1.....正文 Char"/>
    <w:link w:val="83"/>
    <w:autoRedefine/>
    <w:qFormat/>
    <w:uiPriority w:val="0"/>
    <w:rPr>
      <w:rFonts w:ascii="仿宋_GB2312" w:hAnsi="Times New Roman" w:eastAsia="仿宋_GB2312" w:cs="Times New Roman"/>
      <w:sz w:val="28"/>
      <w:szCs w:val="28"/>
    </w:rPr>
  </w:style>
  <w:style w:type="paragraph" w:customStyle="1" w:styleId="85">
    <w:name w:val="1表格"/>
    <w:basedOn w:val="1"/>
    <w:link w:val="86"/>
    <w:autoRedefine/>
    <w:qFormat/>
    <w:uiPriority w:val="0"/>
    <w:pPr>
      <w:ind w:left="420"/>
      <w:jc w:val="left"/>
    </w:pPr>
    <w:rPr>
      <w:rFonts w:cs="Times New Roman"/>
      <w:spacing w:val="4"/>
      <w:kern w:val="0"/>
      <w:sz w:val="20"/>
      <w:szCs w:val="21"/>
    </w:rPr>
  </w:style>
  <w:style w:type="character" w:customStyle="1" w:styleId="86">
    <w:name w:val="1表格 Char"/>
    <w:link w:val="85"/>
    <w:autoRedefine/>
    <w:qFormat/>
    <w:locked/>
    <w:uiPriority w:val="0"/>
    <w:rPr>
      <w:rFonts w:ascii="Times New Roman" w:hAnsi="Times New Roman" w:eastAsia="宋体" w:cs="Times New Roman"/>
      <w:spacing w:val="4"/>
      <w:kern w:val="0"/>
      <w:sz w:val="20"/>
      <w:szCs w:val="21"/>
    </w:rPr>
  </w:style>
  <w:style w:type="paragraph" w:customStyle="1" w:styleId="87">
    <w:name w:val="111表头"/>
    <w:basedOn w:val="1"/>
    <w:autoRedefine/>
    <w:qFormat/>
    <w:uiPriority w:val="0"/>
    <w:pPr>
      <w:tabs>
        <w:tab w:val="left" w:pos="600"/>
      </w:tabs>
      <w:spacing w:line="400" w:lineRule="exact"/>
      <w:ind w:left="420"/>
      <w:jc w:val="left"/>
    </w:pPr>
    <w:rPr>
      <w:rFonts w:ascii="Calibri" w:hAnsi="Calibri" w:cs="Times New Roman"/>
      <w:b/>
      <w:kern w:val="0"/>
      <w:sz w:val="24"/>
      <w:szCs w:val="21"/>
    </w:rPr>
  </w:style>
  <w:style w:type="paragraph" w:customStyle="1" w:styleId="88">
    <w:name w:val="111正文"/>
    <w:basedOn w:val="1"/>
    <w:link w:val="89"/>
    <w:autoRedefine/>
    <w:qFormat/>
    <w:uiPriority w:val="0"/>
    <w:pPr>
      <w:tabs>
        <w:tab w:val="left" w:pos="600"/>
      </w:tabs>
      <w:ind w:left="420"/>
      <w:jc w:val="left"/>
    </w:pPr>
    <w:rPr>
      <w:rFonts w:ascii="Calibri" w:hAnsi="Calibri" w:cs="Times New Roman"/>
      <w:kern w:val="0"/>
      <w:sz w:val="24"/>
      <w:szCs w:val="21"/>
    </w:rPr>
  </w:style>
  <w:style w:type="character" w:customStyle="1" w:styleId="89">
    <w:name w:val="111正文 Char"/>
    <w:link w:val="88"/>
    <w:autoRedefine/>
    <w:qFormat/>
    <w:uiPriority w:val="0"/>
    <w:rPr>
      <w:rFonts w:ascii="Calibri" w:hAnsi="Calibri" w:eastAsia="宋体" w:cs="Times New Roman"/>
      <w:kern w:val="0"/>
      <w:sz w:val="24"/>
      <w:szCs w:val="21"/>
    </w:rPr>
  </w:style>
  <w:style w:type="paragraph" w:customStyle="1" w:styleId="90">
    <w:name w:val="表内表"/>
    <w:basedOn w:val="1"/>
    <w:link w:val="91"/>
    <w:autoRedefine/>
    <w:qFormat/>
    <w:uiPriority w:val="0"/>
    <w:pPr>
      <w:spacing w:line="240" w:lineRule="atLeast"/>
      <w:ind w:left="420"/>
      <w:jc w:val="left"/>
    </w:pPr>
    <w:rPr>
      <w:rFonts w:cs="Times New Roman"/>
      <w:bCs/>
      <w:szCs w:val="21"/>
    </w:rPr>
  </w:style>
  <w:style w:type="character" w:customStyle="1" w:styleId="91">
    <w:name w:val="表内表 字符"/>
    <w:link w:val="90"/>
    <w:autoRedefine/>
    <w:qFormat/>
    <w:uiPriority w:val="0"/>
    <w:rPr>
      <w:rFonts w:ascii="Times New Roman" w:hAnsi="Times New Roman" w:eastAsia="宋体" w:cs="Times New Roman"/>
      <w:bCs/>
      <w:szCs w:val="21"/>
    </w:rPr>
  </w:style>
  <w:style w:type="character" w:customStyle="1" w:styleId="92">
    <w:name w:val="页脚 字符1"/>
    <w:autoRedefine/>
    <w:qFormat/>
    <w:locked/>
    <w:uiPriority w:val="99"/>
    <w:rPr>
      <w:sz w:val="18"/>
    </w:rPr>
  </w:style>
  <w:style w:type="character" w:customStyle="1" w:styleId="93">
    <w:name w:val="正文文本 字符1"/>
    <w:autoRedefine/>
    <w:semiHidden/>
    <w:qFormat/>
    <w:uiPriority w:val="0"/>
    <w:rPr>
      <w:rFonts w:ascii="Times New Roman" w:hAnsi="Times New Roman" w:eastAsia="宋体"/>
      <w:sz w:val="24"/>
    </w:rPr>
  </w:style>
  <w:style w:type="character" w:customStyle="1" w:styleId="94">
    <w:name w:val="批注文字 字符1"/>
    <w:autoRedefine/>
    <w:semiHidden/>
    <w:qFormat/>
    <w:uiPriority w:val="0"/>
    <w:rPr>
      <w:rFonts w:ascii="Times New Roman" w:hAnsi="Times New Roman" w:eastAsia="宋体"/>
      <w:sz w:val="24"/>
    </w:rPr>
  </w:style>
  <w:style w:type="character" w:customStyle="1" w:styleId="95">
    <w:name w:val="纯文本 字符1"/>
    <w:autoRedefine/>
    <w:qFormat/>
    <w:uiPriority w:val="0"/>
    <w:rPr>
      <w:rFonts w:ascii="宋体" w:hAnsi="Courier New" w:cs="Courier New"/>
      <w:kern w:val="2"/>
      <w:sz w:val="21"/>
      <w:szCs w:val="21"/>
    </w:rPr>
  </w:style>
  <w:style w:type="paragraph" w:customStyle="1" w:styleId="96">
    <w:name w:val="引用1"/>
    <w:basedOn w:val="1"/>
    <w:next w:val="1"/>
    <w:autoRedefine/>
    <w:qFormat/>
    <w:uiPriority w:val="99"/>
    <w:pPr>
      <w:spacing w:line="360" w:lineRule="exact"/>
      <w:ind w:left="420"/>
      <w:jc w:val="left"/>
    </w:pPr>
    <w:rPr>
      <w:rFonts w:cs="Times New Roman"/>
      <w:iCs/>
      <w:color w:val="000000"/>
      <w:szCs w:val="21"/>
    </w:rPr>
  </w:style>
  <w:style w:type="character" w:customStyle="1" w:styleId="97">
    <w:name w:val="font41"/>
    <w:basedOn w:val="32"/>
    <w:autoRedefine/>
    <w:qFormat/>
    <w:uiPriority w:val="0"/>
    <w:rPr>
      <w:rFonts w:hint="eastAsia" w:ascii="宋体" w:hAnsi="宋体" w:eastAsia="宋体" w:cs="宋体"/>
      <w:color w:val="000000"/>
      <w:sz w:val="21"/>
      <w:szCs w:val="21"/>
      <w:u w:val="none"/>
    </w:rPr>
  </w:style>
  <w:style w:type="character" w:customStyle="1" w:styleId="98">
    <w:name w:val="font01"/>
    <w:basedOn w:val="32"/>
    <w:autoRedefine/>
    <w:qFormat/>
    <w:uiPriority w:val="0"/>
    <w:rPr>
      <w:rFonts w:hint="default" w:ascii="Times New Roman" w:hAnsi="Times New Roman" w:cs="Times New Roman"/>
      <w:color w:val="000000"/>
      <w:sz w:val="21"/>
      <w:szCs w:val="21"/>
      <w:u w:val="none"/>
    </w:rPr>
  </w:style>
  <w:style w:type="character" w:customStyle="1" w:styleId="99">
    <w:name w:val="font31"/>
    <w:basedOn w:val="32"/>
    <w:autoRedefine/>
    <w:qFormat/>
    <w:uiPriority w:val="0"/>
    <w:rPr>
      <w:rFonts w:hint="default" w:ascii="Times New Roman" w:hAnsi="Times New Roman" w:cs="Times New Roman"/>
      <w:color w:val="000000"/>
      <w:sz w:val="21"/>
      <w:szCs w:val="21"/>
      <w:u w:val="none"/>
      <w:vertAlign w:val="superscript"/>
    </w:rPr>
  </w:style>
  <w:style w:type="character" w:customStyle="1" w:styleId="100">
    <w:name w:val="YY正文 字符"/>
    <w:link w:val="101"/>
    <w:autoRedefine/>
    <w:qFormat/>
    <w:uiPriority w:val="0"/>
    <w:rPr>
      <w:sz w:val="24"/>
      <w:szCs w:val="24"/>
      <w:lang w:val="zh-CN"/>
    </w:rPr>
  </w:style>
  <w:style w:type="paragraph" w:customStyle="1" w:styleId="101">
    <w:name w:val="YY正文"/>
    <w:basedOn w:val="1"/>
    <w:link w:val="100"/>
    <w:autoRedefine/>
    <w:qFormat/>
    <w:uiPriority w:val="0"/>
    <w:pPr>
      <w:ind w:left="420"/>
      <w:jc w:val="left"/>
    </w:pPr>
    <w:rPr>
      <w:sz w:val="24"/>
      <w:szCs w:val="24"/>
      <w:lang w:val="zh-CN"/>
    </w:rPr>
  </w:style>
  <w:style w:type="paragraph" w:customStyle="1" w:styleId="102">
    <w:name w:val="表文字"/>
    <w:basedOn w:val="1"/>
    <w:autoRedefine/>
    <w:qFormat/>
    <w:uiPriority w:val="99"/>
    <w:pPr>
      <w:widowControl/>
      <w:ind w:left="420"/>
      <w:jc w:val="left"/>
    </w:pPr>
    <w:rPr>
      <w:rFonts w:ascii="Calibri" w:hAnsi="Calibri" w:cs="Times New Roman"/>
      <w:kern w:val="0"/>
      <w:szCs w:val="21"/>
    </w:rPr>
  </w:style>
  <w:style w:type="character" w:customStyle="1" w:styleId="103">
    <w:name w:val="1 表头 自制 Char"/>
    <w:link w:val="104"/>
    <w:autoRedefine/>
    <w:qFormat/>
    <w:locked/>
    <w:uiPriority w:val="0"/>
    <w:rPr>
      <w:b/>
      <w:szCs w:val="21"/>
    </w:rPr>
  </w:style>
  <w:style w:type="paragraph" w:customStyle="1" w:styleId="104">
    <w:name w:val="1 表头 自制"/>
    <w:basedOn w:val="1"/>
    <w:link w:val="103"/>
    <w:autoRedefine/>
    <w:qFormat/>
    <w:uiPriority w:val="0"/>
    <w:pPr>
      <w:ind w:left="420"/>
      <w:jc w:val="left"/>
    </w:pPr>
    <w:rPr>
      <w:b/>
      <w:szCs w:val="21"/>
    </w:rPr>
  </w:style>
  <w:style w:type="character" w:customStyle="1" w:styleId="105">
    <w:name w:val="表头 Char"/>
    <w:link w:val="106"/>
    <w:autoRedefine/>
    <w:qFormat/>
    <w:uiPriority w:val="0"/>
    <w:rPr>
      <w:rFonts w:ascii="Times New Roman" w:hAnsi="Times New Roman" w:eastAsia="宋体"/>
      <w:b/>
      <w:kern w:val="2"/>
      <w:sz w:val="21"/>
      <w:szCs w:val="24"/>
    </w:rPr>
  </w:style>
  <w:style w:type="paragraph" w:customStyle="1" w:styleId="106">
    <w:name w:val="表头"/>
    <w:basedOn w:val="6"/>
    <w:next w:val="24"/>
    <w:link w:val="105"/>
    <w:autoRedefine/>
    <w:qFormat/>
    <w:uiPriority w:val="0"/>
    <w:pPr>
      <w:spacing w:line="240" w:lineRule="auto"/>
      <w:ind w:firstLine="0" w:firstLineChars="0"/>
      <w:jc w:val="center"/>
    </w:pPr>
    <w:rPr>
      <w:szCs w:val="24"/>
    </w:rPr>
  </w:style>
  <w:style w:type="paragraph" w:customStyle="1" w:styleId="107">
    <w:name w:val="图、表"/>
    <w:basedOn w:val="1"/>
    <w:qFormat/>
    <w:uiPriority w:val="0"/>
    <w:pPr>
      <w:jc w:val="center"/>
    </w:pPr>
    <w:rPr>
      <w:b/>
    </w:rPr>
  </w:style>
  <w:style w:type="paragraph" w:customStyle="1" w:styleId="108">
    <w:name w:val="框图"/>
    <w:basedOn w:val="1"/>
    <w:autoRedefine/>
    <w:qFormat/>
    <w:uiPriority w:val="0"/>
    <w:pPr>
      <w:ind w:left="33" w:leftChars="-38" w:right="-80" w:rightChars="-38" w:hanging="113" w:hangingChars="54"/>
      <w:jc w:val="left"/>
    </w:pPr>
    <w:rPr>
      <w:rFonts w:ascii="宋体" w:hAnsi="宋体" w:cs="Times New Roman"/>
      <w:color w:val="000000"/>
      <w:szCs w:val="21"/>
    </w:rPr>
  </w:style>
  <w:style w:type="paragraph" w:customStyle="1" w:styleId="109">
    <w:name w:val="_Style 88"/>
    <w:basedOn w:val="1"/>
    <w:next w:val="1"/>
    <w:autoRedefine/>
    <w:qFormat/>
    <w:uiPriority w:val="0"/>
    <w:pPr>
      <w:ind w:left="1260" w:leftChars="600"/>
      <w:jc w:val="left"/>
    </w:pPr>
    <w:rPr>
      <w:rFonts w:cs="Times New Roman"/>
      <w:szCs w:val="20"/>
    </w:rPr>
  </w:style>
  <w:style w:type="character" w:customStyle="1" w:styleId="110">
    <w:name w:val="正文缩进 字符2"/>
    <w:autoRedefine/>
    <w:qFormat/>
    <w:uiPriority w:val="0"/>
    <w:rPr>
      <w:rFonts w:eastAsia="宋体"/>
      <w:kern w:val="2"/>
      <w:sz w:val="28"/>
      <w:szCs w:val="24"/>
      <w:lang w:val="en-US" w:eastAsia="zh-CN" w:bidi="ar-SA"/>
    </w:rPr>
  </w:style>
  <w:style w:type="paragraph" w:customStyle="1" w:styleId="111">
    <w:name w:val="Char Char Char Char Char Char Char Char1 Char Char Char Char Char Char Char Char Char Char"/>
    <w:basedOn w:val="1"/>
    <w:autoRedefine/>
    <w:qFormat/>
    <w:uiPriority w:val="0"/>
    <w:pPr>
      <w:ind w:left="420"/>
      <w:jc w:val="left"/>
    </w:pPr>
    <w:rPr>
      <w:rFonts w:cs="Times New Roman"/>
      <w:sz w:val="24"/>
      <w:szCs w:val="21"/>
    </w:rPr>
  </w:style>
  <w:style w:type="paragraph" w:customStyle="1" w:styleId="112">
    <w:name w:val="_Style 91"/>
    <w:basedOn w:val="6"/>
    <w:next w:val="28"/>
    <w:link w:val="113"/>
    <w:autoRedefine/>
    <w:qFormat/>
    <w:uiPriority w:val="0"/>
    <w:pPr>
      <w:widowControl w:val="0"/>
      <w:snapToGrid/>
      <w:spacing w:before="0" w:after="120" w:line="240" w:lineRule="auto"/>
      <w:ind w:right="0" w:firstLine="100" w:firstLineChars="100"/>
    </w:pPr>
    <w:rPr>
      <w:kern w:val="2"/>
      <w:sz w:val="21"/>
    </w:rPr>
  </w:style>
  <w:style w:type="character" w:customStyle="1" w:styleId="113">
    <w:name w:val="正文文本首行缩进 字符1"/>
    <w:link w:val="112"/>
    <w:autoRedefine/>
    <w:qFormat/>
    <w:uiPriority w:val="0"/>
    <w:rPr>
      <w:rFonts w:ascii="Times New Roman" w:hAnsi="Times New Roman" w:eastAsia="宋体" w:cs="Times New Roman"/>
      <w:szCs w:val="20"/>
    </w:rPr>
  </w:style>
  <w:style w:type="paragraph" w:customStyle="1" w:styleId="114">
    <w:name w:val="Table Paragraph"/>
    <w:basedOn w:val="1"/>
    <w:autoRedefine/>
    <w:qFormat/>
    <w:uiPriority w:val="1"/>
    <w:pPr>
      <w:ind w:left="420"/>
      <w:jc w:val="left"/>
    </w:pPr>
    <w:rPr>
      <w:rFonts w:ascii="Calibri" w:hAnsi="Calibri" w:cs="Times New Roman"/>
      <w:kern w:val="0"/>
      <w:sz w:val="22"/>
      <w:lang w:eastAsia="en-US"/>
    </w:rPr>
  </w:style>
  <w:style w:type="character" w:customStyle="1" w:styleId="115">
    <w:name w:val="正文文本缩进 2 Char1"/>
    <w:basedOn w:val="32"/>
    <w:autoRedefine/>
    <w:qFormat/>
    <w:uiPriority w:val="0"/>
    <w:rPr>
      <w:kern w:val="2"/>
      <w:sz w:val="21"/>
      <w:szCs w:val="24"/>
    </w:rPr>
  </w:style>
  <w:style w:type="paragraph" w:customStyle="1" w:styleId="116">
    <w:name w:val="11正文"/>
    <w:basedOn w:val="1"/>
    <w:autoRedefine/>
    <w:qFormat/>
    <w:uiPriority w:val="0"/>
    <w:pPr>
      <w:tabs>
        <w:tab w:val="left" w:pos="600"/>
      </w:tabs>
      <w:ind w:left="420"/>
      <w:jc w:val="left"/>
    </w:pPr>
    <w:rPr>
      <w:rFonts w:cs="Times New Roman"/>
      <w:kern w:val="0"/>
      <w:szCs w:val="21"/>
    </w:rPr>
  </w:style>
  <w:style w:type="paragraph" w:customStyle="1" w:styleId="117">
    <w:name w:val="表头、图名"/>
    <w:basedOn w:val="1"/>
    <w:autoRedefine/>
    <w:qFormat/>
    <w:uiPriority w:val="0"/>
    <w:pPr>
      <w:tabs>
        <w:tab w:val="left" w:pos="600"/>
      </w:tabs>
      <w:ind w:left="420"/>
      <w:jc w:val="left"/>
    </w:pPr>
    <w:rPr>
      <w:rFonts w:cs="Times New Roman"/>
      <w:b/>
      <w:kern w:val="0"/>
      <w:szCs w:val="21"/>
    </w:rPr>
  </w:style>
  <w:style w:type="paragraph" w:customStyle="1" w:styleId="118">
    <w:name w:val="正文1"/>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119">
    <w:name w:val="1表格正文 字符"/>
    <w:link w:val="120"/>
    <w:autoRedefine/>
    <w:qFormat/>
    <w:locked/>
    <w:uiPriority w:val="0"/>
    <w:rPr>
      <w:spacing w:val="4"/>
      <w:sz w:val="18"/>
      <w:szCs w:val="24"/>
    </w:rPr>
  </w:style>
  <w:style w:type="paragraph" w:customStyle="1" w:styleId="120">
    <w:name w:val="1表格正文"/>
    <w:basedOn w:val="1"/>
    <w:link w:val="119"/>
    <w:autoRedefine/>
    <w:qFormat/>
    <w:uiPriority w:val="0"/>
    <w:pPr>
      <w:ind w:left="420"/>
      <w:jc w:val="left"/>
    </w:pPr>
    <w:rPr>
      <w:spacing w:val="4"/>
      <w:sz w:val="18"/>
      <w:szCs w:val="24"/>
    </w:rPr>
  </w:style>
  <w:style w:type="table" w:customStyle="1" w:styleId="121">
    <w:name w:val="网格型浅色1"/>
    <w:basedOn w:val="30"/>
    <w:autoRedefine/>
    <w:qFormat/>
    <w:uiPriority w:val="40"/>
    <w:pPr>
      <w:adjustRightInd w:val="0"/>
      <w:snapToGrid w:val="0"/>
      <w:jc w:val="center"/>
    </w:pPr>
    <w:rPr>
      <w:sz w:val="18"/>
    </w:rPr>
    <w:tblP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cPr>
      <w:tcMar>
        <w:left w:w="57" w:type="dxa"/>
        <w:right w:w="57" w:type="dxa"/>
      </w:tcMar>
    </w:tcPr>
  </w:style>
  <w:style w:type="character" w:customStyle="1" w:styleId="122">
    <w:name w:val="YY表头 字符"/>
    <w:autoRedefine/>
    <w:qFormat/>
    <w:uiPriority w:val="0"/>
    <w:rPr>
      <w:b/>
      <w:bCs/>
      <w:sz w:val="24"/>
    </w:rPr>
  </w:style>
  <w:style w:type="paragraph" w:customStyle="1" w:styleId="123">
    <w:name w:val="YY表头"/>
    <w:basedOn w:val="1"/>
    <w:link w:val="124"/>
    <w:autoRedefine/>
    <w:qFormat/>
    <w:uiPriority w:val="0"/>
    <w:pPr>
      <w:spacing w:line="324" w:lineRule="auto"/>
      <w:ind w:left="420"/>
      <w:jc w:val="left"/>
    </w:pPr>
    <w:rPr>
      <w:rFonts w:cs="Times New Roman"/>
      <w:b/>
      <w:bCs/>
      <w:kern w:val="0"/>
      <w:sz w:val="24"/>
      <w:szCs w:val="20"/>
    </w:rPr>
  </w:style>
  <w:style w:type="character" w:customStyle="1" w:styleId="124">
    <w:name w:val="YY表头 Char"/>
    <w:link w:val="123"/>
    <w:autoRedefine/>
    <w:qFormat/>
    <w:uiPriority w:val="0"/>
    <w:rPr>
      <w:rFonts w:ascii="Times New Roman" w:hAnsi="Times New Roman" w:eastAsia="宋体" w:cs="Times New Roman"/>
      <w:b/>
      <w:bCs/>
      <w:kern w:val="0"/>
      <w:sz w:val="24"/>
      <w:szCs w:val="20"/>
    </w:rPr>
  </w:style>
  <w:style w:type="paragraph" w:customStyle="1" w:styleId="125">
    <w:name w:val="1正文，首行缩进"/>
    <w:basedOn w:val="1"/>
    <w:link w:val="126"/>
    <w:autoRedefine/>
    <w:qFormat/>
    <w:uiPriority w:val="0"/>
    <w:pPr>
      <w:topLinePunct/>
      <w:ind w:left="420"/>
      <w:jc w:val="left"/>
    </w:pPr>
    <w:rPr>
      <w:rFonts w:cs="Times New Roman"/>
      <w:snapToGrid w:val="0"/>
      <w:color w:val="000000"/>
      <w:kern w:val="0"/>
      <w:sz w:val="24"/>
      <w:szCs w:val="20"/>
      <w:lang w:val="zh-CN"/>
    </w:rPr>
  </w:style>
  <w:style w:type="character" w:customStyle="1" w:styleId="126">
    <w:name w:val="1正文，首行缩进 Char"/>
    <w:link w:val="125"/>
    <w:autoRedefine/>
    <w:qFormat/>
    <w:uiPriority w:val="0"/>
    <w:rPr>
      <w:rFonts w:ascii="Times New Roman" w:hAnsi="Times New Roman" w:eastAsia="宋体" w:cs="Times New Roman"/>
      <w:snapToGrid w:val="0"/>
      <w:color w:val="000000"/>
      <w:kern w:val="0"/>
      <w:sz w:val="24"/>
      <w:szCs w:val="20"/>
      <w:lang w:val="zh-CN"/>
    </w:rPr>
  </w:style>
  <w:style w:type="character" w:customStyle="1" w:styleId="127">
    <w:name w:val="正文，表格下一行 Char"/>
    <w:link w:val="128"/>
    <w:autoRedefine/>
    <w:qFormat/>
    <w:uiPriority w:val="0"/>
    <w:rPr>
      <w:sz w:val="24"/>
      <w:szCs w:val="24"/>
      <w:lang w:val="zh-CN"/>
    </w:rPr>
  </w:style>
  <w:style w:type="paragraph" w:customStyle="1" w:styleId="128">
    <w:name w:val="正文，表格下一行"/>
    <w:basedOn w:val="1"/>
    <w:link w:val="127"/>
    <w:autoRedefine/>
    <w:qFormat/>
    <w:uiPriority w:val="0"/>
    <w:pPr>
      <w:widowControl/>
      <w:spacing w:beforeLines="50"/>
      <w:ind w:left="420"/>
      <w:jc w:val="left"/>
    </w:pPr>
    <w:rPr>
      <w:sz w:val="24"/>
      <w:szCs w:val="24"/>
      <w:lang w:val="zh-CN"/>
    </w:rPr>
  </w:style>
  <w:style w:type="character" w:customStyle="1" w:styleId="129">
    <w:name w:val="表、图标题 Char"/>
    <w:link w:val="130"/>
    <w:autoRedefine/>
    <w:qFormat/>
    <w:uiPriority w:val="0"/>
    <w:rPr>
      <w:b/>
      <w:bCs/>
      <w:sz w:val="24"/>
      <w:szCs w:val="24"/>
    </w:rPr>
  </w:style>
  <w:style w:type="paragraph" w:customStyle="1" w:styleId="130">
    <w:name w:val="表、图标题"/>
    <w:basedOn w:val="1"/>
    <w:link w:val="129"/>
    <w:autoRedefine/>
    <w:qFormat/>
    <w:uiPriority w:val="0"/>
    <w:pPr>
      <w:widowControl/>
      <w:ind w:left="420"/>
      <w:jc w:val="left"/>
    </w:pPr>
    <w:rPr>
      <w:b/>
      <w:bCs/>
      <w:sz w:val="24"/>
      <w:szCs w:val="24"/>
    </w:rPr>
  </w:style>
  <w:style w:type="character" w:customStyle="1" w:styleId="131">
    <w:name w:val="谏壁正文chen Char"/>
    <w:link w:val="132"/>
    <w:autoRedefine/>
    <w:qFormat/>
    <w:uiPriority w:val="0"/>
    <w:rPr>
      <w:sz w:val="24"/>
      <w:szCs w:val="24"/>
    </w:rPr>
  </w:style>
  <w:style w:type="paragraph" w:customStyle="1" w:styleId="132">
    <w:name w:val="谏壁正文chen"/>
    <w:basedOn w:val="1"/>
    <w:link w:val="131"/>
    <w:autoRedefine/>
    <w:qFormat/>
    <w:uiPriority w:val="0"/>
    <w:pPr>
      <w:ind w:left="420"/>
      <w:jc w:val="left"/>
    </w:pPr>
    <w:rPr>
      <w:sz w:val="24"/>
      <w:szCs w:val="24"/>
    </w:rPr>
  </w:style>
  <w:style w:type="paragraph" w:styleId="133">
    <w:name w:val="List Paragraph"/>
    <w:basedOn w:val="1"/>
    <w:autoRedefine/>
    <w:qFormat/>
    <w:uiPriority w:val="1"/>
    <w:pPr>
      <w:ind w:left="420"/>
      <w:jc w:val="left"/>
    </w:pPr>
    <w:rPr>
      <w:rFonts w:cs="Times New Roman"/>
      <w:szCs w:val="24"/>
    </w:rPr>
  </w:style>
  <w:style w:type="character" w:customStyle="1" w:styleId="134">
    <w:name w:val="图表 Char"/>
    <w:link w:val="135"/>
    <w:autoRedefine/>
    <w:qFormat/>
    <w:uiPriority w:val="0"/>
    <w:rPr>
      <w:color w:val="000000"/>
      <w:szCs w:val="21"/>
      <w:lang w:val="zh-CN"/>
    </w:rPr>
  </w:style>
  <w:style w:type="paragraph" w:customStyle="1" w:styleId="135">
    <w:name w:val="图表"/>
    <w:basedOn w:val="1"/>
    <w:link w:val="134"/>
    <w:autoRedefine/>
    <w:qFormat/>
    <w:uiPriority w:val="0"/>
    <w:pPr>
      <w:widowControl/>
      <w:ind w:left="420"/>
      <w:jc w:val="left"/>
    </w:pPr>
    <w:rPr>
      <w:color w:val="000000"/>
      <w:szCs w:val="21"/>
      <w:lang w:val="zh-CN"/>
    </w:rPr>
  </w:style>
  <w:style w:type="character" w:customStyle="1" w:styleId="136">
    <w:name w:val="表格-自制 Char"/>
    <w:link w:val="137"/>
    <w:autoRedefine/>
    <w:qFormat/>
    <w:uiPriority w:val="0"/>
    <w:rPr>
      <w:b/>
      <w:sz w:val="24"/>
      <w:szCs w:val="24"/>
    </w:rPr>
  </w:style>
  <w:style w:type="paragraph" w:customStyle="1" w:styleId="137">
    <w:name w:val="表格-自制"/>
    <w:basedOn w:val="1"/>
    <w:link w:val="136"/>
    <w:autoRedefine/>
    <w:qFormat/>
    <w:uiPriority w:val="0"/>
    <w:pPr>
      <w:ind w:left="420"/>
      <w:jc w:val="left"/>
    </w:pPr>
    <w:rPr>
      <w:b/>
      <w:sz w:val="24"/>
      <w:szCs w:val="24"/>
    </w:rPr>
  </w:style>
  <w:style w:type="character" w:customStyle="1" w:styleId="138">
    <w:name w:val="1 表格内容 Char"/>
    <w:link w:val="139"/>
    <w:autoRedefine/>
    <w:qFormat/>
    <w:uiPriority w:val="0"/>
    <w:rPr>
      <w:sz w:val="18"/>
      <w:szCs w:val="21"/>
    </w:rPr>
  </w:style>
  <w:style w:type="paragraph" w:customStyle="1" w:styleId="139">
    <w:name w:val="1 表格内容"/>
    <w:basedOn w:val="1"/>
    <w:link w:val="138"/>
    <w:autoRedefine/>
    <w:qFormat/>
    <w:uiPriority w:val="0"/>
    <w:pPr>
      <w:ind w:left="420"/>
      <w:jc w:val="left"/>
    </w:pPr>
    <w:rPr>
      <w:sz w:val="18"/>
      <w:szCs w:val="21"/>
    </w:rPr>
  </w:style>
  <w:style w:type="character" w:customStyle="1" w:styleId="140">
    <w:name w:val="文本 Char"/>
    <w:link w:val="141"/>
    <w:autoRedefine/>
    <w:qFormat/>
    <w:uiPriority w:val="0"/>
    <w:rPr>
      <w:sz w:val="24"/>
      <w:szCs w:val="24"/>
    </w:rPr>
  </w:style>
  <w:style w:type="paragraph" w:customStyle="1" w:styleId="141">
    <w:name w:val="文本"/>
    <w:basedOn w:val="1"/>
    <w:link w:val="140"/>
    <w:autoRedefine/>
    <w:qFormat/>
    <w:uiPriority w:val="0"/>
    <w:pPr>
      <w:ind w:left="420"/>
      <w:jc w:val="left"/>
    </w:pPr>
    <w:rPr>
      <w:sz w:val="24"/>
      <w:szCs w:val="24"/>
    </w:rPr>
  </w:style>
  <w:style w:type="character" w:customStyle="1" w:styleId="142">
    <w:name w:val="表格内文字 Char"/>
    <w:link w:val="143"/>
    <w:autoRedefine/>
    <w:qFormat/>
    <w:locked/>
    <w:uiPriority w:val="0"/>
    <w:rPr>
      <w:rFonts w:ascii="仿宋_GB2312" w:eastAsia="仿宋_GB2312"/>
      <w:sz w:val="24"/>
      <w:szCs w:val="24"/>
    </w:rPr>
  </w:style>
  <w:style w:type="paragraph" w:customStyle="1" w:styleId="143">
    <w:name w:val="表格内文字"/>
    <w:basedOn w:val="1"/>
    <w:link w:val="142"/>
    <w:autoRedefine/>
    <w:qFormat/>
    <w:uiPriority w:val="0"/>
    <w:pPr>
      <w:widowControl/>
      <w:tabs>
        <w:tab w:val="left" w:pos="0"/>
      </w:tabs>
      <w:ind w:left="420"/>
      <w:jc w:val="left"/>
    </w:pPr>
    <w:rPr>
      <w:rFonts w:ascii="仿宋_GB2312" w:eastAsia="仿宋_GB2312"/>
      <w:sz w:val="24"/>
      <w:szCs w:val="24"/>
    </w:rPr>
  </w:style>
  <w:style w:type="character" w:customStyle="1" w:styleId="144">
    <w:name w:val="fontstyle01"/>
    <w:autoRedefine/>
    <w:qFormat/>
    <w:uiPriority w:val="0"/>
    <w:rPr>
      <w:rFonts w:hint="eastAsia" w:ascii="宋体" w:hAnsi="宋体" w:eastAsia="宋体"/>
      <w:color w:val="000000"/>
      <w:sz w:val="22"/>
      <w:szCs w:val="22"/>
    </w:rPr>
  </w:style>
  <w:style w:type="table" w:customStyle="1" w:styleId="145">
    <w:name w:val="无格式表格 21"/>
    <w:basedOn w:val="30"/>
    <w:autoRedefine/>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46">
    <w:name w:val="正文首行缩进 21"/>
    <w:basedOn w:val="15"/>
    <w:next w:val="1"/>
    <w:autoRedefine/>
    <w:qFormat/>
    <w:uiPriority w:val="0"/>
    <w:pPr>
      <w:spacing w:before="100" w:beforeAutospacing="1"/>
    </w:pPr>
    <w:rPr>
      <w:kern w:val="2"/>
      <w:sz w:val="21"/>
      <w:szCs w:val="21"/>
    </w:rPr>
  </w:style>
  <w:style w:type="paragraph" w:customStyle="1" w:styleId="147">
    <w:name w:val="msonormal"/>
    <w:basedOn w:val="1"/>
    <w:autoRedefine/>
    <w:qFormat/>
    <w:uiPriority w:val="0"/>
    <w:pPr>
      <w:widowControl/>
      <w:spacing w:before="100" w:beforeAutospacing="1" w:after="100" w:afterAutospacing="1"/>
      <w:ind w:left="420"/>
      <w:jc w:val="left"/>
    </w:pPr>
    <w:rPr>
      <w:rFonts w:ascii="宋体" w:hAnsi="宋体" w:cs="宋体"/>
      <w:kern w:val="0"/>
      <w:sz w:val="24"/>
      <w:szCs w:val="24"/>
    </w:rPr>
  </w:style>
  <w:style w:type="paragraph" w:customStyle="1" w:styleId="148">
    <w:name w:val="正文2"/>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49">
    <w:name w:val="正文首行缩进 22"/>
    <w:basedOn w:val="15"/>
    <w:next w:val="1"/>
    <w:autoRedefine/>
    <w:qFormat/>
    <w:uiPriority w:val="0"/>
    <w:pPr>
      <w:spacing w:before="100" w:beforeAutospacing="1"/>
    </w:pPr>
    <w:rPr>
      <w:kern w:val="2"/>
      <w:sz w:val="21"/>
      <w:szCs w:val="21"/>
    </w:rPr>
  </w:style>
  <w:style w:type="paragraph" w:customStyle="1" w:styleId="150">
    <w:name w:val="Char Char1 Char"/>
    <w:basedOn w:val="1"/>
    <w:autoRedefine/>
    <w:qFormat/>
    <w:uiPriority w:val="0"/>
    <w:pPr>
      <w:ind w:left="420"/>
      <w:jc w:val="left"/>
    </w:pPr>
    <w:rPr>
      <w:rFonts w:cs="Times New Roman"/>
      <w:sz w:val="24"/>
      <w:szCs w:val="24"/>
    </w:rPr>
  </w:style>
  <w:style w:type="paragraph" w:customStyle="1" w:styleId="151">
    <w:name w:val="列表段落1"/>
    <w:basedOn w:val="1"/>
    <w:autoRedefine/>
    <w:qFormat/>
    <w:uiPriority w:val="0"/>
    <w:pPr>
      <w:ind w:left="420"/>
      <w:jc w:val="left"/>
    </w:pPr>
    <w:rPr>
      <w:rFonts w:cs="Times New Roman"/>
      <w:szCs w:val="21"/>
    </w:rPr>
  </w:style>
  <w:style w:type="paragraph" w:customStyle="1" w:styleId="152">
    <w:name w:val="YY书正文"/>
    <w:basedOn w:val="1"/>
    <w:link w:val="153"/>
    <w:autoRedefine/>
    <w:qFormat/>
    <w:uiPriority w:val="0"/>
    <w:pPr>
      <w:spacing w:line="324" w:lineRule="auto"/>
      <w:ind w:left="420"/>
      <w:jc w:val="left"/>
    </w:pPr>
    <w:rPr>
      <w:rFonts w:eastAsia="仿宋_GB2312" w:cs="Times New Roman"/>
      <w:sz w:val="24"/>
      <w:szCs w:val="24"/>
    </w:rPr>
  </w:style>
  <w:style w:type="character" w:customStyle="1" w:styleId="153">
    <w:name w:val="YY书正文 字符"/>
    <w:link w:val="152"/>
    <w:autoRedefine/>
    <w:qFormat/>
    <w:uiPriority w:val="0"/>
    <w:rPr>
      <w:rFonts w:ascii="Times New Roman" w:hAnsi="Times New Roman" w:eastAsia="仿宋_GB2312" w:cs="Times New Roman"/>
      <w:sz w:val="24"/>
      <w:szCs w:val="24"/>
    </w:rPr>
  </w:style>
  <w:style w:type="paragraph" w:customStyle="1" w:styleId="154">
    <w:name w:val="表格格式1"/>
    <w:basedOn w:val="1"/>
    <w:autoRedefine/>
    <w:qFormat/>
    <w:uiPriority w:val="0"/>
    <w:pPr>
      <w:ind w:left="420"/>
      <w:jc w:val="left"/>
    </w:pPr>
    <w:rPr>
      <w:rFonts w:hint="eastAsia" w:cs="Times New Roman"/>
      <w:kern w:val="0"/>
      <w:sz w:val="18"/>
      <w:szCs w:val="18"/>
    </w:rPr>
  </w:style>
  <w:style w:type="character" w:customStyle="1" w:styleId="155">
    <w:name w:val="正文缩进 字符1"/>
    <w:autoRedefine/>
    <w:qFormat/>
    <w:locked/>
    <w:uiPriority w:val="0"/>
    <w:rPr>
      <w:sz w:val="28"/>
    </w:rPr>
  </w:style>
  <w:style w:type="table" w:customStyle="1" w:styleId="156">
    <w:name w:val="Table Normal"/>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57">
    <w:name w:val="列出段落7"/>
    <w:basedOn w:val="1"/>
    <w:autoRedefine/>
    <w:qFormat/>
    <w:uiPriority w:val="99"/>
    <w:pPr>
      <w:widowControl/>
      <w:ind w:left="420"/>
      <w:jc w:val="left"/>
    </w:pPr>
    <w:rPr>
      <w:rFonts w:eastAsia="仿宋_GB2312" w:cs="Times New Roman"/>
      <w:kern w:val="0"/>
      <w:sz w:val="24"/>
      <w:szCs w:val="20"/>
    </w:rPr>
  </w:style>
  <w:style w:type="character" w:customStyle="1" w:styleId="158">
    <w:name w:val="表格文字2 Char"/>
    <w:link w:val="159"/>
    <w:autoRedefine/>
    <w:qFormat/>
    <w:uiPriority w:val="0"/>
    <w:rPr>
      <w:szCs w:val="21"/>
    </w:rPr>
  </w:style>
  <w:style w:type="paragraph" w:customStyle="1" w:styleId="159">
    <w:name w:val="表格文字2"/>
    <w:basedOn w:val="1"/>
    <w:link w:val="158"/>
    <w:autoRedefine/>
    <w:qFormat/>
    <w:uiPriority w:val="0"/>
    <w:pPr>
      <w:tabs>
        <w:tab w:val="left" w:pos="277"/>
        <w:tab w:val="left" w:pos="600"/>
        <w:tab w:val="left" w:pos="780"/>
        <w:tab w:val="left" w:pos="2517"/>
      </w:tabs>
      <w:spacing w:before="60"/>
      <w:ind w:left="420"/>
      <w:jc w:val="left"/>
    </w:pPr>
    <w:rPr>
      <w:szCs w:val="21"/>
    </w:rPr>
  </w:style>
  <w:style w:type="paragraph" w:customStyle="1" w:styleId="160">
    <w:name w:val="样式 标题 3 + 段前: 0.5 行"/>
    <w:basedOn w:val="5"/>
    <w:autoRedefine/>
    <w:qFormat/>
    <w:uiPriority w:val="99"/>
    <w:pPr>
      <w:keepNext w:val="0"/>
      <w:keepLines w:val="0"/>
      <w:numPr>
        <w:ilvl w:val="0"/>
        <w:numId w:val="1"/>
      </w:numPr>
      <w:tabs>
        <w:tab w:val="left" w:pos="360"/>
        <w:tab w:val="left" w:pos="1080"/>
      </w:tabs>
      <w:autoSpaceDE w:val="0"/>
      <w:autoSpaceDN w:val="0"/>
      <w:spacing w:beforeLines="100" w:after="0" w:line="360" w:lineRule="auto"/>
      <w:textAlignment w:val="baseline"/>
    </w:pPr>
    <w:rPr>
      <w:rFonts w:ascii="黑体" w:hAnsi="宋体" w:eastAsia="黑体" w:cs="宋体"/>
      <w:b w:val="0"/>
      <w:bCs w:val="0"/>
      <w:snapToGrid w:val="0"/>
      <w:kern w:val="0"/>
      <w:sz w:val="30"/>
      <w:szCs w:val="30"/>
    </w:rPr>
  </w:style>
  <w:style w:type="paragraph" w:styleId="161">
    <w:name w:val="No Spacing"/>
    <w:autoRedefine/>
    <w:qFormat/>
    <w:uiPriority w:val="1"/>
    <w:pPr>
      <w:widowControl w:val="0"/>
      <w:jc w:val="both"/>
    </w:pPr>
    <w:rPr>
      <w:rFonts w:ascii="Times New Roman" w:hAnsi="Times New Roman" w:eastAsia="宋体" w:cstheme="minorBidi"/>
      <w:kern w:val="2"/>
      <w:sz w:val="24"/>
      <w:szCs w:val="22"/>
      <w:lang w:val="en-US" w:eastAsia="zh-CN" w:bidi="ar-SA"/>
    </w:rPr>
  </w:style>
  <w:style w:type="character" w:customStyle="1" w:styleId="162">
    <w:name w:val="font11"/>
    <w:basedOn w:val="32"/>
    <w:autoRedefine/>
    <w:qFormat/>
    <w:uiPriority w:val="0"/>
    <w:rPr>
      <w:rFonts w:hint="eastAsia" w:ascii="宋体" w:hAnsi="宋体" w:eastAsia="宋体" w:cs="宋体"/>
      <w:color w:val="000000"/>
      <w:sz w:val="18"/>
      <w:szCs w:val="18"/>
      <w:u w:val="none"/>
    </w:rPr>
  </w:style>
  <w:style w:type="character" w:customStyle="1" w:styleId="163">
    <w:name w:val="未处理的提及1"/>
    <w:basedOn w:val="32"/>
    <w:autoRedefine/>
    <w:semiHidden/>
    <w:unhideWhenUsed/>
    <w:qFormat/>
    <w:uiPriority w:val="99"/>
    <w:rPr>
      <w:color w:val="605E5C"/>
      <w:shd w:val="clear" w:color="auto" w:fill="E1DFDD"/>
    </w:rPr>
  </w:style>
  <w:style w:type="character" w:customStyle="1" w:styleId="164">
    <w:name w:val="标题 5 字符"/>
    <w:basedOn w:val="32"/>
    <w:link w:val="8"/>
    <w:qFormat/>
    <w:uiPriority w:val="9"/>
    <w:rPr>
      <w:rFonts w:ascii="宋体" w:hAnsi="宋体" w:eastAsia="宋体" w:cs="宋体"/>
      <w:b/>
      <w:bCs/>
      <w:sz w:val="28"/>
      <w:szCs w:val="28"/>
      <w:lang w:eastAsia="en-US"/>
    </w:rPr>
  </w:style>
  <w:style w:type="character" w:customStyle="1" w:styleId="165">
    <w:name w:val="标题 6 字符"/>
    <w:basedOn w:val="32"/>
    <w:link w:val="9"/>
    <w:qFormat/>
    <w:uiPriority w:val="9"/>
    <w:rPr>
      <w:rFonts w:asciiTheme="majorHAnsi" w:hAnsiTheme="majorHAnsi" w:eastAsiaTheme="majorEastAsia" w:cstheme="majorBidi"/>
      <w:b/>
      <w:bCs/>
      <w:sz w:val="24"/>
      <w:szCs w:val="24"/>
      <w:lang w:eastAsia="en-US"/>
    </w:rPr>
  </w:style>
  <w:style w:type="character" w:customStyle="1" w:styleId="166">
    <w:name w:val="文档结构图 字符"/>
    <w:basedOn w:val="32"/>
    <w:link w:val="12"/>
    <w:semiHidden/>
    <w:qFormat/>
    <w:uiPriority w:val="99"/>
    <w:rPr>
      <w:rFonts w:ascii="宋体" w:hAnsi="Times New Roman" w:eastAsia="宋体"/>
      <w:kern w:val="2"/>
      <w:sz w:val="18"/>
      <w:szCs w:val="18"/>
    </w:rPr>
  </w:style>
  <w:style w:type="paragraph" w:customStyle="1" w:styleId="167">
    <w:name w:val="Table Text"/>
    <w:basedOn w:val="1"/>
    <w:semiHidden/>
    <w:qFormat/>
    <w:uiPriority w:val="0"/>
    <w:rPr>
      <w:rFonts w:ascii="宋体" w:hAnsi="宋体" w:cs="宋体"/>
      <w:sz w:val="20"/>
      <w:szCs w:val="20"/>
      <w:lang w:eastAsia="en-US"/>
    </w:rPr>
  </w:style>
  <w:style w:type="character" w:customStyle="1" w:styleId="168">
    <w:name w:val="font51"/>
    <w:basedOn w:val="32"/>
    <w:qFormat/>
    <w:uiPriority w:val="0"/>
    <w:rPr>
      <w:rFonts w:hint="eastAsia" w:ascii="微软雅黑" w:hAnsi="微软雅黑" w:eastAsia="微软雅黑" w:cs="微软雅黑"/>
      <w:color w:val="000000"/>
      <w:sz w:val="20"/>
      <w:szCs w:val="20"/>
      <w:u w:val="none"/>
    </w:rPr>
  </w:style>
  <w:style w:type="character" w:customStyle="1" w:styleId="169">
    <w:name w:val="font61"/>
    <w:basedOn w:val="32"/>
    <w:qFormat/>
    <w:uiPriority w:val="0"/>
    <w:rPr>
      <w:rFonts w:hint="default" w:ascii="Times New Roman" w:hAnsi="Times New Roman" w:cs="Times New Roman"/>
      <w:color w:val="000000"/>
      <w:sz w:val="20"/>
      <w:szCs w:val="20"/>
      <w:u w:val="none"/>
    </w:rPr>
  </w:style>
  <w:style w:type="paragraph" w:customStyle="1" w:styleId="170">
    <w:name w:val="表字1"/>
    <w:basedOn w:val="1"/>
    <w:qFormat/>
    <w:uiPriority w:val="0"/>
    <w:pPr>
      <w:spacing w:line="360" w:lineRule="auto"/>
      <w:jc w:val="center"/>
      <w:textAlignment w:val="baseline"/>
    </w:pPr>
    <w:rPr>
      <w:rFonts w:ascii="宋体"/>
      <w:kern w:val="0"/>
      <w:szCs w:val="20"/>
    </w:rPr>
  </w:style>
  <w:style w:type="character" w:customStyle="1" w:styleId="171">
    <w:name w:val="font71"/>
    <w:basedOn w:val="32"/>
    <w:qFormat/>
    <w:uiPriority w:val="0"/>
    <w:rPr>
      <w:rFonts w:ascii="Arial" w:hAnsi="Arial" w:cs="Arial"/>
      <w:color w:val="auto"/>
      <w:sz w:val="6"/>
      <w:szCs w:val="6"/>
      <w:u w:val="none"/>
    </w:rPr>
  </w:style>
  <w:style w:type="character" w:customStyle="1" w:styleId="172">
    <w:name w:val="font81"/>
    <w:basedOn w:val="32"/>
    <w:qFormat/>
    <w:uiPriority w:val="0"/>
    <w:rPr>
      <w:rFonts w:hint="default" w:ascii="Arial" w:hAnsi="Arial" w:cs="Arial"/>
      <w:color w:val="auto"/>
      <w:sz w:val="12"/>
      <w:szCs w:val="12"/>
      <w:u w:val="none"/>
    </w:rPr>
  </w:style>
  <w:style w:type="character" w:customStyle="1" w:styleId="173">
    <w:name w:val="font91"/>
    <w:basedOn w:val="32"/>
    <w:qFormat/>
    <w:uiPriority w:val="0"/>
    <w:rPr>
      <w:rFonts w:ascii="宋体" w:hAnsi="宋体" w:eastAsia="宋体" w:cs="宋体"/>
      <w:b/>
      <w:bCs/>
      <w:color w:val="auto"/>
      <w:sz w:val="40"/>
      <w:szCs w:val="40"/>
      <w:u w:val="none"/>
    </w:rPr>
  </w:style>
  <w:style w:type="character" w:customStyle="1" w:styleId="174">
    <w:name w:val="font101"/>
    <w:basedOn w:val="32"/>
    <w:qFormat/>
    <w:uiPriority w:val="0"/>
    <w:rPr>
      <w:rFonts w:ascii="宋体" w:hAnsi="宋体" w:eastAsia="宋体" w:cs="宋体"/>
      <w:color w:val="auto"/>
      <w:sz w:val="40"/>
      <w:szCs w:val="40"/>
      <w:u w:val="none"/>
    </w:rPr>
  </w:style>
  <w:style w:type="paragraph" w:customStyle="1" w:styleId="175">
    <w:name w:val="xl43"/>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hint="eastAsia" w:hAnsi="宋体"/>
      <w:color w:val="FF0000"/>
      <w:kern w:val="0"/>
    </w:rPr>
  </w:style>
  <w:style w:type="paragraph" w:customStyle="1" w:styleId="176">
    <w:name w:val="xl39"/>
    <w:basedOn w:val="1"/>
    <w:qFormat/>
    <w:uiPriority w:val="0"/>
    <w:pPr>
      <w:widowControl/>
      <w:pBdr>
        <w:bottom w:val="single" w:color="auto" w:sz="4" w:space="0"/>
      </w:pBdr>
      <w:adjustRightInd/>
      <w:snapToGrid/>
      <w:spacing w:before="100" w:beforeAutospacing="1" w:after="100" w:afterAutospacing="1" w:line="240" w:lineRule="auto"/>
      <w:jc w:val="center"/>
    </w:pPr>
    <w:rPr>
      <w:rFonts w:ascii="宋体" w:hAnsi="宋体"/>
      <w:kern w:val="0"/>
    </w:rPr>
  </w:style>
  <w:style w:type="paragraph" w:customStyle="1" w:styleId="177">
    <w:name w:val="表内容"/>
    <w:next w:val="1"/>
    <w:qFormat/>
    <w:uiPriority w:val="99"/>
    <w:pPr>
      <w:widowControl w:val="0"/>
      <w:kinsoku w:val="0"/>
      <w:autoSpaceDE w:val="0"/>
      <w:autoSpaceDN w:val="0"/>
      <w:adjustRightInd w:val="0"/>
      <w:snapToGrid w:val="0"/>
      <w:jc w:val="center"/>
    </w:pPr>
    <w:rPr>
      <w:rFonts w:ascii="Times New Roman" w:hAnsi="Times New Roman" w:eastAsia="宋体" w:cs="Times New Roman"/>
      <w:sz w:val="21"/>
      <w:szCs w:val="21"/>
      <w:lang w:val="en-US" w:eastAsia="zh-CN" w:bidi="ar-SA"/>
    </w:rPr>
  </w:style>
  <w:style w:type="character" w:customStyle="1" w:styleId="178">
    <w:name w:val="font111"/>
    <w:basedOn w:val="32"/>
    <w:qFormat/>
    <w:uiPriority w:val="0"/>
    <w:rPr>
      <w:rFonts w:hint="default" w:ascii="Times New Roman" w:hAnsi="Times New Roman" w:cs="Times New Roman"/>
      <w:b/>
      <w:bCs/>
      <w:color w:val="000000"/>
      <w:sz w:val="20"/>
      <w:szCs w:val="20"/>
      <w:u w:val="none"/>
    </w:rPr>
  </w:style>
  <w:style w:type="character" w:customStyle="1" w:styleId="179">
    <w:name w:val="font171"/>
    <w:basedOn w:val="32"/>
    <w:qFormat/>
    <w:uiPriority w:val="0"/>
    <w:rPr>
      <w:rFonts w:hint="eastAsia" w:ascii="宋体" w:hAnsi="宋体" w:eastAsia="宋体" w:cs="宋体"/>
      <w:color w:val="000000"/>
      <w:sz w:val="21"/>
      <w:szCs w:val="21"/>
      <w:u w:val="none"/>
    </w:rPr>
  </w:style>
  <w:style w:type="character" w:customStyle="1" w:styleId="180">
    <w:name w:val="font161"/>
    <w:basedOn w:val="32"/>
    <w:qFormat/>
    <w:uiPriority w:val="0"/>
    <w:rPr>
      <w:rFonts w:hint="default" w:ascii="Times New Roman" w:hAnsi="Times New Roman" w:cs="Times New Roman"/>
      <w:color w:val="000000"/>
      <w:sz w:val="21"/>
      <w:szCs w:val="21"/>
      <w:u w:val="none"/>
    </w:rPr>
  </w:style>
  <w:style w:type="character" w:customStyle="1" w:styleId="181">
    <w:name w:val="font151"/>
    <w:basedOn w:val="32"/>
    <w:qFormat/>
    <w:uiPriority w:val="0"/>
    <w:rPr>
      <w:rFonts w:hint="default" w:ascii="Times New Roman" w:hAnsi="Times New Roman" w:cs="Times New Roman"/>
      <w:color w:val="000000"/>
      <w:sz w:val="21"/>
      <w:szCs w:val="21"/>
      <w:u w:val="none"/>
    </w:rPr>
  </w:style>
  <w:style w:type="character" w:customStyle="1" w:styleId="182">
    <w:name w:val="font131"/>
    <w:basedOn w:val="32"/>
    <w:qFormat/>
    <w:uiPriority w:val="0"/>
    <w:rPr>
      <w:rFonts w:ascii="仿宋" w:hAnsi="仿宋" w:eastAsia="仿宋" w:cs="仿宋"/>
      <w:color w:val="000000"/>
      <w:sz w:val="20"/>
      <w:szCs w:val="20"/>
      <w:u w:val="none"/>
    </w:rPr>
  </w:style>
  <w:style w:type="character" w:customStyle="1" w:styleId="183">
    <w:name w:val="font121"/>
    <w:basedOn w:val="32"/>
    <w:qFormat/>
    <w:uiPriority w:val="0"/>
    <w:rPr>
      <w:rFonts w:hint="default" w:ascii="Arial" w:hAnsi="Arial" w:cs="Arial"/>
      <w:b/>
      <w:bCs/>
      <w:color w:val="000000"/>
      <w:sz w:val="20"/>
      <w:szCs w:val="20"/>
      <w:u w:val="none"/>
    </w:rPr>
  </w:style>
  <w:style w:type="character" w:customStyle="1" w:styleId="184">
    <w:name w:val="font141"/>
    <w:basedOn w:val="32"/>
    <w:qFormat/>
    <w:uiPriority w:val="0"/>
    <w:rPr>
      <w:rFonts w:hint="default" w:ascii="Times New Roman" w:hAnsi="Times New Roman" w:cs="Times New Roman"/>
      <w:color w:val="000000"/>
      <w:sz w:val="13"/>
      <w:szCs w:val="13"/>
      <w:u w:val="none"/>
    </w:rPr>
  </w:style>
  <w:style w:type="paragraph" w:customStyle="1" w:styleId="185">
    <w:name w:val="表格标题"/>
    <w:qFormat/>
    <w:uiPriority w:val="0"/>
    <w:pPr>
      <w:adjustRightInd w:val="0"/>
      <w:snapToGrid w:val="0"/>
      <w:jc w:val="center"/>
    </w:pPr>
    <w:rPr>
      <w:rFonts w:ascii="Times New Roman" w:hAnsi="Times New Roman" w:eastAsia="宋体" w:cstheme="minorBidi"/>
      <w:b/>
      <w:kern w:val="2"/>
      <w:sz w:val="24"/>
      <w:szCs w:val="24"/>
      <w:lang w:val="en-US" w:eastAsia="zh-CN" w:bidi="ar-SA"/>
    </w:rPr>
  </w:style>
  <w:style w:type="paragraph" w:customStyle="1" w:styleId="186">
    <w:name w:val="样式 列表 + 左侧:  0 厘米 悬挂缩进: 2 字符"/>
    <w:basedOn w:val="24"/>
    <w:qFormat/>
    <w:uiPriority w:val="0"/>
    <w:pPr>
      <w:ind w:left="0" w:firstLine="0" w:firstLineChars="0"/>
      <w:jc w:val="center"/>
    </w:pPr>
    <w:rPr>
      <w:rFonts w:ascii="仿宋_GB2312" w:eastAsia="仿宋_GB2312"/>
      <w:color w:val="000000"/>
    </w:rPr>
  </w:style>
  <w:style w:type="paragraph" w:customStyle="1" w:styleId="187">
    <w:name w:val="0正文"/>
    <w:basedOn w:val="26"/>
    <w:qFormat/>
    <w:uiPriority w:val="0"/>
    <w:pPr>
      <w:spacing w:before="0" w:beforeAutospacing="0" w:after="0" w:afterAutospacing="0"/>
      <w:ind w:firstLine="482"/>
      <w:jc w:val="both"/>
    </w:pPr>
    <w:rPr>
      <w:rFonts w:ascii="Times New Roman" w:hAnsi="Times New Roman"/>
      <w:kern w:val="2"/>
    </w:rPr>
  </w:style>
  <w:style w:type="paragraph" w:customStyle="1" w:styleId="188">
    <w:name w:val="图表文字"/>
    <w:basedOn w:val="1"/>
    <w:qFormat/>
    <w:uiPriority w:val="0"/>
    <w:pPr>
      <w:spacing w:line="240" w:lineRule="auto"/>
      <w:ind w:firstLine="0" w:firstLineChars="0"/>
      <w:jc w:val="center"/>
    </w:pPr>
    <w:rPr>
      <w:rFonts w:eastAsia="宋体"/>
      <w:sz w:val="21"/>
      <w:szCs w:val="21"/>
    </w:rPr>
  </w:style>
  <w:style w:type="paragraph" w:customStyle="1" w:styleId="189">
    <w:name w:val="msonormalcxspmiddle"/>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wmf"/><Relationship Id="rId23" Type="http://schemas.openxmlformats.org/officeDocument/2006/relationships/oleObject" Target="embeddings/oleObject3.bin"/><Relationship Id="rId22" Type="http://schemas.openxmlformats.org/officeDocument/2006/relationships/image" Target="media/image5.emf"/><Relationship Id="rId21" Type="http://schemas.openxmlformats.org/officeDocument/2006/relationships/oleObject" Target="embeddings/oleObject2.bin"/><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60</Pages>
  <Words>126</Words>
  <Characters>152</Characters>
  <Lines>779</Lines>
  <Paragraphs>219</Paragraphs>
  <TotalTime>7</TotalTime>
  <ScaleCrop>false</ScaleCrop>
  <LinksUpToDate>false</LinksUpToDate>
  <CharactersWithSpaces>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2025-03-25T23:26:00Z</dcterms:created>
  <dc:creator>spjmzm</dc:creator>
  <cp:lastModifiedBy>陈雅婷</cp:lastModifiedBy>
  <cp:lastPrinted>2025-06-06T02:27:00Z</cp:lastPrinted>
  <dcterms:modified xsi:type="dcterms:W3CDTF">2026-04-16T08:28:54Z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849355760F8647BEA5DF0CCDA9049C93_13</vt:lpwstr>
  </property>
  <property fmtid="{D5CDD505-2E9C-101B-9397-08002B2CF9AE}" pid="4" name="KSOTemplateDocerSaveRecord">
    <vt:lpwstr>eyJoZGlkIjoiZjg2ODZiMjQ2MzMwZjI2MzlkNjJhMDllZmUwNjk5ZmIiLCJ1c2VySWQiOiIxNzEzNjUzNDQ4In0=</vt:lpwstr>
  </property>
</Properties>
</file>